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0" w:lineRule="exact"/>
        <w:rPr>
          <w:sz w:val="24"/>
          <w:szCs w:val="24"/>
          <w:color w:val="auto"/>
        </w:rPr>
      </w:pPr>
    </w:p>
    <w:p>
      <w:pPr>
        <w:spacing w:after="0" w:line="293" w:lineRule="exact"/>
        <w:rPr>
          <w:sz w:val="24"/>
          <w:szCs w:val="24"/>
          <w:color w:val="auto"/>
        </w:rPr>
      </w:pPr>
    </w:p>
    <w:p>
      <w:pPr>
        <w:ind w:left="1480" w:hanging="200"/>
        <w:spacing w:after="0"/>
        <w:tabs>
          <w:tab w:leader="none" w:pos="1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2" w:lineRule="exact"/>
        <w:rPr>
          <w:sz w:val="24"/>
          <w:szCs w:val="24"/>
          <w:color w:val="auto"/>
        </w:rPr>
      </w:pPr>
    </w:p>
    <w:p>
      <w:pPr>
        <w:ind w:left="1480" w:hanging="207"/>
        <w:spacing w:after="0"/>
        <w:tabs>
          <w:tab w:leader="none" w:pos="1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7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1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001-41704</w:t>
      </w:r>
    </w:p>
    <w:p>
      <w:pPr>
        <w:spacing w:after="0" w:line="1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FORTREA HOLDINGS INC.</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40" w:type="dxa"/>
            <w:vAlign w:val="bottom"/>
          </w:tcPr>
          <w:p>
            <w:pPr>
              <w:jc w:val="right"/>
              <w:ind w:right="2252"/>
              <w:spacing w:after="0"/>
              <w:rPr>
                <w:sz w:val="20"/>
                <w:szCs w:val="20"/>
                <w:color w:val="auto"/>
              </w:rPr>
            </w:pPr>
            <w:r>
              <w:rPr>
                <w:rFonts w:ascii="Times New Roman" w:cs="Times New Roman" w:eastAsia="Times New Roman" w:hAnsi="Times New Roman"/>
                <w:sz w:val="18"/>
                <w:szCs w:val="18"/>
                <w:b w:val="1"/>
                <w:bCs w:val="1"/>
                <w:color w:val="auto"/>
              </w:rPr>
              <w:t>92-2796441</w:t>
            </w:r>
          </w:p>
        </w:tc>
        <w:tc>
          <w:tcPr>
            <w:tcW w:w="0" w:type="dxa"/>
            <w:vAlign w:val="bottom"/>
          </w:tcPr>
          <w:p>
            <w:pPr>
              <w:spacing w:after="0"/>
              <w:rPr>
                <w:sz w:val="1"/>
                <w:szCs w:val="1"/>
                <w:color w:val="auto"/>
              </w:rPr>
            </w:pPr>
          </w:p>
        </w:tc>
      </w:tr>
      <w:tr>
        <w:trPr>
          <w:trHeight w:val="174"/>
        </w:trPr>
        <w:tc>
          <w:tcPr>
            <w:tcW w:w="5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5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(I.R.S. Employer</w:t>
            </w:r>
          </w:p>
        </w:tc>
        <w:tc>
          <w:tcPr>
            <w:tcW w:w="0" w:type="dxa"/>
            <w:vAlign w:val="bottom"/>
          </w:tcPr>
          <w:p>
            <w:pPr>
              <w:spacing w:after="0"/>
              <w:rPr>
                <w:sz w:val="1"/>
                <w:szCs w:val="1"/>
                <w:color w:val="auto"/>
              </w:rPr>
            </w:pPr>
          </w:p>
        </w:tc>
      </w:tr>
      <w:tr>
        <w:trPr>
          <w:trHeight w:val="231"/>
        </w:trPr>
        <w:tc>
          <w:tcPr>
            <w:tcW w:w="5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Identification No.)</w:t>
            </w:r>
          </w:p>
        </w:tc>
        <w:tc>
          <w:tcPr>
            <w:tcW w:w="0" w:type="dxa"/>
            <w:vAlign w:val="bottom"/>
          </w:tcPr>
          <w:p>
            <w:pPr>
              <w:spacing w:after="0"/>
              <w:rPr>
                <w:sz w:val="1"/>
                <w:szCs w:val="1"/>
                <w:color w:val="auto"/>
              </w:rPr>
            </w:pPr>
          </w:p>
        </w:tc>
      </w:tr>
      <w:tr>
        <w:trPr>
          <w:trHeight w:val="292"/>
        </w:trPr>
        <w:tc>
          <w:tcPr>
            <w:tcW w:w="5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8 Moore Drive Durham, North Carolina</w:t>
            </w:r>
          </w:p>
        </w:tc>
        <w:tc>
          <w:tcPr>
            <w:tcW w:w="5540" w:type="dxa"/>
            <w:vAlign w:val="bottom"/>
            <w:vMerge w:val="restart"/>
          </w:tcPr>
          <w:p>
            <w:pPr>
              <w:jc w:val="right"/>
              <w:ind w:right="2472"/>
              <w:spacing w:after="0"/>
              <w:rPr>
                <w:sz w:val="20"/>
                <w:szCs w:val="20"/>
                <w:color w:val="auto"/>
              </w:rPr>
            </w:pPr>
            <w:r>
              <w:rPr>
                <w:rFonts w:ascii="Times New Roman" w:cs="Times New Roman" w:eastAsia="Times New Roman" w:hAnsi="Times New Roman"/>
                <w:sz w:val="18"/>
                <w:szCs w:val="18"/>
                <w:b w:val="1"/>
                <w:bCs w:val="1"/>
                <w:color w:val="auto"/>
              </w:rPr>
              <w:t>27709</w:t>
            </w:r>
          </w:p>
        </w:tc>
        <w:tc>
          <w:tcPr>
            <w:tcW w:w="0" w:type="dxa"/>
            <w:vAlign w:val="bottom"/>
          </w:tcPr>
          <w:p>
            <w:pPr>
              <w:spacing w:after="0"/>
              <w:rPr>
                <w:sz w:val="1"/>
                <w:szCs w:val="1"/>
                <w:color w:val="auto"/>
              </w:rPr>
            </w:pPr>
          </w:p>
        </w:tc>
      </w:tr>
      <w:tr>
        <w:trPr>
          <w:trHeight w:val="184"/>
        </w:trPr>
        <w:tc>
          <w:tcPr>
            <w:tcW w:w="5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6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2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(480)-295-7600</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1440" w:right="379" w:bottom="1440" w:gutter="0" w:footer="0" w:header="0"/>
        </w:sectPr>
      </w:pPr>
    </w:p>
    <w:p>
      <w:pPr>
        <w:spacing w:after="0" w:line="2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2" w:lineRule="exact"/>
        <w:rPr>
          <w:sz w:val="24"/>
          <w:szCs w:val="24"/>
          <w:color w:val="auto"/>
        </w:rPr>
      </w:pPr>
    </w:p>
    <w:p>
      <w:pPr>
        <w:sectPr>
          <w:pgSz w:w="11900" w:h="16838" w:orient="portrait"/>
          <w:cols w:equalWidth="0" w:num="3">
            <w:col w:w="3280" w:space="720"/>
            <w:col w:w="2600" w:space="720"/>
            <w:col w:w="3880"/>
          </w:cols>
          <w:pgMar w:left="320" w:top="14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FTRE</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200" w:lineRule="exact"/>
        <w:rPr>
          <w:sz w:val="24"/>
          <w:szCs w:val="24"/>
          <w:color w:val="auto"/>
        </w:rPr>
      </w:pPr>
    </w:p>
    <w:p>
      <w:pPr>
        <w:sectPr>
          <w:pgSz w:w="11900" w:h="16838" w:orient="portrait"/>
          <w:cols w:equalWidth="0" w:num="3">
            <w:col w:w="3320" w:space="720"/>
            <w:col w:w="1960" w:space="720"/>
            <w:col w:w="4480"/>
          </w:cols>
          <w:pgMar w:left="320" w:top="1440" w:right="379" w:bottom="1440" w:gutter="0" w:footer="0" w:header="0"/>
          <w:type w:val="continuous"/>
        </w:sectPr>
      </w:pPr>
    </w:p>
    <w:p>
      <w:pPr>
        <w:spacing w:after="0" w:line="108" w:lineRule="exact"/>
        <w:rPr>
          <w:sz w:val="24"/>
          <w:szCs w:val="24"/>
          <w:color w:val="auto"/>
        </w:rPr>
      </w:pPr>
    </w:p>
    <w:p>
      <w:pPr>
        <w:ind w:right="460"/>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8" w:lineRule="exact"/>
        <w:rPr>
          <w:sz w:val="24"/>
          <w:szCs w:val="24"/>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852170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line="1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940" w:type="dxa"/>
            <w:vAlign w:val="bottom"/>
          </w:tcPr>
          <w:p>
            <w:pPr>
              <w:ind w:left="780"/>
              <w:spacing w:after="0"/>
              <w:rPr>
                <w:sz w:val="20"/>
                <w:szCs w:val="20"/>
                <w:color w:val="auto"/>
              </w:rPr>
            </w:pPr>
            <w:r>
              <w:rPr>
                <w:rFonts w:ascii="Wingdings" w:cs="Wingdings" w:eastAsia="Wingdings" w:hAnsi="Wingdings"/>
                <w:sz w:val="18"/>
                <w:szCs w:val="18"/>
                <w:b w:val="1"/>
                <w:bCs w:val="1"/>
                <w:color w:val="auto"/>
                <w:w w:val="86"/>
              </w:rPr>
              <w:t>o</w:t>
            </w: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1660"/>
              <w:spacing w:after="0"/>
              <w:rPr>
                <w:sz w:val="20"/>
                <w:szCs w:val="20"/>
                <w:color w:val="auto"/>
              </w:rPr>
            </w:pPr>
            <w:r>
              <w:rPr>
                <w:rFonts w:ascii="Wingdings" w:cs="Wingdings" w:eastAsia="Wingdings" w:hAnsi="Wingdings"/>
                <w:sz w:val="18"/>
                <w:szCs w:val="18"/>
                <w:b w:val="1"/>
                <w:bCs w:val="1"/>
                <w:color w:val="auto"/>
              </w:rPr>
              <w:t>x</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40" w:type="dxa"/>
            <w:vAlign w:val="bottom"/>
          </w:tcPr>
          <w:p>
            <w:pPr>
              <w:ind w:left="780"/>
              <w:spacing w:after="0"/>
              <w:rPr>
                <w:sz w:val="20"/>
                <w:szCs w:val="20"/>
                <w:color w:val="auto"/>
              </w:rPr>
            </w:pPr>
            <w:r>
              <w:rPr>
                <w:rFonts w:ascii="Wingdings" w:cs="Wingdings" w:eastAsia="Wingdings" w:hAnsi="Wingdings"/>
                <w:sz w:val="18"/>
                <w:szCs w:val="18"/>
                <w:b w:val="1"/>
                <w:bCs w:val="1"/>
                <w:color w:val="auto"/>
                <w:w w:val="86"/>
              </w:rPr>
              <w:t>o</w:t>
            </w:r>
          </w:p>
        </w:tc>
      </w:tr>
      <w:tr>
        <w:trPr>
          <w:trHeight w:val="265"/>
        </w:trPr>
        <w:tc>
          <w:tcPr>
            <w:tcW w:w="3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940" w:type="dxa"/>
            <w:vAlign w:val="bottom"/>
          </w:tcPr>
          <w:p>
            <w:pPr>
              <w:ind w:left="78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27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10" w:lineRule="exact"/>
        <w:rPr>
          <w:sz w:val="20"/>
          <w:szCs w:val="20"/>
          <w:color w:val="auto"/>
        </w:rPr>
      </w:pPr>
    </w:p>
    <w:p>
      <w:pPr>
        <w:ind w:right="2100"/>
        <w:spacing w:after="0" w:line="473"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outstanding 89.4 million shares of common stock as of May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970280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 w:name="page3"/>
    <w:bookmarkEnd w:id="2"/>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2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7"/>
        </w:trPr>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Item 1.</w:t>
            </w:r>
          </w:p>
        </w:tc>
        <w:tc>
          <w:tcPr>
            <w:tcW w:w="6340" w:type="dxa"/>
            <w:vAlign w:val="bottom"/>
            <w:gridSpan w:val="15"/>
          </w:tcPr>
          <w:p>
            <w:pPr>
              <w:spacing w:after="0" w:line="191"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rPr>
                <w:sz w:val="17"/>
                <w:szCs w:val="17"/>
                <w:color w:val="auto"/>
              </w:rPr>
            </w:pPr>
          </w:p>
        </w:tc>
        <w:tc>
          <w:tcPr>
            <w:tcW w:w="634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and Combined Balance Sheets</w:t>
            </w:r>
          </w:p>
        </w:tc>
        <w:tc>
          <w:tcPr>
            <w:tcW w:w="3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66"/>
        </w:trPr>
        <w:tc>
          <w:tcPr>
            <w:tcW w:w="1440" w:type="dxa"/>
            <w:vAlign w:val="bottom"/>
          </w:tcPr>
          <w:p>
            <w:pPr>
              <w:spacing w:after="0"/>
              <w:rPr>
                <w:sz w:val="14"/>
                <w:szCs w:val="14"/>
                <w:color w:val="auto"/>
              </w:rPr>
            </w:pPr>
          </w:p>
        </w:tc>
        <w:tc>
          <w:tcPr>
            <w:tcW w:w="3960" w:type="dxa"/>
            <w:vAlign w:val="bottom"/>
            <w:tcBorders>
              <w:top w:val="single" w:sz="8" w:color="0000FF"/>
            </w:tcBorders>
            <w:gridSpan w:val="7"/>
          </w:tcPr>
          <w:p>
            <w:pPr>
              <w:spacing w:after="0" w:line="165" w:lineRule="exact"/>
              <w:rPr>
                <w:sz w:val="20"/>
                <w:szCs w:val="20"/>
                <w:color w:val="auto"/>
              </w:rPr>
            </w:pPr>
            <w:r>
              <w:rPr>
                <w:rFonts w:ascii="Times New Roman" w:cs="Times New Roman" w:eastAsia="Times New Roman" w:hAnsi="Times New Roman"/>
                <w:sz w:val="18"/>
                <w:szCs w:val="18"/>
                <w:color w:val="auto"/>
              </w:rPr>
              <w:t>March 31, 2024 and December 31, 2023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3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and Combined Statements of Operations</w:t>
            </w: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rPr>
                <w:sz w:val="17"/>
                <w:szCs w:val="17"/>
                <w:color w:val="auto"/>
              </w:rPr>
            </w:pPr>
          </w:p>
        </w:tc>
        <w:tc>
          <w:tcPr>
            <w:tcW w:w="6340" w:type="dxa"/>
            <w:vAlign w:val="bottom"/>
            <w:gridSpan w:val="15"/>
            <w:vMerge w:val="continue"/>
          </w:tcPr>
          <w:p>
            <w:pPr>
              <w:spacing w:after="0"/>
              <w:rPr>
                <w:sz w:val="17"/>
                <w:szCs w:val="17"/>
                <w:color w:val="auto"/>
              </w:rPr>
            </w:pPr>
          </w:p>
        </w:tc>
        <w:tc>
          <w:tcPr>
            <w:tcW w:w="3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4660" w:type="dxa"/>
            <w:vAlign w:val="bottom"/>
            <w:tcBorders>
              <w:top w:val="single" w:sz="8" w:color="0000FF"/>
            </w:tcBorders>
            <w:gridSpan w:val="10"/>
          </w:tcPr>
          <w:p>
            <w:pPr>
              <w:spacing w:after="0" w:line="165" w:lineRule="exact"/>
              <w:rPr>
                <w:sz w:val="20"/>
                <w:szCs w:val="20"/>
                <w:color w:val="auto"/>
              </w:rPr>
            </w:pPr>
            <w:r>
              <w:rPr>
                <w:rFonts w:ascii="Times New Roman" w:cs="Times New Roman" w:eastAsia="Times New Roman" w:hAnsi="Times New Roman"/>
                <w:sz w:val="18"/>
                <w:szCs w:val="18"/>
                <w:color w:val="auto"/>
              </w:rPr>
              <w:t>Three months ended March 31, 2024 and 2023</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3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and Combined Statements of Comprehensive Income (Loss)</w:t>
            </w: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rPr>
                <w:sz w:val="17"/>
                <w:szCs w:val="17"/>
                <w:color w:val="auto"/>
              </w:rPr>
            </w:pPr>
          </w:p>
        </w:tc>
        <w:tc>
          <w:tcPr>
            <w:tcW w:w="6340" w:type="dxa"/>
            <w:vAlign w:val="bottom"/>
            <w:gridSpan w:val="15"/>
            <w:vMerge w:val="continue"/>
          </w:tcPr>
          <w:p>
            <w:pPr>
              <w:spacing w:after="0"/>
              <w:rPr>
                <w:sz w:val="17"/>
                <w:szCs w:val="17"/>
                <w:color w:val="auto"/>
              </w:rPr>
            </w:pPr>
          </w:p>
        </w:tc>
        <w:tc>
          <w:tcPr>
            <w:tcW w:w="3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66"/>
        </w:trPr>
        <w:tc>
          <w:tcPr>
            <w:tcW w:w="1440" w:type="dxa"/>
            <w:vAlign w:val="bottom"/>
          </w:tcPr>
          <w:p>
            <w:pPr>
              <w:spacing w:after="0"/>
              <w:rPr>
                <w:sz w:val="14"/>
                <w:szCs w:val="14"/>
                <w:color w:val="auto"/>
              </w:rPr>
            </w:pPr>
          </w:p>
        </w:tc>
        <w:tc>
          <w:tcPr>
            <w:tcW w:w="6060" w:type="dxa"/>
            <w:vAlign w:val="bottom"/>
            <w:tcBorders>
              <w:top w:val="single" w:sz="8" w:color="0000FF"/>
            </w:tcBorders>
            <w:gridSpan w:val="14"/>
          </w:tcPr>
          <w:p>
            <w:pPr>
              <w:spacing w:after="0" w:line="165" w:lineRule="exact"/>
              <w:rPr>
                <w:sz w:val="20"/>
                <w:szCs w:val="20"/>
                <w:color w:val="auto"/>
              </w:rPr>
            </w:pPr>
            <w:r>
              <w:rPr>
                <w:rFonts w:ascii="Times New Roman" w:cs="Times New Roman" w:eastAsia="Times New Roman" w:hAnsi="Times New Roman"/>
                <w:sz w:val="18"/>
                <w:szCs w:val="18"/>
                <w:color w:val="auto"/>
              </w:rPr>
              <w:t>Three months ended March 31, 2024 and 2023</w:t>
            </w:r>
          </w:p>
        </w:tc>
        <w:tc>
          <w:tcPr>
            <w:tcW w:w="280" w:type="dxa"/>
            <w:vAlign w:val="bottom"/>
          </w:tcPr>
          <w:p>
            <w:pPr>
              <w:spacing w:after="0"/>
              <w:rPr>
                <w:sz w:val="14"/>
                <w:szCs w:val="14"/>
                <w:color w:val="auto"/>
              </w:rPr>
            </w:pPr>
          </w:p>
        </w:tc>
        <w:tc>
          <w:tcPr>
            <w:tcW w:w="3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3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and Combined Statements of Changes in Equity</w:t>
            </w: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rPr>
                <w:sz w:val="17"/>
                <w:szCs w:val="17"/>
                <w:color w:val="auto"/>
              </w:rPr>
            </w:pPr>
          </w:p>
        </w:tc>
        <w:tc>
          <w:tcPr>
            <w:tcW w:w="6340" w:type="dxa"/>
            <w:vAlign w:val="bottom"/>
            <w:gridSpan w:val="15"/>
            <w:vMerge w:val="continue"/>
          </w:tcPr>
          <w:p>
            <w:pPr>
              <w:spacing w:after="0"/>
              <w:rPr>
                <w:sz w:val="17"/>
                <w:szCs w:val="17"/>
                <w:color w:val="auto"/>
              </w:rPr>
            </w:pPr>
          </w:p>
        </w:tc>
        <w:tc>
          <w:tcPr>
            <w:tcW w:w="3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6"/>
        </w:trPr>
        <w:tc>
          <w:tcPr>
            <w:tcW w:w="1440" w:type="dxa"/>
            <w:vAlign w:val="bottom"/>
          </w:tcPr>
          <w:p>
            <w:pPr>
              <w:spacing w:after="0"/>
              <w:rPr>
                <w:sz w:val="14"/>
                <w:szCs w:val="14"/>
                <w:color w:val="auto"/>
              </w:rPr>
            </w:pPr>
          </w:p>
        </w:tc>
        <w:tc>
          <w:tcPr>
            <w:tcW w:w="5200" w:type="dxa"/>
            <w:vAlign w:val="bottom"/>
            <w:tcBorders>
              <w:top w:val="single" w:sz="8" w:color="0000FF"/>
            </w:tcBorders>
            <w:gridSpan w:val="12"/>
          </w:tcPr>
          <w:p>
            <w:pPr>
              <w:spacing w:after="0" w:line="165" w:lineRule="exact"/>
              <w:rPr>
                <w:sz w:val="20"/>
                <w:szCs w:val="20"/>
                <w:color w:val="auto"/>
              </w:rPr>
            </w:pPr>
            <w:r>
              <w:rPr>
                <w:rFonts w:ascii="Times New Roman" w:cs="Times New Roman" w:eastAsia="Times New Roman" w:hAnsi="Times New Roman"/>
                <w:sz w:val="18"/>
                <w:szCs w:val="18"/>
                <w:color w:val="auto"/>
              </w:rPr>
              <w:t>Three months ended March 31, 2024 and 2023</w:t>
            </w:r>
          </w:p>
        </w:tc>
        <w:tc>
          <w:tcPr>
            <w:tcW w:w="58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3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3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and Combined Statements of Cash Flows</w:t>
            </w: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rPr>
                <w:sz w:val="17"/>
                <w:szCs w:val="17"/>
                <w:color w:val="auto"/>
              </w:rPr>
            </w:pPr>
          </w:p>
        </w:tc>
        <w:tc>
          <w:tcPr>
            <w:tcW w:w="6340" w:type="dxa"/>
            <w:vAlign w:val="bottom"/>
            <w:gridSpan w:val="15"/>
            <w:vMerge w:val="continue"/>
          </w:tcPr>
          <w:p>
            <w:pPr>
              <w:spacing w:after="0"/>
              <w:rPr>
                <w:sz w:val="17"/>
                <w:szCs w:val="17"/>
                <w:color w:val="auto"/>
              </w:rPr>
            </w:pPr>
          </w:p>
        </w:tc>
        <w:tc>
          <w:tcPr>
            <w:tcW w:w="3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4720" w:type="dxa"/>
            <w:vAlign w:val="bottom"/>
            <w:tcBorders>
              <w:top w:val="single" w:sz="8" w:color="0000FF"/>
            </w:tcBorders>
            <w:gridSpan w:val="11"/>
          </w:tcPr>
          <w:p>
            <w:pPr>
              <w:spacing w:after="0" w:line="165" w:lineRule="exact"/>
              <w:rPr>
                <w:sz w:val="20"/>
                <w:szCs w:val="20"/>
                <w:color w:val="auto"/>
              </w:rPr>
            </w:pPr>
            <w:r>
              <w:rPr>
                <w:rFonts w:ascii="Times New Roman" w:cs="Times New Roman" w:eastAsia="Times New Roman" w:hAnsi="Times New Roman"/>
                <w:sz w:val="18"/>
                <w:szCs w:val="18"/>
                <w:color w:val="auto"/>
              </w:rPr>
              <w:t>Three months ended March 31, 2024 and 2023</w:t>
            </w:r>
          </w:p>
        </w:tc>
        <w:tc>
          <w:tcPr>
            <w:tcW w:w="1060" w:type="dxa"/>
            <w:vAlign w:val="bottom"/>
            <w:gridSpan w:val="2"/>
          </w:tcPr>
          <w:p>
            <w:pPr>
              <w:spacing w:after="0"/>
              <w:rPr>
                <w:sz w:val="14"/>
                <w:szCs w:val="14"/>
                <w:color w:val="auto"/>
              </w:rPr>
            </w:pPr>
          </w:p>
        </w:tc>
        <w:tc>
          <w:tcPr>
            <w:tcW w:w="560" w:type="dxa"/>
            <w:vAlign w:val="bottom"/>
            <w:gridSpan w:val="2"/>
          </w:tcPr>
          <w:p>
            <w:pPr>
              <w:spacing w:after="0"/>
              <w:rPr>
                <w:sz w:val="14"/>
                <w:szCs w:val="14"/>
                <w:color w:val="auto"/>
              </w:rPr>
            </w:pPr>
          </w:p>
        </w:tc>
        <w:tc>
          <w:tcPr>
            <w:tcW w:w="3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rPr>
                <w:sz w:val="17"/>
                <w:szCs w:val="17"/>
                <w:color w:val="auto"/>
              </w:rPr>
            </w:pPr>
          </w:p>
        </w:tc>
        <w:tc>
          <w:tcPr>
            <w:tcW w:w="578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Unaudited Condensed Consolidated and Combined Financial Statements</w:t>
            </w:r>
          </w:p>
        </w:tc>
        <w:tc>
          <w:tcPr>
            <w:tcW w:w="560" w:type="dxa"/>
            <w:vAlign w:val="bottom"/>
            <w:gridSpan w:val="2"/>
          </w:tcPr>
          <w:p>
            <w:pPr>
              <w:spacing w:after="0"/>
              <w:rPr>
                <w:sz w:val="17"/>
                <w:szCs w:val="17"/>
                <w:color w:val="auto"/>
              </w:rPr>
            </w:pPr>
          </w:p>
        </w:tc>
        <w:tc>
          <w:tcPr>
            <w:tcW w:w="34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6340" w:type="dxa"/>
            <w:vAlign w:val="bottom"/>
            <w:tcBorders>
              <w:bottom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2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428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60" w:type="dxa"/>
            <w:vAlign w:val="bottom"/>
            <w:gridSpan w:val="6"/>
          </w:tcPr>
          <w:p>
            <w:pPr>
              <w:spacing w:after="0"/>
              <w:rPr>
                <w:sz w:val="17"/>
                <w:szCs w:val="17"/>
                <w:color w:val="auto"/>
              </w:rPr>
            </w:pPr>
          </w:p>
        </w:tc>
        <w:tc>
          <w:tcPr>
            <w:tcW w:w="32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634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34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55</w:t>
            </w:r>
          </w:p>
        </w:tc>
        <w:tc>
          <w:tcPr>
            <w:tcW w:w="0" w:type="dxa"/>
            <w:vAlign w:val="bottom"/>
          </w:tcPr>
          <w:p>
            <w:pPr>
              <w:spacing w:after="0"/>
              <w:rPr>
                <w:sz w:val="1"/>
                <w:szCs w:val="1"/>
                <w:color w:val="auto"/>
              </w:rPr>
            </w:pPr>
          </w:p>
        </w:tc>
      </w:tr>
      <w:tr>
        <w:trPr>
          <w:trHeight w:val="505"/>
        </w:trPr>
        <w:tc>
          <w:tcPr>
            <w:tcW w:w="14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PART II. OTHER INFORMATION</w:t>
            </w:r>
          </w:p>
        </w:tc>
        <w:tc>
          <w:tcPr>
            <w:tcW w:w="32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Item 1.</w:t>
            </w:r>
          </w:p>
        </w:tc>
        <w:tc>
          <w:tcPr>
            <w:tcW w:w="6340" w:type="dxa"/>
            <w:vAlign w:val="bottom"/>
            <w:gridSpan w:val="15"/>
          </w:tcPr>
          <w:p>
            <w:pPr>
              <w:spacing w:after="0" w:line="191" w:lineRule="exact"/>
              <w:rPr>
                <w:sz w:val="20"/>
                <w:szCs w:val="20"/>
                <w:color w:val="auto"/>
              </w:rPr>
            </w:pPr>
            <w:r>
              <w:rPr>
                <w:rFonts w:ascii="Times New Roman" w:cs="Times New Roman" w:eastAsia="Times New Roman" w:hAnsi="Times New Roman"/>
                <w:sz w:val="18"/>
                <w:szCs w:val="18"/>
                <w:color w:val="0000FF"/>
              </w:rPr>
              <w:t>Legal Proceedings</w:t>
            </w:r>
          </w:p>
        </w:tc>
        <w:tc>
          <w:tcPr>
            <w:tcW w:w="342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5040" w:type="dxa"/>
            <w:vAlign w:val="bottom"/>
            <w:gridSpan w:val="11"/>
          </w:tcPr>
          <w:p>
            <w:pPr>
              <w:spacing w:after="0"/>
              <w:rPr>
                <w:sz w:val="17"/>
                <w:szCs w:val="17"/>
                <w:color w:val="auto"/>
              </w:rPr>
            </w:pPr>
          </w:p>
        </w:tc>
        <w:tc>
          <w:tcPr>
            <w:tcW w:w="32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56</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634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1940" w:type="dxa"/>
            <w:vAlign w:val="bottom"/>
            <w:tcBorders>
              <w:top w:val="single" w:sz="8" w:color="0000FF"/>
            </w:tcBorders>
            <w:gridSpan w:val="2"/>
          </w:tcPr>
          <w:p>
            <w:pPr>
              <w:spacing w:after="0"/>
              <w:rPr>
                <w:sz w:val="17"/>
                <w:szCs w:val="17"/>
                <w:color w:val="auto"/>
              </w:rPr>
            </w:pPr>
          </w:p>
        </w:tc>
        <w:tc>
          <w:tcPr>
            <w:tcW w:w="2080" w:type="dxa"/>
            <w:vAlign w:val="bottom"/>
            <w:gridSpan w:val="7"/>
          </w:tcPr>
          <w:p>
            <w:pPr>
              <w:spacing w:after="0"/>
              <w:rPr>
                <w:sz w:val="17"/>
                <w:szCs w:val="17"/>
                <w:color w:val="auto"/>
              </w:rPr>
            </w:pPr>
          </w:p>
        </w:tc>
        <w:tc>
          <w:tcPr>
            <w:tcW w:w="32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6340" w:type="dxa"/>
            <w:vAlign w:val="bottom"/>
            <w:tcBorders>
              <w:bottom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32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5.</w:t>
            </w:r>
          </w:p>
        </w:tc>
        <w:tc>
          <w:tcPr>
            <w:tcW w:w="6340" w:type="dxa"/>
            <w:vAlign w:val="bottom"/>
            <w:gridSpan w:val="15"/>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34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Exhibits</w:t>
            </w:r>
          </w:p>
        </w:tc>
        <w:tc>
          <w:tcPr>
            <w:tcW w:w="5060" w:type="dxa"/>
            <w:vAlign w:val="bottom"/>
            <w:gridSpan w:val="12"/>
          </w:tcPr>
          <w:p>
            <w:pPr>
              <w:spacing w:after="0"/>
              <w:rPr>
                <w:sz w:val="17"/>
                <w:szCs w:val="17"/>
                <w:color w:val="auto"/>
              </w:rPr>
            </w:pPr>
          </w:p>
        </w:tc>
        <w:tc>
          <w:tcPr>
            <w:tcW w:w="32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656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20" w:type="dxa"/>
            <w:vAlign w:val="bottom"/>
            <w:shd w:val="clear" w:color="auto" w:fill="CCEEFF"/>
          </w:tcPr>
          <w:p>
            <w:pPr>
              <w:jc w:val="right"/>
              <w:ind w:right="14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108.6</w:t>
            </w:r>
          </w:p>
        </w:tc>
        <w:tc>
          <w:tcPr>
            <w:tcW w:w="0" w:type="dxa"/>
            <w:vAlign w:val="bottom"/>
          </w:tcPr>
          <w:p>
            <w:pPr>
              <w:spacing w:after="0"/>
              <w:rPr>
                <w:sz w:val="1"/>
                <w:szCs w:val="1"/>
                <w:color w:val="auto"/>
              </w:rPr>
            </w:pPr>
          </w:p>
        </w:tc>
      </w:tr>
      <w:tr>
        <w:trPr>
          <w:trHeight w:val="210"/>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and unbilled services, net</w:t>
            </w:r>
          </w:p>
        </w:tc>
        <w:tc>
          <w:tcPr>
            <w:tcW w:w="16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988.5</w:t>
            </w: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218"/>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1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74.9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1,200.0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1,250.8</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1,727.6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1,739.4</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728.1</w:t>
            </w: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16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16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368.8</w:t>
            </w:r>
          </w:p>
        </w:tc>
        <w:tc>
          <w:tcPr>
            <w:tcW w:w="0" w:type="dxa"/>
            <w:vAlign w:val="bottom"/>
          </w:tcPr>
          <w:p>
            <w:pPr>
              <w:spacing w:after="0"/>
              <w:rPr>
                <w:sz w:val="1"/>
                <w:szCs w:val="1"/>
                <w:color w:val="auto"/>
              </w:rPr>
            </w:pPr>
          </w:p>
        </w:tc>
      </w:tr>
      <w:tr>
        <w:trPr>
          <w:trHeight w:val="20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20" w:type="dxa"/>
            <w:vAlign w:val="bottom"/>
            <w:tcBorders>
              <w:bottom w:val="single" w:sz="8" w:color="auto"/>
            </w:tcBorders>
          </w:tcPr>
          <w:p>
            <w:pPr>
              <w:jc w:val="right"/>
              <w:ind w:right="14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5"/>
              </w:rPr>
              <w:t>4,240.2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4,332.6</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620" w:type="dxa"/>
            <w:vAlign w:val="bottom"/>
            <w:shd w:val="clear" w:color="auto" w:fill="CCEEFF"/>
          </w:tcPr>
          <w:p>
            <w:pPr>
              <w:jc w:val="right"/>
              <w:ind w:right="14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132.9</w:t>
            </w:r>
          </w:p>
        </w:tc>
        <w:tc>
          <w:tcPr>
            <w:tcW w:w="0" w:type="dxa"/>
            <w:vAlign w:val="bottom"/>
          </w:tcPr>
          <w:p>
            <w:pPr>
              <w:spacing w:after="0"/>
              <w:rPr>
                <w:sz w:val="1"/>
                <w:szCs w:val="1"/>
                <w:color w:val="auto"/>
              </w:rPr>
            </w:pPr>
          </w:p>
        </w:tc>
      </w:tr>
      <w:tr>
        <w:trPr>
          <w:trHeight w:val="210"/>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335.5</w:t>
            </w: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Unearned revenue</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214.2</w:t>
            </w:r>
          </w:p>
        </w:tc>
        <w:tc>
          <w:tcPr>
            <w:tcW w:w="0" w:type="dxa"/>
            <w:vAlign w:val="bottom"/>
          </w:tcPr>
          <w:p>
            <w:pPr>
              <w:spacing w:after="0"/>
              <w:rPr>
                <w:sz w:val="1"/>
                <w:szCs w:val="1"/>
                <w:color w:val="auto"/>
              </w:rPr>
            </w:pPr>
          </w:p>
        </w:tc>
      </w:tr>
      <w:tr>
        <w:trPr>
          <w:trHeight w:val="210"/>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818.3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778.4</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6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5"/>
              </w:rPr>
              <w:t>1,559.4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1,565.9</w:t>
            </w: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tax liabilities</w:t>
            </w:r>
          </w:p>
        </w:tc>
        <w:tc>
          <w:tcPr>
            <w:tcW w:w="162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620" w:type="dxa"/>
            <w:vAlign w:val="bottom"/>
            <w:tcBorders>
              <w:bottom w:val="single" w:sz="8" w:color="auto"/>
            </w:tcBorders>
            <w:shd w:val="clear" w:color="auto" w:fill="CCEEFF"/>
          </w:tcPr>
          <w:p>
            <w:pPr>
              <w:jc w:val="right"/>
              <w:ind w:right="14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2,648.3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2,618.5</w:t>
            </w:r>
          </w:p>
        </w:tc>
        <w:tc>
          <w:tcPr>
            <w:tcW w:w="0" w:type="dxa"/>
            <w:vAlign w:val="bottom"/>
          </w:tcPr>
          <w:p>
            <w:pPr>
              <w:spacing w:after="0"/>
              <w:rPr>
                <w:sz w:val="1"/>
                <w:szCs w:val="1"/>
                <w:color w:val="auto"/>
              </w:rPr>
            </w:pPr>
          </w:p>
        </w:tc>
      </w:tr>
      <w:tr>
        <w:trPr>
          <w:trHeight w:val="19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9)</w:t>
            </w: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560" w:type="dxa"/>
            <w:vAlign w:val="bottom"/>
          </w:tcPr>
          <w:p>
            <w:pPr>
              <w:ind w:left="220"/>
              <w:spacing w:after="0" w:line="159" w:lineRule="exact"/>
              <w:rPr>
                <w:sz w:val="20"/>
                <w:szCs w:val="20"/>
                <w:color w:val="auto"/>
              </w:rPr>
            </w:pPr>
            <w:r>
              <w:rPr>
                <w:rFonts w:ascii="Times New Roman" w:cs="Times New Roman" w:eastAsia="Times New Roman" w:hAnsi="Times New Roman"/>
                <w:sz w:val="16"/>
                <w:szCs w:val="16"/>
                <w:color w:val="auto"/>
              </w:rPr>
              <w:t>Common stock, 89.4 and 88.8 shares outstanding at March 31, 2024 and December 31, 2023,</w:t>
            </w:r>
          </w:p>
        </w:tc>
        <w:tc>
          <w:tcPr>
            <w:tcW w:w="1620" w:type="dxa"/>
            <w:vAlign w:val="bottom"/>
          </w:tcPr>
          <w:p>
            <w:pPr>
              <w:spacing w:after="0"/>
              <w:rPr>
                <w:sz w:val="13"/>
                <w:szCs w:val="13"/>
                <w:color w:val="auto"/>
              </w:rPr>
            </w:pP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6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16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2,002.9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1,998.0</w:t>
            </w:r>
          </w:p>
        </w:tc>
        <w:tc>
          <w:tcPr>
            <w:tcW w:w="0" w:type="dxa"/>
            <w:vAlign w:val="bottom"/>
          </w:tcPr>
          <w:p>
            <w:pPr>
              <w:spacing w:after="0"/>
              <w:rPr>
                <w:sz w:val="1"/>
                <w:szCs w:val="1"/>
                <w:color w:val="auto"/>
              </w:rPr>
            </w:pPr>
          </w:p>
        </w:tc>
      </w:tr>
      <w:tr>
        <w:trPr>
          <w:trHeight w:val="210"/>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14"/>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equity</w:t>
            </w:r>
          </w:p>
        </w:tc>
        <w:tc>
          <w:tcPr>
            <w:tcW w:w="1620" w:type="dxa"/>
            <w:vAlign w:val="bottom"/>
            <w:tcBorders>
              <w:bottom w:val="single" w:sz="8" w:color="auto"/>
            </w:tcBorders>
          </w:tcPr>
          <w:p>
            <w:pPr>
              <w:jc w:val="right"/>
              <w:ind w:right="14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5"/>
              </w:rPr>
              <w:t>1,591.9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1,714.1</w:t>
            </w:r>
          </w:p>
        </w:tc>
        <w:tc>
          <w:tcPr>
            <w:tcW w:w="0" w:type="dxa"/>
            <w:vAlign w:val="bottom"/>
          </w:tcPr>
          <w:p>
            <w:pPr>
              <w:spacing w:after="0"/>
              <w:rPr>
                <w:sz w:val="1"/>
                <w:szCs w:val="1"/>
                <w:color w:val="auto"/>
              </w:rPr>
            </w:pPr>
          </w:p>
        </w:tc>
      </w:tr>
      <w:tr>
        <w:trPr>
          <w:trHeight w:val="23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20" w:type="dxa"/>
            <w:vAlign w:val="bottom"/>
            <w:tcBorders>
              <w:bottom w:val="single" w:sz="8" w:color="auto"/>
            </w:tcBorders>
            <w:shd w:val="clear" w:color="auto" w:fill="CCEEFF"/>
          </w:tcPr>
          <w:p>
            <w:pPr>
              <w:jc w:val="right"/>
              <w:ind w:right="14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4,240.2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4,332.6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073" w:right="439" w:bottom="1440" w:gutter="0" w:footer="0" w:header="0"/>
        </w:sectPr>
      </w:pPr>
    </w:p>
    <w:bookmarkStart w:id="4" w:name="page5"/>
    <w:bookmarkEnd w:id="4"/>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72"/>
        </w:trPr>
        <w:tc>
          <w:tcPr>
            <w:tcW w:w="8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Direct costs, exclusive of depreciation and amortization (including costs incurred from related parties of $0.0</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$21.7 during the three months ended March 31, 2024 and 2023, respectively)</w:t>
            </w: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 exclusive of depreciation and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8"/>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r>
      <w:tr>
        <w:trPr>
          <w:trHeight w:val="21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(expense)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8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6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 continuing operations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3"/>
                <w:szCs w:val="23"/>
                <w:color w:val="auto"/>
              </w:rPr>
            </w:pP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6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 discontinued operations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5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6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continuing operations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3"/>
                <w:szCs w:val="23"/>
                <w:color w:val="auto"/>
              </w:rPr>
            </w:pP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6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discontinued operations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5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2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 related to items of comprehensive income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AND COMBINED STATEMENTS OF CHANGES IN EQUITY</w:t>
      </w:r>
    </w:p>
    <w:p>
      <w:pPr>
        <w:spacing w:after="0" w:line="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compensation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common stock</w:t>
      </w:r>
    </w:p>
    <w:p>
      <w:pPr>
        <w:spacing w:after="0" w:line="18" w:lineRule="exact"/>
        <w:rPr>
          <w:sz w:val="20"/>
          <w:szCs w:val="20"/>
          <w:color w:val="auto"/>
        </w:rPr>
      </w:pPr>
    </w:p>
    <w:p>
      <w:pPr>
        <w:ind w:left="20"/>
        <w:spacing w:after="0" w:line="230" w:lineRule="auto"/>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9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restart"/>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4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6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92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9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9"/>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0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1,714.1</w:t>
            </w:r>
          </w:p>
        </w:tc>
        <w:tc>
          <w:tcPr>
            <w:tcW w:w="0" w:type="dxa"/>
            <w:vAlign w:val="bottom"/>
          </w:tcPr>
          <w:p>
            <w:pPr>
              <w:spacing w:after="0"/>
              <w:rPr>
                <w:sz w:val="1"/>
                <w:szCs w:val="1"/>
                <w:color w:val="auto"/>
              </w:rPr>
            </w:pPr>
          </w:p>
        </w:tc>
      </w:tr>
      <w:tr>
        <w:trPr>
          <w:trHeight w:val="225"/>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5"/>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5"/>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1"/>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8"/>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31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8"/>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0" w:type="dxa"/>
            <w:vAlign w:val="bottom"/>
          </w:tcPr>
          <w:p>
            <w:pPr>
              <w:spacing w:after="0"/>
              <w:rPr>
                <w:sz w:val="1"/>
                <w:szCs w:val="1"/>
                <w:color w:val="auto"/>
              </w:rPr>
            </w:pPr>
          </w:p>
        </w:tc>
      </w:tr>
      <w:tr>
        <w:trPr>
          <w:trHeight w:val="20"/>
        </w:trPr>
        <w:tc>
          <w:tcPr>
            <w:tcW w:w="18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9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restart"/>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92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Amounts</w:t>
            </w:r>
          </w:p>
        </w:tc>
        <w:tc>
          <w:tcPr>
            <w:tcW w:w="100" w:type="dxa"/>
            <w:vAlign w:val="bottom"/>
          </w:tcPr>
          <w:p>
            <w:pPr>
              <w:spacing w:after="0"/>
              <w:rPr>
                <w:sz w:val="13"/>
                <w:szCs w:val="13"/>
                <w:color w:val="auto"/>
              </w:rPr>
            </w:pPr>
          </w:p>
        </w:tc>
        <w:tc>
          <w:tcPr>
            <w:tcW w:w="1000" w:type="dxa"/>
            <w:vAlign w:val="bottom"/>
            <w:gridSpan w:val="2"/>
          </w:tcPr>
          <w:p>
            <w:pPr>
              <w:jc w:val="right"/>
              <w:ind w:right="174"/>
              <w:spacing w:after="0" w:line="15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40" w:type="dxa"/>
            <w:vAlign w:val="bottom"/>
            <w:gridSpan w:val="4"/>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Former Parent</w:t>
            </w:r>
          </w:p>
        </w:tc>
        <w:tc>
          <w:tcPr>
            <w:tcW w:w="140" w:type="dxa"/>
            <w:vAlign w:val="bottom"/>
          </w:tcPr>
          <w:p>
            <w:pPr>
              <w:spacing w:after="0"/>
              <w:rPr>
                <w:sz w:val="13"/>
                <w:szCs w:val="13"/>
                <w:color w:val="auto"/>
              </w:rPr>
            </w:pPr>
          </w:p>
        </w:tc>
        <w:tc>
          <w:tcPr>
            <w:tcW w:w="12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3"/>
                <w:szCs w:val="13"/>
                <w:color w:val="auto"/>
              </w:rPr>
            </w:pPr>
          </w:p>
        </w:tc>
        <w:tc>
          <w:tcPr>
            <w:tcW w:w="960" w:type="dxa"/>
            <w:vAlign w:val="bottom"/>
          </w:tcPr>
          <w:p>
            <w:pPr>
              <w:jc w:val="right"/>
              <w:ind w:right="418"/>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96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-1985010</wp:posOffset>
            </wp:positionV>
            <wp:extent cx="7134860" cy="151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-1691005</wp:posOffset>
            </wp:positionV>
            <wp:extent cx="7134860" cy="142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-1404620</wp:posOffset>
            </wp:positionV>
            <wp:extent cx="7134860"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-1000760</wp:posOffset>
            </wp:positionV>
            <wp:extent cx="7134860"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40" w:space="140"/>
            <w:col w:w="82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3,614.8</w:t>
            </w: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r>
      <w:tr>
        <w:trPr>
          <w:trHeight w:val="225"/>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5"/>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from Former Parent</w:t>
            </w: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2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CASH FLOWS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7600" w:type="dxa"/>
            <w:vAlign w:val="bottom"/>
          </w:tcPr>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1"/>
        </w:trPr>
        <w:tc>
          <w:tcPr>
            <w:tcW w:w="7600" w:type="dxa"/>
            <w:vAlign w:val="bottom"/>
          </w:tcPr>
          <w:p>
            <w:pPr>
              <w:spacing w:after="0"/>
              <w:rPr>
                <w:sz w:val="21"/>
                <w:szCs w:val="21"/>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20" w:type="dxa"/>
            <w:vAlign w:val="bottom"/>
            <w:tcBorders>
              <w:bottom w:val="single" w:sz="8" w:color="auto"/>
            </w:tcBorders>
          </w:tcPr>
          <w:p>
            <w:pPr>
              <w:spacing w:after="0"/>
              <w:rPr>
                <w:sz w:val="21"/>
                <w:szCs w:val="21"/>
                <w:color w:val="auto"/>
              </w:rPr>
            </w:pPr>
          </w:p>
        </w:tc>
      </w:tr>
      <w:tr>
        <w:trPr>
          <w:trHeight w:val="218"/>
        </w:trPr>
        <w:tc>
          <w:tcPr>
            <w:tcW w:w="76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r>
      <w:tr>
        <w:trPr>
          <w:trHeight w:val="205"/>
        </w:trPr>
        <w:tc>
          <w:tcPr>
            <w:tcW w:w="7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25"/>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9"/>
                <w:szCs w:val="19"/>
                <w:color w:val="auto"/>
              </w:rPr>
            </w:pPr>
          </w:p>
        </w:tc>
        <w:tc>
          <w:tcPr>
            <w:tcW w:w="12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5"/>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for) operating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5"/>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5"/>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5"/>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5"/>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5"/>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accounts receivable and unbilled services, net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5"/>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prepaid expenses and other</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5"/>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 in accounts payable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5"/>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unearned revenue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5"/>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8"/>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5"/>
        </w:trPr>
        <w:tc>
          <w:tcPr>
            <w:tcW w:w="7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25"/>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5"/>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5"/>
        </w:trPr>
        <w:tc>
          <w:tcPr>
            <w:tcW w:w="7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25"/>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transfers to Former Parent</w:t>
            </w:r>
          </w:p>
        </w:tc>
        <w:tc>
          <w:tcPr>
            <w:tcW w:w="1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8"/>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8"/>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1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0"/>
        </w:trPr>
        <w:tc>
          <w:tcPr>
            <w:tcW w:w="7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condensed consolidated and combined statements of cash flows.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 w:right="6540" w:hanging="314"/>
        <w:spacing w:after="0" w:line="431" w:lineRule="auto"/>
        <w:tabs>
          <w:tab w:leader="none" w:pos="31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FINANCIAL STATEMENT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220" w:firstLine="318"/>
        <w:spacing w:after="0" w:line="249" w:lineRule="auto"/>
        <w:rPr>
          <w:sz w:val="20"/>
          <w:szCs w:val="20"/>
          <w:color w:val="auto"/>
        </w:rPr>
      </w:pPr>
      <w:r>
        <w:rPr>
          <w:rFonts w:ascii="Times New Roman" w:cs="Times New Roman" w:eastAsia="Times New Roman" w:hAnsi="Times New Roman"/>
          <w:sz w:val="18"/>
          <w:szCs w:val="18"/>
          <w:color w:val="auto"/>
        </w:rPr>
        <w:t>Fortrea Holdings Inc. (“Fortrea” or the “Company”), a Delaware corporation incorporated on January 31, 2023, is a leading global contract research organization (“CRO”) providing biopharmaceutical product and medical device development services to pharmaceutical, biotechnology and medical device customers. The Company offers customers highly flexible delivery models that include Full Service, Functional Service Provider, and Hybrid Service structures. The Company has a rich history of providing clinical development services for over 30 years across more than 20 therapeutic areas, first as Covance and later as Labcorp Drug Development. On June 30, 2023, the Company completed a spin-off (the “Spin” or the “Separation”) from Laboratory Corporation of America Holdings (“Labcorp” or “Former Parent”). The Company leverages its global scale, clinical data insights, scientific expertise, technology innovation, industry network and decades of experience as a standalone company and as a business unit prior to the Spin to deliver tailored solutions to its customers. With what the Company believes is a distinctive market offering, Fortrea meets growing global demand for clinical development services.</w:t>
      </w:r>
    </w:p>
    <w:p>
      <w:pPr>
        <w:spacing w:after="0" w:line="134" w:lineRule="exact"/>
        <w:rPr>
          <w:sz w:val="20"/>
          <w:szCs w:val="20"/>
          <w:color w:val="auto"/>
        </w:rPr>
      </w:pPr>
    </w:p>
    <w:p>
      <w:pPr>
        <w:jc w:val="both"/>
        <w:ind w:right="380" w:firstLine="318"/>
        <w:spacing w:after="0" w:line="259" w:lineRule="auto"/>
        <w:rPr>
          <w:sz w:val="20"/>
          <w:szCs w:val="20"/>
          <w:color w:val="auto"/>
        </w:rPr>
      </w:pPr>
      <w:r>
        <w:rPr>
          <w:rFonts w:ascii="Times New Roman" w:cs="Times New Roman" w:eastAsia="Times New Roman" w:hAnsi="Times New Roman"/>
          <w:sz w:val="18"/>
          <w:szCs w:val="18"/>
          <w:color w:val="auto"/>
        </w:rPr>
        <w:t>The Company manages its business in one reportable segment, Clinical Services, that provides services across the clinical pharmacology and clinical development spectrum. The Company has established access to all key markets worldwide through a strategic footprint of primary office locations in five countries (the United States, the United Kingdom, China, India and Singapore) with field operations in other jurisdictions worldwide.</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w:t>
      </w:r>
    </w:p>
    <w:p>
      <w:pPr>
        <w:spacing w:after="0" w:line="168"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auto"/>
        </w:rPr>
        <w:t xml:space="preserve">On March 9, 2024, the Company, together with its wholly-owned subsidiary, Fortrea Inc., entered into an Asset Purchase Agreement with Endeavor Buyer LLC to sell the operations of Fortrea Patient Access Inc. and its subsidiaries and Endpoint Clinical, Inc. and its subsidiaries; which are all collectively referred to as the Enabling Services Segment. Refer to </w:t>
      </w:r>
      <w:r>
        <w:rPr>
          <w:rFonts w:ascii="Times New Roman" w:cs="Times New Roman" w:eastAsia="Times New Roman" w:hAnsi="Times New Roman"/>
          <w:sz w:val="18"/>
          <w:szCs w:val="18"/>
          <w:i w:val="1"/>
          <w:iCs w:val="1"/>
          <w:color w:val="auto"/>
        </w:rPr>
        <w:t>Note 2 - Discontinued Operations</w:t>
      </w:r>
      <w:r>
        <w:rPr>
          <w:rFonts w:ascii="Times New Roman" w:cs="Times New Roman" w:eastAsia="Times New Roman" w:hAnsi="Times New Roman"/>
          <w:sz w:val="18"/>
          <w:szCs w:val="18"/>
          <w:color w:val="auto"/>
        </w:rPr>
        <w:t xml:space="preserve"> for further discussion</w:t>
      </w:r>
      <w:r>
        <w:rPr>
          <w:rFonts w:ascii="Times New Roman" w:cs="Times New Roman" w:eastAsia="Times New Roman" w:hAnsi="Times New Roman"/>
          <w:sz w:val="18"/>
          <w:szCs w:val="18"/>
          <w:i w:val="1"/>
          <w:iCs w:val="1"/>
          <w:color w:val="auto"/>
        </w:rPr>
        <w:t>.</w:t>
      </w:r>
    </w:p>
    <w:p>
      <w:pPr>
        <w:spacing w:after="0" w:line="125"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As of March 31, 2024, all of the Company's consolidated revenues from continuing operations were generated from the Clinical Services segment, which provides phase I-IV clinical trials, including clinical pharmacology and comprehensive clinical development capabilities. The Company’s chief operating decision maker allocates resources and assesses performance for the Clinical Services segment.</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68" w:lineRule="exact"/>
        <w:rPr>
          <w:sz w:val="20"/>
          <w:szCs w:val="20"/>
          <w:color w:val="auto"/>
        </w:rPr>
      </w:pPr>
    </w:p>
    <w:p>
      <w:pPr>
        <w:ind w:right="180" w:firstLine="318"/>
        <w:spacing w:after="0" w:line="251" w:lineRule="auto"/>
        <w:rPr>
          <w:sz w:val="20"/>
          <w:szCs w:val="20"/>
          <w:color w:val="auto"/>
        </w:rPr>
      </w:pPr>
      <w:r>
        <w:rPr>
          <w:rFonts w:ascii="Times New Roman" w:cs="Times New Roman" w:eastAsia="Times New Roman" w:hAnsi="Times New Roman"/>
          <w:sz w:val="18"/>
          <w:szCs w:val="18"/>
          <w:color w:val="auto"/>
        </w:rPr>
        <w:t>In accordance with the definition of discontinued operations, the Company's decision to sell the assets relating to the Enabling Services segment represented a strategic shift that had a major effect on the Company's results of operations and assets and liabilities for the periods presented. As a result, the Company has classified the assets and liabilities related to the Enabling Services segment as assets of discontinued operations and liabilities of discontinued operations on the condensed consolidated and combined balance sheets as of March 31, 2024 and December 31, 2023. The operations of the Enabling Services segment have been classified as income (loss) from discontinued operations on the condensed consolidated and combined statements of operations for all periods presented.</w:t>
      </w:r>
    </w:p>
    <w:p>
      <w:pPr>
        <w:spacing w:after="0" w:line="132" w:lineRule="exact"/>
        <w:rPr>
          <w:sz w:val="20"/>
          <w:szCs w:val="20"/>
          <w:color w:val="auto"/>
        </w:rPr>
      </w:pPr>
    </w:p>
    <w:p>
      <w:pPr>
        <w:ind w:right="680" w:firstLine="318"/>
        <w:spacing w:after="0" w:line="274" w:lineRule="auto"/>
        <w:rPr>
          <w:sz w:val="20"/>
          <w:szCs w:val="20"/>
          <w:color w:val="auto"/>
        </w:rPr>
      </w:pPr>
      <w:r>
        <w:rPr>
          <w:rFonts w:ascii="Times New Roman" w:cs="Times New Roman" w:eastAsia="Times New Roman" w:hAnsi="Times New Roman"/>
          <w:sz w:val="18"/>
          <w:szCs w:val="18"/>
          <w:color w:val="auto"/>
        </w:rPr>
        <w:t>Unless otherwise noted, discussion within these notes to the condensed consolidated and combined financial statements relates to the Company’s continuing operations.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Labcorp</w:t>
      </w:r>
    </w:p>
    <w:p>
      <w:pPr>
        <w:spacing w:after="0" w:line="168"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On June 30, 2023, the Company completed the Spin from Labcorp. The Company has entered into several agreements with Labcorp that govern the relationship of the parties following the Separation, including the Separation and Distribution Agreement, the Tax Matters Agreement, the Employee Matters Agreement, and the Transition Services Agreement, which are described in the Company’s Registration Statement on Form 10, as amended (“Form 10”), as filed with the Securities and Exchange Commission (the “SEC”). Under the terms of the Transition Services Agreement, the Company and Labcorp agreed to provide each other certain transitional services. The services and assets to be provided to Fortrea by Labcorp support the Company’s enterprise functions,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notably IT applications, network and security support and hosting, as well as finance, human resources, marketing and other administrative support.</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Financial Statement Presentation</w:t>
      </w:r>
    </w:p>
    <w:p>
      <w:pPr>
        <w:spacing w:after="0" w:line="168" w:lineRule="exact"/>
        <w:rPr>
          <w:sz w:val="20"/>
          <w:szCs w:val="20"/>
          <w:color w:val="auto"/>
        </w:rPr>
      </w:pPr>
    </w:p>
    <w:p>
      <w:pPr>
        <w:ind w:right="80" w:firstLine="318"/>
        <w:spacing w:after="0" w:line="267" w:lineRule="auto"/>
        <w:rPr>
          <w:sz w:val="20"/>
          <w:szCs w:val="20"/>
          <w:color w:val="auto"/>
        </w:rPr>
      </w:pPr>
      <w:r>
        <w:rPr>
          <w:rFonts w:ascii="Times New Roman" w:cs="Times New Roman" w:eastAsia="Times New Roman" w:hAnsi="Times New Roman"/>
          <w:sz w:val="17"/>
          <w:szCs w:val="17"/>
          <w:color w:val="auto"/>
        </w:rPr>
        <w:t>Prior to June 30, 2023, Fortrea existed and functioned as part of the consolidated business of Former Parent. The Company’s financial statements for periods through the Spin reflect the historical financial position, results of operations and cash flows of the Company, for the periods presented, prepared on a “carve-out” basis and have been derived from the condensed consolidated financial statements and accounting records of Labcorp using the historical results of operations and historical basis of assets and liabilities of the Company and reflect Labcorp’s net investment in the Company. The Company’s balance sheet as of March 31, 2024 is a consolidated balance sheet based on the financial position of Fortrea as a standalone company. The three months ended March 31, 2024 includes condensed consolidated financial statements, whereas all prior periods included combined financial statements. The Company’s unaudited condensed consolidated and combined financial statements for all periods presented are referred to throughout this document as “financial statements.”</w:t>
      </w:r>
    </w:p>
    <w:p>
      <w:pPr>
        <w:spacing w:after="0" w:line="1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Company’s condensed consolidated and combined financial statements have been prepared in conformity with accounting principles generally accepted in the United States of America (“U.S. GAAP”) for interim financial information. Accordingly, they do not include all of the information and notes required by U.S.GAAP for complete financial statements.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and additionally, condensed consolidated and combined financial statements do not necessarily reflect what the financial position, results of operations, and cash flows would have been had it operated as a standalone company during the prior periods presented. As such, the information included in this Quarterly Report on Form 10-Q should be read in conjunction with the Company’s audited consolidated financial statements included in the Company’s Annual Report on Form 10-K for the fiscal year ended December 31, 2023.</w:t>
      </w:r>
    </w:p>
    <w:p>
      <w:pPr>
        <w:spacing w:after="0" w:line="13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condensed combined statements of operations include all revenues and costs directly attributable to Fortrea’s business. The combined statements of operations for prior periods also include costs for certain centralized functions and programs provided and administered by Labcorp that were allocated to Fortrea. These centralized functions and programs include, but are not limited to legal, tax, treasury, risk management, sales expenses, information technology, human resources, finance, supply chain, executive leadership and stock-based compensation.</w:t>
      </w:r>
    </w:p>
    <w:p>
      <w:pPr>
        <w:spacing w:after="0" w:line="127" w:lineRule="exact"/>
        <w:rPr>
          <w:sz w:val="20"/>
          <w:szCs w:val="20"/>
          <w:color w:val="auto"/>
        </w:rPr>
      </w:pPr>
    </w:p>
    <w:p>
      <w:pPr>
        <w:ind w:right="260" w:firstLine="318"/>
        <w:spacing w:after="0" w:line="250" w:lineRule="auto"/>
        <w:rPr>
          <w:sz w:val="20"/>
          <w:szCs w:val="20"/>
          <w:color w:val="auto"/>
        </w:rPr>
      </w:pPr>
      <w:r>
        <w:rPr>
          <w:rFonts w:ascii="Times New Roman" w:cs="Times New Roman" w:eastAsia="Times New Roman" w:hAnsi="Times New Roman"/>
          <w:sz w:val="18"/>
          <w:szCs w:val="18"/>
          <w:color w:val="auto"/>
        </w:rPr>
        <w:t>These expenses were allocated to Fortrea based on direct usage when identifiable or, when not directly identifiable, on the basis of proportional net revenues or headcount or other reasonable driver, as applicable. Fortrea considers the basis on which the expenses have been allocated to reasonably reflect the utilization of services provided to, or the benefit received by, Fortrea during the prior periods presented. However, the allocations may not reflect the expenses Fortrea would have incurred as an independent company for the prior periods presented. Actual costs that may have been incurred if Fortrea had been a standalone company would depend on a number of factors, including, but not limited to, the organizational structure, whether functions were outsourced or performed by employees, and strategic decisions made in areas such as information technology and infrastructure. For a period following the Spin some of these functions are provided by Labcorp.</w:t>
      </w:r>
    </w:p>
    <w:p>
      <w:pPr>
        <w:spacing w:after="0" w:line="134"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2022, a Former Parent investment is shown in lieu of common stock and retained earnings accounts in the condensed combined financial statements. The total net effect of the settlement of the transactions between the Company and Labcorp, exclusive of those historically settled in cash, is reflected in the condensed combined statements of cash flows in cash flows from financing activities as net transfers (to) from Former Parent and in the condensed consolidated and combined balance sheets as Former Parent investment.</w:t>
      </w:r>
    </w:p>
    <w:p>
      <w:pPr>
        <w:spacing w:after="0" w:line="127"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All intercompany transactions within the Company have been eliminated. All transactions between the Company and Former Parent have been included in these condensed consolidated and combined financial statements. For those transactions between the Company and Former Parent that were historically settled in cash, the Company has reflected such balances in the condensed consolidated and combined balance sheets as due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 xml:space="preserve">related parties or due to related parties. The Former Parent investment and all due from or due to Former Parent were settled at the time of the Spin. Refer to </w:t>
      </w:r>
      <w:r>
        <w:rPr>
          <w:rFonts w:ascii="Times New Roman" w:cs="Times New Roman" w:eastAsia="Times New Roman" w:hAnsi="Times New Roman"/>
          <w:sz w:val="18"/>
          <w:szCs w:val="18"/>
          <w:i w:val="1"/>
          <w:iCs w:val="1"/>
          <w:color w:val="auto"/>
        </w:rPr>
        <w:t xml:space="preserve">Note 13 - Transactions with Former Parent </w:t>
      </w:r>
      <w:r>
        <w:rPr>
          <w:rFonts w:ascii="Times New Roman" w:cs="Times New Roman" w:eastAsia="Times New Roman" w:hAnsi="Times New Roman"/>
          <w:sz w:val="18"/>
          <w:szCs w:val="18"/>
          <w:color w:val="auto"/>
        </w:rPr>
        <w:t>for further information.</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68"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accounts receivable and unbilled services.</w:t>
      </w:r>
    </w:p>
    <w:p>
      <w:pPr>
        <w:spacing w:after="0" w:line="110"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spacing w:after="0" w:line="125"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Substantially all the Company’s accounts receivable and unbilled services are with companies in the pharmaceutical, biotechnology and medical device industries. As of March 31, 2024, two customers accounted for 19.3% and 11.0% of the Company's combined gross accounts receivable and unbilled services. As of December 31, 2023, two pharmaceutical companies accounted for approximately 17.0% and 11.2% of the Company's combined gross accounts receivable and unbilled services. Additionally, for the three months ended March 31, 2024, two customers accounted for approximately 14.0% and 13.0% of revenues. For the three months ended March 31, 2023, one customer accounted for 10.0%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previously reported amounts have been reclassified to conform to the current year presentation.</w:t>
      </w:r>
    </w:p>
    <w:p>
      <w:pPr>
        <w:spacing w:after="0" w:line="16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During the quarter ended March 31, 2024, a change in basis of presentation, to include information technology costs and certain facility costs in Selling, general and administrative expenses was made to improve comparability of costs against peer companies in the clinical research industry. As a result, the Company reclassified $45.3 from Direct costs, exclusive of depreciation and amortization, to Selling, general and administrative expenses, exclusive of depreciation and amortization in the condensed consolidated and combined statement of operations for the period ending March 31, 2023 relating to information technology costs and certain facility charges. There is no impact on total operating expenses, operating income or net income during the period ended March 31, 2023. Direct costs include payroll and related benefits for project-related employees, pass through costs, transition services agreement direct costs, facility costs related to phase I clinics and other direct costs. Selling, general and administrative expenses consist primarily of administrative payroll and related benefit charges, information technology costs, other facility charges, advertising and promotional expenses, administrative travel and credit loss provisions.</w:t>
      </w:r>
    </w:p>
    <w:p>
      <w:pPr>
        <w:spacing w:after="0" w:line="134"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Additionally, the Company reclassified $0.1 from Other, net to Interest expense in the condensed consolidated and combined statement of operations for the period ending March 31,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Prior Period Financial Statements</w:t>
      </w:r>
    </w:p>
    <w:p>
      <w:pPr>
        <w:spacing w:after="0" w:line="168"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the Company’s financial statements for the quarter ended March 31, 2024, the Company identified errors impacting previously reported financial information, including to periods prior to the June 30, 2023 Spin. The errors consisted primarily of a goodwill impairment charge as a result of an incorrect carrying value used in the Company’s impairment calculation, a reduction in revenue due to the misstatement in the amount of the ultimate resolution of a customer matter, an understatement of expense accruals allocated from Former Parent prior to spin, and an understatement of depreciation expense associated with certain projects that were not depreciated in a timely manner.</w:t>
      </w:r>
    </w:p>
    <w:p>
      <w:pPr>
        <w:spacing w:after="0" w:line="119" w:lineRule="exact"/>
        <w:rPr>
          <w:sz w:val="20"/>
          <w:szCs w:val="20"/>
          <w:color w:val="auto"/>
        </w:rPr>
      </w:pPr>
    </w:p>
    <w:p>
      <w:pPr>
        <w:ind w:right="20" w:firstLine="318"/>
        <w:spacing w:after="0" w:line="244" w:lineRule="auto"/>
        <w:rPr>
          <w:sz w:val="20"/>
          <w:szCs w:val="20"/>
          <w:color w:val="auto"/>
        </w:rPr>
      </w:pPr>
      <w:r>
        <w:rPr>
          <w:rFonts w:ascii="Times New Roman" w:cs="Times New Roman" w:eastAsia="Times New Roman" w:hAnsi="Times New Roman"/>
          <w:sz w:val="18"/>
          <w:szCs w:val="18"/>
          <w:color w:val="auto"/>
        </w:rPr>
        <w:t xml:space="preserve">Management assessed the materiality of the errors, including the presentation on prior period consolidated financial statements, on a qualitative and quantitative basis in accordance with </w:t>
      </w:r>
      <w:r>
        <w:rPr>
          <w:rFonts w:ascii="Times New Roman" w:cs="Times New Roman" w:eastAsia="Times New Roman" w:hAnsi="Times New Roman"/>
          <w:sz w:val="18"/>
          <w:szCs w:val="18"/>
          <w:i w:val="1"/>
          <w:iCs w:val="1"/>
          <w:color w:val="auto"/>
        </w:rPr>
        <w:t>SEC Staff Accounting Bulletin No. 99, Materiality</w:t>
      </w:r>
      <w:r>
        <w:rPr>
          <w:rFonts w:ascii="Times New Roman" w:cs="Times New Roman" w:eastAsia="Times New Roman" w:hAnsi="Times New Roman"/>
          <w:sz w:val="18"/>
          <w:szCs w:val="18"/>
          <w:color w:val="auto"/>
        </w:rPr>
        <w:t xml:space="preserve">, codified in </w:t>
      </w:r>
      <w:r>
        <w:rPr>
          <w:rFonts w:ascii="Times New Roman" w:cs="Times New Roman" w:eastAsia="Times New Roman" w:hAnsi="Times New Roman"/>
          <w:sz w:val="18"/>
          <w:szCs w:val="18"/>
          <w:i w:val="1"/>
          <w:iCs w:val="1"/>
          <w:color w:val="auto"/>
        </w:rPr>
        <w:t>Accounting Standards Codification Topic 250,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and Error Corrections</w:t>
      </w:r>
      <w:r>
        <w:rPr>
          <w:rFonts w:ascii="Times New Roman" w:cs="Times New Roman" w:eastAsia="Times New Roman" w:hAnsi="Times New Roman"/>
          <w:sz w:val="18"/>
          <w:szCs w:val="18"/>
          <w:color w:val="auto"/>
        </w:rPr>
        <w:t>. Based on this assessment, the Company concluded that these errors and the related impacts did not result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material misstatement of the previously issued consolidated financial statements as of and for the fiscal years ended December 31, 2022 and 2023, and the previously issued unaudited condensed consolidated interim financial statements for the quarters ended March 31, June 30, and September 30, 2023. However, correcting the cumulative effect of these errors in the first quarter of 2024 would have had a significant effect on the results of operations for that period.</w:t>
      </w:r>
    </w:p>
    <w:p>
      <w:pPr>
        <w:spacing w:after="0" w:line="105"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Therefore, the relevant prior periods’ financial statements and related footnotes, for these and other immaterial errors for comparative purposes, have been corrected. Previously reported financial information for such immaterial errors will be corrected in future filings, as applicable.</w:t>
      </w:r>
    </w:p>
    <w:p>
      <w:pPr>
        <w:spacing w:after="0" w:line="109" w:lineRule="exact"/>
        <w:rPr>
          <w:sz w:val="20"/>
          <w:szCs w:val="20"/>
          <w:color w:val="auto"/>
        </w:rPr>
      </w:pPr>
    </w:p>
    <w:p>
      <w:pPr>
        <w:ind w:right="320" w:firstLine="318"/>
        <w:spacing w:after="0" w:line="261" w:lineRule="auto"/>
        <w:rPr>
          <w:sz w:val="20"/>
          <w:szCs w:val="20"/>
          <w:color w:val="auto"/>
        </w:rPr>
      </w:pPr>
      <w:r>
        <w:rPr>
          <w:rFonts w:ascii="Times New Roman" w:cs="Times New Roman" w:eastAsia="Times New Roman" w:hAnsi="Times New Roman"/>
          <w:sz w:val="18"/>
          <w:szCs w:val="18"/>
          <w:color w:val="auto"/>
        </w:rPr>
        <w:t xml:space="preserve">A summary of the corrections to the impacted financial statement line items from the previously issued financial statements are presented in </w:t>
      </w:r>
      <w:r>
        <w:rPr>
          <w:rFonts w:ascii="Times New Roman" w:cs="Times New Roman" w:eastAsia="Times New Roman" w:hAnsi="Times New Roman"/>
          <w:sz w:val="18"/>
          <w:szCs w:val="18"/>
          <w:i w:val="1"/>
          <w:i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Immaterial Financial Restatement and Reclassifications to Prior Period Financial Statements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Standards</w:t>
      </w:r>
    </w:p>
    <w:p>
      <w:pPr>
        <w:spacing w:after="0" w:line="16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to improve reportable segment disclosure requirements. The new guidance requires disclosure of significant segment expenses that are regularly provided to the chief operating decision maker and included in the reported measure of segment profit or loss. It does not change the definition of a segment or the guidance for determining reportable segments. The new guidance will be effective for the Company in the annual period beginning January 1, 2024 and in 2025 for interim periods. The Company is assessing the impact of this ASU on its disclosures within the consolidated financial statements.</w:t>
      </w:r>
    </w:p>
    <w:p>
      <w:pPr>
        <w:spacing w:after="0" w:line="132"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guidance to require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disaggregation by jurisdiction of income taxes paid. This guidance is effective for fiscal years beginning after December 15, 2024, with early adoption permitted. The amendments should be applied prospectively; however, retrospective application is also permitted. The Company is currently evaluating the impact this guidance will have on its financial statement disclosures.</w:t>
      </w:r>
    </w:p>
    <w:p>
      <w:pPr>
        <w:spacing w:after="0" w:line="369" w:lineRule="exact"/>
        <w:rPr>
          <w:sz w:val="20"/>
          <w:szCs w:val="20"/>
          <w:color w:val="auto"/>
        </w:rPr>
      </w:pPr>
    </w:p>
    <w:p>
      <w:pPr>
        <w:ind w:left="360" w:hanging="354"/>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6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On March 9, 2024, the Company entered into an Asset Purchase Agreement (the “Purchase Agreement”) with Endeavor Buyer LLC, an affiliate of Arsenal Capital Partners, pursuant to which the Seller has agreed to sell, and to cause its affiliates to sell, net assets relating to its Enabling Services segment (the “Transaction”), specifically its Patient Access and Endpoint businesses, including the sale of equity interests of Fortrea Patient Access Inc. and its subsidiaries and Endpoint Clinical, Inc. and its subsidiaries. The purchase price for the Transaction is $345.0, subject to customary purchase price adjustments, with $295.0 to be paid at closing and $50.0 to be paid upon achievement of certain transition-related milestones. The Transaction is targeted to close in the second quarter of 2024, subject to customary closing conditions and government approvals, as well as the parties entering into certain services and operating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29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 of Discontinued Operations</w:t>
      </w:r>
    </w:p>
    <w:p>
      <w:pPr>
        <w:spacing w:after="0" w:line="168"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significant line items included in earnings from discontinued operations, net of income tax in the condensed consolidated and combined statements of operations for the three months ended March 31, 2024 and 2023:</w:t>
      </w:r>
    </w:p>
    <w:p>
      <w:pPr>
        <w:spacing w:after="0" w:line="148" w:lineRule="exact"/>
        <w:rPr>
          <w:sz w:val="20"/>
          <w:szCs w:val="20"/>
          <w:color w:val="auto"/>
        </w:rPr>
      </w:pPr>
    </w:p>
    <w:tbl>
      <w:tblPr>
        <w:tblLayout w:type="fixed"/>
        <w:tblInd w:w="320" w:type="dxa"/>
        <w:tblCellMar>
          <w:top w:w="0" w:type="dxa"/>
          <w:left w:w="0" w:type="dxa"/>
          <w:bottom w:w="0" w:type="dxa"/>
          <w:right w:w="0" w:type="dxa"/>
        </w:tblCellMar>
      </w:tblPr>
      <w:tr>
        <w:trPr>
          <w:trHeight w:val="239"/>
        </w:trPr>
        <w:tc>
          <w:tcPr>
            <w:tcW w:w="6820" w:type="dxa"/>
            <w:vAlign w:val="bottom"/>
          </w:tcPr>
          <w:p>
            <w:pPr>
              <w:spacing w:after="0"/>
              <w:rPr>
                <w:sz w:val="20"/>
                <w:szCs w:val="20"/>
                <w:color w:val="auto"/>
              </w:rPr>
            </w:pPr>
          </w:p>
        </w:tc>
        <w:tc>
          <w:tcPr>
            <w:tcW w:w="324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r>
      <w:tr>
        <w:trPr>
          <w:trHeight w:val="232"/>
        </w:trPr>
        <w:tc>
          <w:tcPr>
            <w:tcW w:w="68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exclusive of depreciation and amortization</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exclusive of depreciation and amortization</w:t>
            </w: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and goodwill asset impairments</w:t>
            </w: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5"/>
        </w:trPr>
        <w:tc>
          <w:tcPr>
            <w:tcW w:w="68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Other expense:</w:t>
            </w: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1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22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9"/>
                <w:szCs w:val="19"/>
                <w:color w:val="auto"/>
              </w:rPr>
            </w:pPr>
          </w:p>
        </w:tc>
        <w:tc>
          <w:tcPr>
            <w:tcW w:w="128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6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right="300" w:firstLine="318"/>
        <w:spacing w:after="0" w:line="259" w:lineRule="auto"/>
        <w:rPr>
          <w:sz w:val="20"/>
          <w:szCs w:val="20"/>
          <w:color w:val="auto"/>
        </w:rPr>
      </w:pPr>
      <w:r>
        <w:rPr>
          <w:rFonts w:ascii="Times New Roman" w:cs="Times New Roman" w:eastAsia="Times New Roman" w:hAnsi="Times New Roman"/>
          <w:sz w:val="18"/>
          <w:szCs w:val="18"/>
          <w:color w:val="auto"/>
        </w:rPr>
        <w:t>In the first quarter of 2024, as a result of the final negotiated sale price of the Patient Access and Endpoint businesses, the Company evaluated the Enabling Services segment for impairment and determined that it was more likely than not that the carrying value of the assets exceeded its fair value. Accordingly, an impairment analysis was performed, which resulted in a goodwill impairment charge of $24.0.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carrying value of the significant classes of assets and liabilities classified as discontinued operations as of March 31, 2024 and December 31, 2023:</w:t>
      </w:r>
    </w:p>
    <w:p>
      <w:pPr>
        <w:spacing w:after="0" w:line="12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06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and unbilled services, net</w:t>
            </w:r>
          </w:p>
        </w:tc>
        <w:tc>
          <w:tcPr>
            <w:tcW w:w="1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45"/>
        </w:trPr>
        <w:tc>
          <w:tcPr>
            <w:tcW w:w="7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3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2"/>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5"/>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1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252.5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5"/>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420.0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3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5"/>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revenue</w:t>
            </w:r>
          </w:p>
        </w:tc>
        <w:tc>
          <w:tcPr>
            <w:tcW w:w="1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45"/>
        </w:trPr>
        <w:tc>
          <w:tcPr>
            <w:tcW w:w="7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3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2"/>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5"/>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condensed consolidated and combined statements of cash flows. The following table summarizes depreciation and amortization, capital expenditures and the significant operating noncash items from discontinued operations for the three months ended March 31, 2024 and 2023:</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239"/>
        </w:trPr>
        <w:tc>
          <w:tcPr>
            <w:tcW w:w="7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2"/>
        </w:trPr>
        <w:tc>
          <w:tcPr>
            <w:tcW w:w="70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There are no significant operating or investing noncash items related to discontinued operations for the three months ended March 31, 2024 and 2023.</w:t>
      </w:r>
    </w:p>
    <w:p>
      <w:pPr>
        <w:spacing w:after="0" w:line="162" w:lineRule="exact"/>
        <w:rPr>
          <w:sz w:val="20"/>
          <w:szCs w:val="20"/>
          <w:color w:val="auto"/>
        </w:rPr>
      </w:pPr>
    </w:p>
    <w:p>
      <w:pPr>
        <w:ind w:left="320" w:hanging="314"/>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66"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revenues by geography for the three months ended March 31, 2024 and 2023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20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6"/>
        </w:trPr>
        <w:tc>
          <w:tcPr>
            <w:tcW w:w="2020" w:type="dxa"/>
            <w:vAlign w:val="bottom"/>
          </w:tcPr>
          <w:p>
            <w:pPr>
              <w:spacing w:after="0"/>
              <w:rPr>
                <w:sz w:val="16"/>
                <w:szCs w:val="16"/>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5"/>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 from the United States comprises substantially all revenue in North America.</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 balances: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7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commission assets</w:t>
            </w:r>
          </w:p>
        </w:tc>
        <w:tc>
          <w:tcPr>
            <w:tcW w:w="1320" w:type="dxa"/>
            <w:vAlign w:val="bottom"/>
            <w:shd w:val="clear" w:color="auto" w:fill="CCEEFF"/>
          </w:tcPr>
          <w:p>
            <w:pPr>
              <w:jc w:val="right"/>
              <w:ind w:right="113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5"/>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3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320" w:firstLine="318"/>
        <w:spacing w:after="0" w:line="255" w:lineRule="auto"/>
        <w:rPr>
          <w:sz w:val="20"/>
          <w:szCs w:val="20"/>
          <w:color w:val="auto"/>
        </w:rPr>
      </w:pPr>
      <w:r>
        <w:rPr>
          <w:rFonts w:ascii="Times New Roman" w:cs="Times New Roman" w:eastAsia="Times New Roman" w:hAnsi="Times New Roman"/>
          <w:sz w:val="18"/>
          <w:szCs w:val="18"/>
          <w:color w:val="auto"/>
        </w:rPr>
        <w:t>Amortization related to sales commission assets for the three months ended March 31, 2024 and 2023 was $2.6 and $4.1, respectively. Amortization related to deferred contract costs for the three months ended March 31, 2024 and 2023 was $0.4 and $0.6, respectively. The Company applies the practical expedient to not recognize the effect of financing in its contracts with customers, when the difference in timing of payment and performance is one year or less.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420.2</w:t>
            </w: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240" w:type="dxa"/>
            <w:vAlign w:val="bottom"/>
          </w:tcPr>
          <w:p>
            <w:pPr>
              <w:spacing w:after="0"/>
              <w:rPr>
                <w:sz w:val="19"/>
                <w:szCs w:val="19"/>
                <w:color w:val="auto"/>
              </w:rPr>
            </w:pPr>
          </w:p>
        </w:tc>
        <w:tc>
          <w:tcPr>
            <w:tcW w:w="1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587.1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600.0</w:t>
            </w:r>
          </w:p>
        </w:tc>
      </w:tr>
      <w:tr>
        <w:trPr>
          <w:trHeight w:val="225"/>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(31.7)</w:t>
            </w:r>
          </w:p>
        </w:tc>
      </w:tr>
      <w:tr>
        <w:trPr>
          <w:trHeight w:val="21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988.5</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2"/>
        </w:trPr>
        <w:tc>
          <w:tcPr>
            <w:tcW w:w="7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214.2</w:t>
            </w:r>
          </w:p>
        </w:tc>
      </w:tr>
    </w:tbl>
    <w:p>
      <w:pPr>
        <w:spacing w:after="0" w:line="214"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Revenue recognized during the period that was included in the unearned revenue balance at the beginning of the period was $92.4 and $103.2 for the three months ended March 31, 2024 and 2023, respectively.</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Loss Rollforward</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estimates future expected losses on accounts receivable and unbilled services over the remaining collection period of the instrument.</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rollforward for the allowance for credit losses for the three months ended March 31, 2024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4"/>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December, 2023</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5"/>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March 31, 2024</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0"/>
        </w:trPr>
        <w:tc>
          <w:tcPr>
            <w:tcW w:w="9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Under Long-Term Contracts</w:t>
      </w:r>
    </w:p>
    <w:p>
      <w:pPr>
        <w:spacing w:after="0" w:line="168" w:lineRule="exact"/>
        <w:rPr>
          <w:sz w:val="20"/>
          <w:szCs w:val="20"/>
          <w:color w:val="auto"/>
        </w:rPr>
      </w:pPr>
    </w:p>
    <w:p>
      <w:pPr>
        <w:ind w:right="70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2024, approximately $4,302 of revenues are expected to be recognized from remaining long-term performance obligations. The Company expects to recognize approximately 30% of the existing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obligations as of March 31, 2024 as revenue over the next 12 months and the remaining balance thereafter. The Company’s long-term contracts generally range from one to eight years.</w:t>
      </w:r>
    </w:p>
    <w:p>
      <w:pPr>
        <w:spacing w:after="0" w:line="110" w:lineRule="exact"/>
        <w:rPr>
          <w:sz w:val="20"/>
          <w:szCs w:val="20"/>
          <w:color w:val="auto"/>
        </w:rPr>
      </w:pPr>
    </w:p>
    <w:p>
      <w:pPr>
        <w:ind w:right="320" w:firstLine="31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there were reductions of approximately $34 in revenue related to performance obligations partially satisfied in previous periods. Of this reduction, approximately half was associated with changes in scope or price, and approximately half was related to changes in estimated effort to complete customer contract obligations. The change in estimate resulted in an estimated reduction to revenue of $17, and an increase in loss from continuing operations of $16 and in loss per share of $0.18.</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2023, there were reductions of approximately $11 from performance obligations which were partially satisfied in previous periods; such amounts were primarily related to changes in estimate and to a much lesser extent, changes in scope. The change in estimate resulted in an estimated reduction to revenue of $10, and a decrease in income from continuing operations of $8 and in income per share of $0.09.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Purchase Program</w:t>
      </w:r>
    </w:p>
    <w:p>
      <w:pPr>
        <w:spacing w:after="0" w:line="142" w:lineRule="exact"/>
        <w:rPr>
          <w:sz w:val="20"/>
          <w:szCs w:val="20"/>
          <w:color w:val="auto"/>
        </w:rPr>
      </w:pPr>
    </w:p>
    <w:p>
      <w:pPr>
        <w:ind w:right="180" w:firstLine="318"/>
        <w:spacing w:after="0" w:line="239" w:lineRule="auto"/>
        <w:rPr>
          <w:sz w:val="20"/>
          <w:szCs w:val="20"/>
          <w:color w:val="auto"/>
        </w:rPr>
      </w:pPr>
      <w:r>
        <w:rPr>
          <w:rFonts w:ascii="Times New Roman" w:cs="Times New Roman" w:eastAsia="Times New Roman" w:hAnsi="Times New Roman"/>
          <w:sz w:val="18"/>
          <w:szCs w:val="18"/>
          <w:color w:val="auto"/>
        </w:rPr>
        <w:t>On June 23, 2023, Fortrea entered into an accounts receivable purchase program (“ARPP”) with a financial institution (the “Financial Institution”). The ARPP establishes a receivables factoring facility whereby the Company may sell up to $80.0 in customer receivables based on the availability of certain eligible receivables and the satisfaction of certain conditions. Under the facility, the Company may sell eligible receivables and retains no interest in the transferred receivables other than collection and administrative functions for the Financial Institution.</w:t>
      </w:r>
    </w:p>
    <w:p>
      <w:pPr>
        <w:spacing w:after="0" w:line="130" w:lineRule="exact"/>
        <w:rPr>
          <w:sz w:val="20"/>
          <w:szCs w:val="20"/>
          <w:color w:val="auto"/>
        </w:rPr>
      </w:pPr>
    </w:p>
    <w:p>
      <w:pPr>
        <w:ind w:right="100" w:firstLine="318"/>
        <w:spacing w:after="0" w:line="239" w:lineRule="auto"/>
        <w:rPr>
          <w:sz w:val="20"/>
          <w:szCs w:val="20"/>
          <w:color w:val="auto"/>
        </w:rPr>
      </w:pPr>
      <w:r>
        <w:rPr>
          <w:rFonts w:ascii="Times New Roman" w:cs="Times New Roman" w:eastAsia="Times New Roman" w:hAnsi="Times New Roman"/>
          <w:sz w:val="18"/>
          <w:szCs w:val="18"/>
          <w:color w:val="auto"/>
        </w:rPr>
        <w:t>The Company accounts for these receivable transfers as sales and derecognizes the sold receivables from its balance sheets. The fair value of the sold receivables approximated their book value due to their short-term nature. The Company continues to service, administer and collect the receivables on behalf of the Financial Institution and does not receive a servicing fee as part of the arrangement. As of March 31, 2024, the Company had no outstanding factored customer receivables, and the ARPP was terminated in May 2024.</w:t>
      </w:r>
    </w:p>
    <w:p>
      <w:pPr>
        <w:spacing w:after="0" w:line="1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RESTRUCTURING AND OTHER CHARGES</w:t>
      </w:r>
    </w:p>
    <w:p>
      <w:pPr>
        <w:spacing w:after="0" w:line="166" w:lineRule="exact"/>
        <w:rPr>
          <w:sz w:val="20"/>
          <w:szCs w:val="20"/>
          <w:color w:val="auto"/>
        </w:rPr>
      </w:pPr>
    </w:p>
    <w:p>
      <w:pPr>
        <w:jc w:val="both"/>
        <w:ind w:right="280" w:firstLine="318"/>
        <w:spacing w:after="0" w:line="259" w:lineRule="auto"/>
        <w:rPr>
          <w:sz w:val="20"/>
          <w:szCs w:val="20"/>
          <w:color w:val="auto"/>
        </w:rPr>
      </w:pPr>
      <w:r>
        <w:rPr>
          <w:rFonts w:ascii="Times New Roman" w:cs="Times New Roman" w:eastAsia="Times New Roman" w:hAnsi="Times New Roman"/>
          <w:sz w:val="18"/>
          <w:szCs w:val="18"/>
          <w:color w:val="auto"/>
        </w:rPr>
        <w:t>During 2023, the Company took actions to reduce overcapacity, align resources, and restructure certain operations. These actions included eliminating redundant positions and aligning resources for cost improvement and to meet customer requirements. These restructuring actions are expected to continue throughout 2024.</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a component of the Company’s restructuring and other charges:</w:t>
      </w:r>
    </w:p>
    <w:p>
      <w:pPr>
        <w:spacing w:after="0" w:line="18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Severance and Other</w:t>
            </w:r>
          </w:p>
        </w:tc>
        <w:tc>
          <w:tcPr>
            <w:tcW w:w="320" w:type="dxa"/>
            <w:vAlign w:val="bottom"/>
          </w:tcPr>
          <w:p>
            <w:pPr>
              <w:spacing w:after="0"/>
              <w:rPr>
                <w:sz w:val="13"/>
                <w:szCs w:val="13"/>
                <w:color w:val="auto"/>
              </w:rPr>
            </w:pPr>
          </w:p>
        </w:tc>
        <w:tc>
          <w:tcPr>
            <w:tcW w:w="1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Facility Costs</w:t>
            </w:r>
          </w:p>
        </w:tc>
        <w:tc>
          <w:tcPr>
            <w:tcW w:w="460" w:type="dxa"/>
            <w:vAlign w:val="bottom"/>
          </w:tcPr>
          <w:p>
            <w:pPr>
              <w:spacing w:after="0"/>
              <w:rPr>
                <w:sz w:val="13"/>
                <w:szCs w:val="13"/>
                <w:color w:val="auto"/>
              </w:rPr>
            </w:pPr>
          </w:p>
        </w:tc>
        <w:tc>
          <w:tcPr>
            <w:tcW w:w="14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 Costs</w:t>
            </w:r>
          </w:p>
        </w:tc>
        <w:tc>
          <w:tcPr>
            <w:tcW w:w="3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center"/>
              <w:ind w:left="1035"/>
              <w:spacing w:after="0"/>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60" w:type="dxa"/>
            <w:vAlign w:val="bottom"/>
          </w:tcPr>
          <w:p>
            <w:pPr>
              <w:jc w:val="center"/>
              <w:ind w:left="1035"/>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95"/>
              <w:spacing w:after="0"/>
              <w:rPr>
                <w:sz w:val="20"/>
                <w:szCs w:val="20"/>
                <w:color w:val="auto"/>
              </w:rPr>
            </w:pPr>
            <w:r>
              <w:rPr>
                <w:rFonts w:ascii="Times New Roman" w:cs="Times New Roman" w:eastAsia="Times New Roman" w:hAnsi="Times New Roman"/>
                <w:sz w:val="18"/>
                <w:szCs w:val="18"/>
                <w:color w:val="auto"/>
                <w:w w:val="98"/>
              </w:rPr>
              <w:t>(2.9)</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60" w:type="dxa"/>
            <w:vAlign w:val="bottom"/>
          </w:tcPr>
          <w:p>
            <w:pPr>
              <w:jc w:val="center"/>
              <w:ind w:left="995"/>
              <w:spacing w:after="0"/>
              <w:rPr>
                <w:sz w:val="20"/>
                <w:szCs w:val="20"/>
                <w:color w:val="auto"/>
              </w:rPr>
            </w:pPr>
            <w:r>
              <w:rPr>
                <w:rFonts w:ascii="Times New Roman" w:cs="Times New Roman" w:eastAsia="Times New Roman" w:hAnsi="Times New Roman"/>
                <w:sz w:val="18"/>
                <w:szCs w:val="18"/>
                <w:color w:val="auto"/>
                <w:w w:val="98"/>
              </w:rPr>
              <w:t>(2.3)</w:t>
            </w:r>
          </w:p>
        </w:tc>
        <w:tc>
          <w:tcPr>
            <w:tcW w:w="0" w:type="dxa"/>
            <w:vAlign w:val="bottom"/>
          </w:tcPr>
          <w:p>
            <w:pPr>
              <w:spacing w:after="0"/>
              <w:rPr>
                <w:sz w:val="1"/>
                <w:szCs w:val="1"/>
                <w:color w:val="auto"/>
              </w:rPr>
            </w:pPr>
          </w:p>
        </w:tc>
      </w:tr>
      <w:tr>
        <w:trPr>
          <w:trHeight w:val="243"/>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center"/>
              <w:ind w:left="1035"/>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Severance and Other</w:t>
            </w:r>
          </w:p>
        </w:tc>
        <w:tc>
          <w:tcPr>
            <w:tcW w:w="320" w:type="dxa"/>
            <w:vAlign w:val="bottom"/>
          </w:tcPr>
          <w:p>
            <w:pPr>
              <w:spacing w:after="0"/>
              <w:rPr>
                <w:sz w:val="24"/>
                <w:szCs w:val="24"/>
                <w:color w:val="auto"/>
              </w:rPr>
            </w:pPr>
          </w:p>
        </w:tc>
        <w:tc>
          <w:tcPr>
            <w:tcW w:w="1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Facility Costs</w:t>
            </w:r>
          </w:p>
        </w:tc>
        <w:tc>
          <w:tcPr>
            <w:tcW w:w="460" w:type="dxa"/>
            <w:vAlign w:val="bottom"/>
          </w:tcPr>
          <w:p>
            <w:pPr>
              <w:spacing w:after="0"/>
              <w:rPr>
                <w:sz w:val="24"/>
                <w:szCs w:val="24"/>
                <w:color w:val="auto"/>
              </w:rPr>
            </w:pPr>
          </w:p>
        </w:tc>
        <w:tc>
          <w:tcPr>
            <w:tcW w:w="14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 Costs</w:t>
            </w:r>
          </w:p>
        </w:tc>
        <w:tc>
          <w:tcPr>
            <w:tcW w:w="3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center"/>
              <w:ind w:left="1035"/>
              <w:spacing w:after="0"/>
              <w:rPr>
                <w:sz w:val="20"/>
                <w:szCs w:val="20"/>
                <w:color w:val="auto"/>
              </w:rPr>
            </w:pPr>
            <w:r>
              <w:rPr>
                <w:rFonts w:ascii="Times New Roman" w:cs="Times New Roman" w:eastAsia="Times New Roman" w:hAnsi="Times New Roman"/>
                <w:sz w:val="18"/>
                <w:szCs w:val="18"/>
                <w:color w:val="auto"/>
                <w:w w:val="97"/>
              </w:rPr>
              <w:t>6.3</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center"/>
              <w:ind w:left="1035"/>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1035"/>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center"/>
              <w:ind w:left="1035"/>
              <w:spacing w:after="0"/>
              <w:rPr>
                <w:sz w:val="20"/>
                <w:szCs w:val="20"/>
                <w:color w:val="auto"/>
              </w:rPr>
            </w:pPr>
            <w:r>
              <w:rPr>
                <w:rFonts w:ascii="Times New Roman" w:cs="Times New Roman" w:eastAsia="Times New Roman" w:hAnsi="Times New Roman"/>
                <w:sz w:val="18"/>
                <w:szCs w:val="18"/>
                <w:color w:val="auto"/>
                <w:w w:val="97"/>
              </w:rPr>
              <w:t>7.2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current portion of the restructuring liabilities is included in the condensed consolidated and combined balance sheets in accrued expenses and other current liabilities. The non-current portion of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0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liabilities is included in the condensed consolidated and combined balance sheets in other liabilities. The non-current portion of the restructuring liabilities is expected to be paid out over 12 months.</w:t>
      </w:r>
    </w:p>
    <w:p>
      <w:pPr>
        <w:spacing w:after="0" w:line="1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166"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On June 30, 2023, the Separation from Labcorp was effected through a pro-rata distribution of one share of the Company’s common stock for every share of Labcorp common stock held at the close of business on the record date of June 20, 2023. As a result, on June 30, 2023, the Company had 88.8 shares of common stock outstanding. This share amount is being utilized for the calculation of basic earnings per share for all periods presented through the Separation date. As of the Separation date, actual outstanding shares are used to calculate basic weighted average common shares outstanding. 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and performance share awards.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(loss) per share to diluted earnings (loss) from continuing operations per share.</w:t>
      </w:r>
    </w:p>
    <w:p>
      <w:pPr>
        <w:spacing w:after="0" w:line="198"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4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r>
      <w:tr>
        <w:trPr>
          <w:trHeight w:val="188"/>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Per Share Amount</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Per Share Amount</w:t>
            </w:r>
          </w:p>
        </w:tc>
      </w:tr>
      <w:tr>
        <w:trPr>
          <w:trHeight w:val="24"/>
        </w:trPr>
        <w:tc>
          <w:tcPr>
            <w:tcW w:w="4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2"/>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from continuing operations per share:</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52"/>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1"/>
                <w:szCs w:val="21"/>
                <w:color w:val="auto"/>
              </w:rPr>
            </w:pPr>
          </w:p>
        </w:tc>
        <w:tc>
          <w:tcPr>
            <w:tcW w:w="44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5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employee stock options and awards</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43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Net earnings (loss) from continuing operations including</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dilutive adjustments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(loss) per share to diluted earnings (loss) from discontinued operations per share.</w:t>
      </w:r>
    </w:p>
    <w:p>
      <w:pPr>
        <w:spacing w:after="0" w:line="19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1"/>
        </w:trPr>
        <w:tc>
          <w:tcPr>
            <w:tcW w:w="4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5"/>
        </w:trPr>
        <w:tc>
          <w:tcPr>
            <w:tcW w:w="4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88"/>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Per Share Amount</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Per Share Amount</w:t>
            </w:r>
          </w:p>
        </w:tc>
      </w:tr>
      <w:tr>
        <w:trPr>
          <w:trHeight w:val="24"/>
        </w:trPr>
        <w:tc>
          <w:tcPr>
            <w:tcW w:w="4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4"/>
        </w:trPr>
        <w:tc>
          <w:tcPr>
            <w:tcW w:w="43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Basic earnings (loss) from discontinued operations per</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7"/>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52"/>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1"/>
                <w:szCs w:val="21"/>
                <w:color w:val="auto"/>
              </w:rPr>
            </w:pPr>
          </w:p>
        </w:tc>
        <w:tc>
          <w:tcPr>
            <w:tcW w:w="44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52"/>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employee stock options and awards</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43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Net earnings (loss) from discontinued operations including</w:t>
            </w: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dilutive adjustments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Diluted earnings per share represent the potential dilution that could occur if securities or other contracts to issue common stock were exercised or converted into common stock. These potential shares include dilutive stock options and unissued restricted stock awards. Potential common shares are also considered antidilutive in the event of a net loss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jc w:val="both"/>
        <w:ind w:right="24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earnings per share because their impact would have been antidilutive:</w:t>
      </w:r>
    </w:p>
    <w:p>
      <w:pPr>
        <w:spacing w:after="0" w:line="144"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78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Antidilutive employee stock options and awards excluded based on reporting a net loss for the 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goodwill and intangible assets are the result of historical acquisitions; primarily the acquisition of Covance in 2015 by Labcorp.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acquisitions of businesses were allocated to Fortrea based on the inclusion of the business activities using valuations at the time of acquisition.</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31, 2024 and 2023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4"/>
        </w:trPr>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impact and other adjustments to goodwill</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right="240" w:firstLine="318"/>
        <w:spacing w:after="0" w:line="259" w:lineRule="auto"/>
        <w:rPr>
          <w:sz w:val="20"/>
          <w:szCs w:val="20"/>
          <w:color w:val="auto"/>
        </w:rPr>
      </w:pPr>
      <w:r>
        <w:rPr>
          <w:rFonts w:ascii="Times New Roman" w:cs="Times New Roman" w:eastAsia="Times New Roman" w:hAnsi="Times New Roman"/>
          <w:sz w:val="18"/>
          <w:szCs w:val="18"/>
          <w:color w:val="auto"/>
        </w:rPr>
        <w:t>The Company assesses goodwill for impairment at least annually or whenever events or changes in circumstances indicate that the carrying amount of goodwill may not be recoverable. The Company recognizes an impairment charge for the amount by which the reporting unit’s carrying amount exceeds its fair value.</w:t>
      </w:r>
    </w:p>
    <w:p>
      <w:pPr>
        <w:spacing w:after="0" w:line="125"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7"/>
          <w:szCs w:val="17"/>
          <w:color w:val="auto"/>
        </w:rPr>
        <w:t>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w:t>
      </w:r>
    </w:p>
    <w:p>
      <w:pPr>
        <w:spacing w:after="0" w:line="114"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Accordingly, there can be no assurance that the estimates and assumptions made for the purposes of the goodwill impairment analysis will prove to be accurate predictions of future performance.</w:t>
      </w:r>
    </w:p>
    <w:p>
      <w:pPr>
        <w:spacing w:after="0" w:line="110"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3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identifiable intangible assets are as follows:</w:t>
      </w:r>
    </w:p>
    <w:p>
      <w:pPr>
        <w:spacing w:after="0" w:line="19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8"/>
        </w:trPr>
        <w:tc>
          <w:tcPr>
            <w:tcW w:w="29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78"/>
              <w:spacing w:after="0" w:line="128"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1"/>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4"/>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620" w:firstLine="318"/>
        <w:spacing w:after="0" w:line="304" w:lineRule="auto"/>
        <w:rPr>
          <w:sz w:val="20"/>
          <w:szCs w:val="20"/>
          <w:color w:val="auto"/>
        </w:rPr>
      </w:pPr>
      <w:r>
        <w:rPr>
          <w:rFonts w:ascii="Times New Roman" w:cs="Times New Roman" w:eastAsia="Times New Roman" w:hAnsi="Times New Roman"/>
          <w:sz w:val="17"/>
          <w:szCs w:val="17"/>
          <w:color w:val="auto"/>
        </w:rPr>
        <w:t>Amortization of intangible assets for the three months ended March 31, 2024 and 2023 was $15.3 and $15.0, respectively. Amortization expense of intangible assets is estimated to be $45.5 for the remainder of 2024, $58.3 in 2025, $57.4 in 2026, $57.4 in 2027, $50.1 in 2028 and $439.2 thereafter.</w:t>
      </w:r>
    </w:p>
    <w:p>
      <w:pPr>
        <w:spacing w:after="0" w:line="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66" w:lineRule="exact"/>
        <w:rPr>
          <w:sz w:val="20"/>
          <w:szCs w:val="20"/>
          <w:color w:val="auto"/>
        </w:rPr>
      </w:pPr>
    </w:p>
    <w:p>
      <w:pPr>
        <w:ind w:right="600" w:firstLine="636"/>
        <w:spacing w:after="0" w:line="255" w:lineRule="auto"/>
        <w:rPr>
          <w:sz w:val="20"/>
          <w:szCs w:val="20"/>
          <w:color w:val="auto"/>
        </w:rPr>
      </w:pPr>
      <w:r>
        <w:rPr>
          <w:rFonts w:ascii="Times New Roman" w:cs="Times New Roman" w:eastAsia="Times New Roman" w:hAnsi="Times New Roman"/>
          <w:sz w:val="18"/>
          <w:szCs w:val="18"/>
          <w:color w:val="auto"/>
        </w:rPr>
        <w:t>In connection with the Spin, Fortrea incurred indebtedness in an aggregate principal amount of approximately $1,640.0, which consisted of borrowings under senior secured term loan facilities and senior secured notes. Fortrea also entered into a $450.0 senior secured revolving credit facility. Fortrea used the proceeds from these debt transactions to make a cash distribution to Labcorp as consideration for the assets that were contributed to the Company in connection with the Spin.</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current portion of long-term debt at March 31, 2024 and December 31, 2023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senior secured term loan A facility due 2028</w:t>
            </w:r>
          </w:p>
        </w:tc>
        <w:tc>
          <w:tcPr>
            <w:tcW w:w="1640" w:type="dxa"/>
            <w:vAlign w:val="bottom"/>
            <w:shd w:val="clear" w:color="auto" w:fill="CCEEFF"/>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portion of senior secured term loan B facility due 2030</w:t>
            </w:r>
          </w:p>
        </w:tc>
        <w:tc>
          <w:tcPr>
            <w:tcW w:w="16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16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6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Debt issuance discount and fees</w:t>
            </w:r>
          </w:p>
        </w:tc>
        <w:tc>
          <w:tcPr>
            <w:tcW w:w="16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borrowings and current portion of long-term debt</w:t>
            </w:r>
          </w:p>
        </w:tc>
        <w:tc>
          <w:tcPr>
            <w:tcW w:w="1640" w:type="dxa"/>
            <w:vAlign w:val="bottom"/>
            <w:tcBorders>
              <w:bottom w:val="single" w:sz="8" w:color="auto"/>
            </w:tcBorders>
            <w:shd w:val="clear" w:color="auto" w:fill="CCEEFF"/>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Long-term debt at March 31, 2024 and December 31, 2023 consisted of the following:</w:t>
            </w: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46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 senior notes due 2030</w:t>
            </w:r>
          </w:p>
        </w:tc>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term loan A due 2028</w:t>
            </w:r>
          </w:p>
        </w:tc>
        <w:tc>
          <w:tcPr>
            <w:tcW w:w="16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B due 2030</w:t>
            </w:r>
          </w:p>
        </w:tc>
        <w:tc>
          <w:tcPr>
            <w:tcW w:w="16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discount and fees</w:t>
            </w:r>
          </w:p>
        </w:tc>
        <w:tc>
          <w:tcPr>
            <w:tcW w:w="16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0"/>
                <w:szCs w:val="20"/>
                <w:color w:val="auto"/>
              </w:rPr>
            </w:pPr>
          </w:p>
        </w:tc>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1,559.4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55" w:lineRule="exact"/>
        <w:rPr>
          <w:sz w:val="20"/>
          <w:szCs w:val="20"/>
          <w:color w:val="auto"/>
        </w:rPr>
      </w:pPr>
    </w:p>
    <w:p>
      <w:pPr>
        <w:ind w:right="140" w:firstLine="636"/>
        <w:spacing w:after="0" w:line="288" w:lineRule="auto"/>
        <w:rPr>
          <w:sz w:val="20"/>
          <w:szCs w:val="20"/>
          <w:color w:val="auto"/>
        </w:rPr>
      </w:pPr>
      <w:r>
        <w:rPr>
          <w:rFonts w:ascii="Times New Roman" w:cs="Times New Roman" w:eastAsia="Times New Roman" w:hAnsi="Times New Roman"/>
          <w:sz w:val="17"/>
          <w:szCs w:val="17"/>
          <w:color w:val="auto"/>
        </w:rPr>
        <w:t>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68" w:lineRule="exact"/>
        <w:rPr>
          <w:sz w:val="20"/>
          <w:szCs w:val="20"/>
          <w:color w:val="auto"/>
        </w:rPr>
      </w:pPr>
    </w:p>
    <w:p>
      <w:pPr>
        <w:ind w:right="320" w:firstLine="318"/>
        <w:spacing w:after="0" w:line="259" w:lineRule="auto"/>
        <w:rPr>
          <w:sz w:val="20"/>
          <w:szCs w:val="20"/>
          <w:color w:val="auto"/>
        </w:rPr>
      </w:pPr>
      <w:r>
        <w:rPr>
          <w:rFonts w:ascii="Times New Roman" w:cs="Times New Roman" w:eastAsia="Times New Roman" w:hAnsi="Times New Roman"/>
          <w:sz w:val="18"/>
          <w:szCs w:val="18"/>
          <w:color w:val="auto"/>
        </w:rPr>
        <w:t>On June 30, 2023, Fortrea entered into a credit agreement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w:t>
      </w:r>
    </w:p>
    <w:p>
      <w:pPr>
        <w:spacing w:after="0" w:line="125" w:lineRule="exact"/>
        <w:rPr>
          <w:sz w:val="20"/>
          <w:szCs w:val="20"/>
          <w:color w:val="auto"/>
        </w:rPr>
      </w:pPr>
    </w:p>
    <w:p>
      <w:pPr>
        <w:ind w:right="60" w:firstLine="238"/>
        <w:spacing w:after="0" w:line="252" w:lineRule="auto"/>
        <w:rPr>
          <w:sz w:val="20"/>
          <w:szCs w:val="20"/>
          <w:color w:val="auto"/>
        </w:rPr>
      </w:pPr>
      <w:r>
        <w:rPr>
          <w:rFonts w:ascii="Times New Roman" w:cs="Times New Roman" w:eastAsia="Times New Roman" w:hAnsi="Times New Roman"/>
          <w:sz w:val="18"/>
          <w:szCs w:val="18"/>
          <w:color w:val="auto"/>
        </w:rPr>
        <w:t>The Company drew on the term A and term B loans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March 31, 2024, the effective interest rate on the term A loan and term B loan was 7.58% and 9.08%, respectively.</w:t>
      </w:r>
    </w:p>
    <w:p>
      <w:pPr>
        <w:spacing w:after="0" w:line="132" w:lineRule="exact"/>
        <w:rPr>
          <w:sz w:val="20"/>
          <w:szCs w:val="20"/>
          <w:color w:val="auto"/>
        </w:rPr>
      </w:pPr>
    </w:p>
    <w:p>
      <w:pPr>
        <w:ind w:firstLine="238"/>
        <w:spacing w:after="0" w:line="252" w:lineRule="auto"/>
        <w:rPr>
          <w:sz w:val="20"/>
          <w:szCs w:val="20"/>
          <w:color w:val="auto"/>
        </w:rPr>
      </w:pPr>
      <w:r>
        <w:rPr>
          <w:rFonts w:ascii="Times New Roman" w:cs="Times New Roman" w:eastAsia="Times New Roman" w:hAnsi="Times New Roman"/>
          <w:sz w:val="18"/>
          <w:szCs w:val="18"/>
          <w:color w:val="auto"/>
        </w:rPr>
        <w:t>The revolving credit facility is permitted, subject to certain covenant restrictions, to be used for general corporate purposes, including working capital and capital expenditures. There was $29.0 outstanding on the Company’s current revolving credit facility as of March 31, 2024 and no balances outstanding as of December 31, 2023. As of March 31, 2024, the effective interest rate on the revolving credit facility was 9.75%. There is a commitment fee associated with the revolving credit facility of 0.35% (per annum and paid quarterly) and an annual $0.1 agency fee (paid in quarterly installments). The credit facility matures on June 30, 2028.</w:t>
      </w:r>
    </w:p>
    <w:p>
      <w:pPr>
        <w:spacing w:after="0" w:line="119" w:lineRule="exact"/>
        <w:rPr>
          <w:sz w:val="20"/>
          <w:szCs w:val="20"/>
          <w:color w:val="auto"/>
        </w:rPr>
      </w:pPr>
    </w:p>
    <w:p>
      <w:pPr>
        <w:ind w:right="80" w:firstLine="238"/>
        <w:spacing w:after="0" w:line="236" w:lineRule="auto"/>
        <w:rPr>
          <w:sz w:val="20"/>
          <w:szCs w:val="20"/>
          <w:color w:val="auto"/>
        </w:rPr>
      </w:pPr>
      <w:r>
        <w:rPr>
          <w:rFonts w:ascii="Times New Roman" w:cs="Times New Roman" w:eastAsia="Times New Roman" w:hAnsi="Times New Roman"/>
          <w:sz w:val="18"/>
          <w:szCs w:val="18"/>
          <w:color w:val="auto"/>
        </w:rPr>
        <w:t xml:space="preserve">Under the Credit Agreement, the Company is subject to negative covenants limiting subsidiary indebtedness and certain other covenants typical for similarly rated borrowers, and the Company is required to maintain certain net leverage and interest coverage ratios. The Company is permitted to make adjustments, such as excluding certain costs, from the calculation of leverage and interest coverage ratios for compliance purposes. The Company was in compliance with all covenants in the Credit Agreement at March 31, 2024 and believes it will be in compliance with all covenants for a period at least 12 months from the date these financial statements are issued. The covenants were modified subsequent to March 31, 2024, as described in </w:t>
      </w:r>
      <w:r>
        <w:rPr>
          <w:rFonts w:ascii="Times New Roman" w:cs="Times New Roman" w:eastAsia="Times New Roman" w:hAnsi="Times New Roman"/>
          <w:sz w:val="18"/>
          <w:szCs w:val="18"/>
          <w:i w:val="1"/>
          <w:iCs w:val="1"/>
          <w:color w:val="auto"/>
        </w:rPr>
        <w:t>Note 16 - 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outstanding letters of credit under the Credit Agreement as of March 31, 2024.</w:t>
      </w:r>
    </w:p>
    <w:p>
      <w:pPr>
        <w:spacing w:after="0" w:line="200" w:lineRule="exact"/>
        <w:rPr>
          <w:sz w:val="20"/>
          <w:szCs w:val="20"/>
          <w:color w:val="auto"/>
        </w:rPr>
      </w:pPr>
    </w:p>
    <w:p>
      <w:pPr>
        <w:spacing w:after="0" w:line="201" w:lineRule="exact"/>
        <w:rPr>
          <w:sz w:val="20"/>
          <w:szCs w:val="20"/>
          <w:color w:val="auto"/>
        </w:rPr>
      </w:pPr>
    </w:p>
    <w:p>
      <w:pPr>
        <w:ind w:left="320" w:right="6080" w:hanging="314"/>
        <w:spacing w:after="0" w:line="431" w:lineRule="auto"/>
        <w:tabs>
          <w:tab w:leader="none" w:pos="31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INSTRUMENTS AND HEDGING ACTIVITIES </w:t>
      </w:r>
      <w:r>
        <w:rPr>
          <w:rFonts w:ascii="Times New Roman" w:cs="Times New Roman" w:eastAsia="Times New Roman" w:hAnsi="Times New Roman"/>
          <w:sz w:val="18"/>
          <w:szCs w:val="18"/>
          <w:b w:val="1"/>
          <w:bCs w:val="1"/>
          <w:i w:val="1"/>
          <w:iCs w:val="1"/>
          <w:color w:val="auto"/>
        </w:rPr>
        <w:t>Summary of Derivative Instruments</w:t>
      </w:r>
    </w:p>
    <w:p>
      <w:pPr>
        <w:spacing w:after="0" w:line="1" w:lineRule="exact"/>
        <w:rPr>
          <w:sz w:val="20"/>
          <w:szCs w:val="20"/>
          <w:color w:val="auto"/>
        </w:rPr>
      </w:pPr>
    </w:p>
    <w:p>
      <w:pPr>
        <w:ind w:right="160" w:firstLine="318"/>
        <w:spacing w:after="0" w:line="271" w:lineRule="auto"/>
        <w:rPr>
          <w:sz w:val="20"/>
          <w:szCs w:val="20"/>
          <w:color w:val="auto"/>
        </w:rPr>
      </w:pPr>
      <w:r>
        <w:rPr>
          <w:rFonts w:ascii="Times New Roman" w:cs="Times New Roman" w:eastAsia="Times New Roman" w:hAnsi="Times New Roman"/>
          <w:sz w:val="17"/>
          <w:szCs w:val="17"/>
          <w:color w:val="auto"/>
        </w:rPr>
        <w:t>The Company addresses its exposure to market risks, principally the market risk associated with changes in interest rates and foreign currency exchange rates, through a controlled program of risk management that includes, from time to time, the use of derivative instruments such as foreign currency forward contracts and interest rate swap agreements. The Company does not hold or issue derivative instruments for trading purposes. The derivative instrument contracts are with major investment grade financial institutions and the Company does not anticipate any material non-performance by any of the counterparties. The Company does not believe that its exposure to market risk is material to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fair value of the Company’s interest rate swaps and foreign currency forward contracts are determined based on observable market inputs (Level 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derivatives on a gross basis and the balance sheet classification of those instruments:</w:t>
      </w:r>
    </w:p>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9"/>
              </w:rPr>
              <w:t>Fair Value of Derivatives At</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2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5"/>
        </w:trPr>
        <w:tc>
          <w:tcPr>
            <w:tcW w:w="27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60" w:type="dxa"/>
            <w:vAlign w:val="bottom"/>
            <w:tcBorders>
              <w:bottom w:val="single" w:sz="8" w:color="auto"/>
            </w:tcBorders>
          </w:tcPr>
          <w:p>
            <w:pPr>
              <w:spacing w:after="0"/>
              <w:rPr>
                <w:sz w:val="16"/>
                <w:szCs w:val="16"/>
                <w:color w:val="auto"/>
              </w:rPr>
            </w:pPr>
          </w:p>
        </w:tc>
      </w:tr>
      <w:tr>
        <w:trPr>
          <w:trHeight w:val="188"/>
        </w:trPr>
        <w:tc>
          <w:tcPr>
            <w:tcW w:w="2700" w:type="dxa"/>
            <w:vAlign w:val="bottom"/>
          </w:tcPr>
          <w:p>
            <w:pPr>
              <w:spacing w:after="0"/>
              <w:rPr>
                <w:sz w:val="16"/>
                <w:szCs w:val="16"/>
                <w:color w:val="auto"/>
              </w:rPr>
            </w:pPr>
          </w:p>
        </w:tc>
        <w:tc>
          <w:tcPr>
            <w:tcW w:w="25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6"/>
                <w:szCs w:val="16"/>
                <w:color w:val="auto"/>
              </w:rPr>
            </w:pP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0" w:type="dxa"/>
            <w:vAlign w:val="bottom"/>
          </w:tcPr>
          <w:p>
            <w:pPr>
              <w:spacing w:after="0"/>
              <w:rPr>
                <w:sz w:val="16"/>
                <w:szCs w:val="16"/>
                <w:color w:val="auto"/>
              </w:rPr>
            </w:pPr>
          </w:p>
        </w:tc>
        <w:tc>
          <w:tcPr>
            <w:tcW w:w="78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Pr>
          <w:p>
            <w:pPr>
              <w:spacing w:after="0"/>
              <w:rPr>
                <w:sz w:val="16"/>
                <w:szCs w:val="16"/>
                <w:color w:val="auto"/>
              </w:rPr>
            </w:pPr>
          </w:p>
        </w:tc>
        <w:tc>
          <w:tcPr>
            <w:tcW w:w="76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Notional</w:t>
            </w:r>
          </w:p>
        </w:tc>
      </w:tr>
      <w:tr>
        <w:trPr>
          <w:trHeight w:val="24"/>
        </w:trPr>
        <w:tc>
          <w:tcPr>
            <w:tcW w:w="2700" w:type="dxa"/>
            <w:vAlign w:val="bottom"/>
            <w:tcBorders>
              <w:bottom w:val="single" w:sz="8" w:color="CCEC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4"/>
        </w:trPr>
        <w:tc>
          <w:tcPr>
            <w:tcW w:w="2700" w:type="dxa"/>
            <w:vAlign w:val="bottom"/>
            <w:shd w:val="clear" w:color="auto" w:fill="CCECFF"/>
          </w:tcPr>
          <w:p>
            <w:pPr>
              <w:ind w:left="20"/>
              <w:spacing w:after="0" w:line="174"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4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r>
      <w:tr>
        <w:trPr>
          <w:trHeight w:val="237"/>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40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c>
          <w:tcPr>
            <w:tcW w:w="620" w:type="dxa"/>
            <w:vAlign w:val="bottom"/>
            <w:tcBorders>
              <w:bottom w:val="single" w:sz="8" w:color="CCECFF"/>
            </w:tcBorders>
            <w:shd w:val="clear" w:color="auto" w:fill="CCECFF"/>
          </w:tcPr>
          <w:p>
            <w:pPr>
              <w:spacing w:after="0"/>
              <w:rPr>
                <w:sz w:val="20"/>
                <w:szCs w:val="20"/>
                <w:color w:val="auto"/>
              </w:rPr>
            </w:pPr>
          </w:p>
        </w:tc>
        <w:tc>
          <w:tcPr>
            <w:tcW w:w="26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80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c>
          <w:tcPr>
            <w:tcW w:w="80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70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78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760" w:type="dxa"/>
            <w:vAlign w:val="bottom"/>
            <w:tcBorders>
              <w:bottom w:val="single" w:sz="8" w:color="CCECFF"/>
            </w:tcBorders>
            <w:shd w:val="clear" w:color="auto" w:fill="CCECFF"/>
          </w:tcPr>
          <w:p>
            <w:pPr>
              <w:spacing w:after="0"/>
              <w:rPr>
                <w:sz w:val="20"/>
                <w:szCs w:val="20"/>
                <w:color w:val="auto"/>
              </w:rPr>
            </w:pPr>
          </w:p>
        </w:tc>
      </w:tr>
      <w:tr>
        <w:trPr>
          <w:trHeight w:val="194"/>
        </w:trPr>
        <w:tc>
          <w:tcPr>
            <w:tcW w:w="27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Interest rate swaps</w:t>
            </w:r>
          </w:p>
        </w:tc>
        <w:tc>
          <w:tcPr>
            <w:tcW w:w="25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Prepaid expenses and other/</w:t>
            </w:r>
          </w:p>
        </w:tc>
        <w:tc>
          <w:tcPr>
            <w:tcW w:w="620" w:type="dxa"/>
            <w:vAlign w:val="bottom"/>
          </w:tcPr>
          <w:p>
            <w:pPr>
              <w:jc w:val="right"/>
              <w:ind w:right="438"/>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1.1</w:t>
            </w:r>
          </w:p>
        </w:tc>
        <w:tc>
          <w:tcPr>
            <w:tcW w:w="1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6"/>
                <w:szCs w:val="16"/>
                <w:color w:val="auto"/>
              </w:rPr>
            </w:pPr>
          </w:p>
        </w:tc>
        <w:tc>
          <w:tcPr>
            <w:tcW w:w="20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150.0</w:t>
            </w:r>
          </w:p>
        </w:tc>
      </w:tr>
      <w:tr>
        <w:trPr>
          <w:trHeight w:val="231"/>
        </w:trPr>
        <w:tc>
          <w:tcPr>
            <w:tcW w:w="2700" w:type="dxa"/>
            <w:vAlign w:val="bottom"/>
          </w:tcPr>
          <w:p>
            <w:pPr>
              <w:spacing w:after="0"/>
              <w:rPr>
                <w:sz w:val="20"/>
                <w:szCs w:val="20"/>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
        </w:trPr>
        <w:tc>
          <w:tcPr>
            <w:tcW w:w="2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4"/>
        </w:trPr>
        <w:tc>
          <w:tcPr>
            <w:tcW w:w="2700" w:type="dxa"/>
            <w:vAlign w:val="bottom"/>
            <w:shd w:val="clear" w:color="auto" w:fill="CCECFF"/>
          </w:tcPr>
          <w:p>
            <w:pPr>
              <w:ind w:left="20"/>
              <w:spacing w:after="0" w:line="194"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24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37"/>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240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194"/>
        </w:trPr>
        <w:tc>
          <w:tcPr>
            <w:tcW w:w="27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25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Prepaid expenses and other/</w:t>
            </w:r>
          </w:p>
        </w:tc>
        <w:tc>
          <w:tcPr>
            <w:tcW w:w="620" w:type="dxa"/>
            <w:vAlign w:val="bottom"/>
          </w:tcPr>
          <w:p>
            <w:pPr>
              <w:jc w:val="right"/>
              <w:ind w:right="438"/>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0.6</w:t>
            </w:r>
          </w:p>
        </w:tc>
        <w:tc>
          <w:tcPr>
            <w:tcW w:w="1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477.9</w:t>
            </w:r>
          </w:p>
        </w:tc>
        <w:tc>
          <w:tcPr>
            <w:tcW w:w="100" w:type="dxa"/>
            <w:vAlign w:val="bottom"/>
          </w:tcPr>
          <w:p>
            <w:pPr>
              <w:spacing w:after="0"/>
              <w:rPr>
                <w:sz w:val="16"/>
                <w:szCs w:val="16"/>
                <w:color w:val="auto"/>
              </w:rPr>
            </w:pPr>
          </w:p>
        </w:tc>
        <w:tc>
          <w:tcPr>
            <w:tcW w:w="20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458.3</w:t>
            </w:r>
          </w:p>
        </w:tc>
      </w:tr>
      <w:tr>
        <w:trPr>
          <w:trHeight w:val="231"/>
        </w:trPr>
        <w:tc>
          <w:tcPr>
            <w:tcW w:w="2700" w:type="dxa"/>
            <w:vAlign w:val="bottom"/>
          </w:tcPr>
          <w:p>
            <w:pPr>
              <w:spacing w:after="0"/>
              <w:rPr>
                <w:sz w:val="20"/>
                <w:szCs w:val="20"/>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46" w:lineRule="exact"/>
        <w:rPr>
          <w:sz w:val="20"/>
          <w:szCs w:val="20"/>
          <w:color w:val="auto"/>
        </w:rPr>
      </w:pPr>
    </w:p>
    <w:p>
      <w:pPr>
        <w:ind w:right="480" w:firstLine="280"/>
        <w:spacing w:after="0" w:line="243" w:lineRule="auto"/>
        <w:rPr>
          <w:sz w:val="20"/>
          <w:szCs w:val="20"/>
          <w:color w:val="auto"/>
        </w:rPr>
      </w:pPr>
      <w:r>
        <w:rPr>
          <w:rFonts w:ascii="Times New Roman" w:cs="Times New Roman" w:eastAsia="Times New Roman" w:hAnsi="Times New Roman"/>
          <w:sz w:val="18"/>
          <w:szCs w:val="18"/>
          <w:color w:val="auto"/>
        </w:rPr>
        <w:t>The following table presents the pre-tax effects of cash flow hedges included in the Company’s condensed consolidated and combined statements of comprehensive income (loss):</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20" w:type="dxa"/>
            <w:vAlign w:val="bottom"/>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Pre-Tax Gain (Loss) Included in Other Comprehensive Income</w:t>
            </w:r>
          </w:p>
        </w:tc>
      </w:tr>
      <w:tr>
        <w:trPr>
          <w:trHeight w:val="24"/>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181"/>
        </w:trPr>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20" w:type="dxa"/>
            <w:vAlign w:val="bottom"/>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1"/>
        </w:trPr>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62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5"/>
        </w:trPr>
        <w:tc>
          <w:tcPr>
            <w:tcW w:w="6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CFF"/>
          </w:tcPr>
          <w:p>
            <w:pPr>
              <w:spacing w:after="0"/>
              <w:rPr>
                <w:sz w:val="19"/>
                <w:szCs w:val="19"/>
                <w:color w:val="auto"/>
              </w:rPr>
            </w:pPr>
          </w:p>
        </w:tc>
        <w:tc>
          <w:tcPr>
            <w:tcW w:w="500" w:type="dxa"/>
            <w:vAlign w:val="bottom"/>
            <w:shd w:val="clear" w:color="auto" w:fill="CCEC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2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8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00" w:type="dxa"/>
            <w:vAlign w:val="bottom"/>
            <w:shd w:val="clear" w:color="auto" w:fill="CCECFF"/>
          </w:tcPr>
          <w:p>
            <w:pPr>
              <w:spacing w:after="0" w:line="20" w:lineRule="exact"/>
              <w:rPr>
                <w:sz w:val="1"/>
                <w:szCs w:val="1"/>
                <w:color w:val="auto"/>
              </w:rPr>
            </w:pPr>
          </w:p>
        </w:tc>
        <w:tc>
          <w:tcPr>
            <w:tcW w:w="1540" w:type="dxa"/>
            <w:vAlign w:val="bottom"/>
            <w:shd w:val="clear" w:color="auto" w:fill="CCECFF"/>
          </w:tcPr>
          <w:p>
            <w:pPr>
              <w:spacing w:after="0" w:line="20" w:lineRule="exact"/>
              <w:rPr>
                <w:sz w:val="1"/>
                <w:szCs w:val="1"/>
                <w:color w:val="auto"/>
              </w:rPr>
            </w:pPr>
          </w:p>
        </w:tc>
      </w:tr>
    </w:tbl>
    <w:p>
      <w:pPr>
        <w:spacing w:after="0" w:line="220" w:lineRule="exact"/>
        <w:rPr>
          <w:sz w:val="20"/>
          <w:szCs w:val="20"/>
          <w:color w:val="auto"/>
        </w:rPr>
      </w:pPr>
    </w:p>
    <w:p>
      <w:pPr>
        <w:jc w:val="both"/>
        <w:ind w:right="140" w:firstLine="280"/>
        <w:spacing w:after="0" w:line="243" w:lineRule="auto"/>
        <w:rPr>
          <w:sz w:val="20"/>
          <w:szCs w:val="20"/>
          <w:color w:val="auto"/>
        </w:rPr>
      </w:pPr>
      <w:r>
        <w:rPr>
          <w:rFonts w:ascii="Times New Roman" w:cs="Times New Roman" w:eastAsia="Times New Roman" w:hAnsi="Times New Roman"/>
          <w:sz w:val="18"/>
          <w:szCs w:val="18"/>
          <w:color w:val="auto"/>
        </w:rPr>
        <w:t>The following table presents amounts reclassified out of accumulated other comprehensive loss and recognized in condensed consolidated and combined statements of operations:</w:t>
      </w:r>
    </w:p>
    <w:p>
      <w:pPr>
        <w:spacing w:after="0" w:line="17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Amounts Reclassified from Other Comprehensive Loss into</w:t>
      </w:r>
    </w:p>
    <w:p>
      <w:pPr>
        <w:spacing w:after="0" w:line="16"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Earnings</w:t>
      </w:r>
    </w:p>
    <w:p>
      <w:pPr>
        <w:spacing w:after="0" w:line="11"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38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660" w:type="dxa"/>
            <w:vAlign w:val="bottom"/>
            <w:tcBorders>
              <w:top w:val="single" w:sz="8" w:color="auto"/>
            </w:tcBorders>
            <w:gridSpan w:val="4"/>
          </w:tcPr>
          <w:p>
            <w:pPr>
              <w:jc w:val="right"/>
              <w:ind w:right="10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2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Statement of Operations Classification</w:t>
            </w: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880" w:type="dxa"/>
            <w:vAlign w:val="bottom"/>
          </w:tcPr>
          <w:p>
            <w:pPr>
              <w:spacing w:after="0"/>
              <w:rPr>
                <w:sz w:val="15"/>
                <w:szCs w:val="15"/>
                <w:color w:val="auto"/>
              </w:rPr>
            </w:pPr>
          </w:p>
        </w:tc>
        <w:tc>
          <w:tcPr>
            <w:tcW w:w="27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3880" w:type="dxa"/>
            <w:vAlign w:val="bottom"/>
            <w:tcBorders>
              <w:bottom w:val="single" w:sz="8" w:color="CCEC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Deferred gain (loss) reclassified into earnings</w:t>
            </w:r>
          </w:p>
        </w:tc>
        <w:tc>
          <w:tcPr>
            <w:tcW w:w="2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CFF"/>
          </w:tcPr>
          <w:p>
            <w:pPr>
              <w:spacing w:after="0"/>
              <w:rPr>
                <w:sz w:val="19"/>
                <w:szCs w:val="19"/>
                <w:color w:val="auto"/>
              </w:rPr>
            </w:pPr>
          </w:p>
        </w:tc>
        <w:tc>
          <w:tcPr>
            <w:tcW w:w="500" w:type="dxa"/>
            <w:vAlign w:val="bottom"/>
            <w:shd w:val="clear" w:color="auto" w:fill="CCEC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CFF"/>
          </w:tcPr>
          <w:p>
            <w:pPr>
              <w:spacing w:after="0"/>
              <w:rPr>
                <w:sz w:val="19"/>
                <w:szCs w:val="19"/>
                <w:color w:val="auto"/>
              </w:rPr>
            </w:pPr>
          </w:p>
        </w:tc>
        <w:tc>
          <w:tcPr>
            <w:tcW w:w="500" w:type="dxa"/>
            <w:vAlign w:val="bottom"/>
            <w:shd w:val="clear" w:color="auto" w:fill="CCEC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shd w:val="clear" w:color="auto" w:fill="CCECFF"/>
          </w:tcPr>
          <w:p>
            <w:pPr>
              <w:spacing w:after="0" w:line="20" w:lineRule="exact"/>
              <w:rPr>
                <w:sz w:val="1"/>
                <w:szCs w:val="1"/>
                <w:color w:val="auto"/>
              </w:rPr>
            </w:pPr>
          </w:p>
        </w:tc>
        <w:tc>
          <w:tcPr>
            <w:tcW w:w="26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00" w:type="dxa"/>
            <w:vAlign w:val="bottom"/>
            <w:shd w:val="clear" w:color="auto" w:fill="CCECFF"/>
          </w:tcPr>
          <w:p>
            <w:pPr>
              <w:spacing w:after="0" w:line="20" w:lineRule="exact"/>
              <w:rPr>
                <w:sz w:val="1"/>
                <w:szCs w:val="1"/>
                <w:color w:val="auto"/>
              </w:rPr>
            </w:pPr>
          </w:p>
        </w:tc>
        <w:tc>
          <w:tcPr>
            <w:tcW w:w="15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00" w:type="dxa"/>
            <w:vAlign w:val="bottom"/>
            <w:shd w:val="clear" w:color="auto" w:fill="CCECFF"/>
          </w:tcPr>
          <w:p>
            <w:pPr>
              <w:spacing w:after="0" w:line="20" w:lineRule="exact"/>
              <w:rPr>
                <w:sz w:val="1"/>
                <w:szCs w:val="1"/>
                <w:color w:val="auto"/>
              </w:rPr>
            </w:pPr>
          </w:p>
        </w:tc>
        <w:tc>
          <w:tcPr>
            <w:tcW w:w="15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estimated amount of pre-tax net losses included in other comprehensive loss that is expected to be reclassified into earnings over the twelve months following March 31, 2024, is $1.1.</w:t>
      </w:r>
    </w:p>
    <w:p>
      <w:pPr>
        <w:spacing w:after="0" w:line="108" w:lineRule="exact"/>
        <w:rPr>
          <w:sz w:val="20"/>
          <w:szCs w:val="20"/>
          <w:color w:val="auto"/>
        </w:rPr>
      </w:pPr>
    </w:p>
    <w:p>
      <w:pPr>
        <w:ind w:right="260"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10 - Preferred Stock and Common Shareholders' Equity</w:t>
      </w:r>
      <w:r>
        <w:rPr>
          <w:rFonts w:ascii="Times New Roman" w:cs="Times New Roman" w:eastAsia="Times New Roman" w:hAnsi="Times New Roman"/>
          <w:sz w:val="18"/>
          <w:szCs w:val="18"/>
          <w:color w:val="auto"/>
        </w:rPr>
        <w:t xml:space="preserve"> for the impact of the Company’s derivative instruments included in accumulated other comprehensive loss.</w:t>
      </w:r>
    </w:p>
    <w:p>
      <w:pPr>
        <w:spacing w:after="0" w:line="96" w:lineRule="exact"/>
        <w:rPr>
          <w:sz w:val="20"/>
          <w:szCs w:val="20"/>
          <w:color w:val="auto"/>
        </w:rPr>
      </w:pPr>
    </w:p>
    <w:p>
      <w:pPr>
        <w:ind w:right="200" w:firstLine="280"/>
        <w:spacing w:after="0" w:line="243" w:lineRule="auto"/>
        <w:rPr>
          <w:sz w:val="20"/>
          <w:szCs w:val="20"/>
          <w:color w:val="auto"/>
        </w:rPr>
      </w:pPr>
      <w:r>
        <w:rPr>
          <w:rFonts w:ascii="Times New Roman" w:cs="Times New Roman" w:eastAsia="Times New Roman" w:hAnsi="Times New Roman"/>
          <w:sz w:val="18"/>
          <w:szCs w:val="18"/>
          <w:color w:val="auto"/>
        </w:rPr>
        <w:t>The following table presents a summary of the loss for derivative contracts not designated as hedges included in the Company’s condensed consolidated and combined statements of operations: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40" w:type="dxa"/>
            <w:vAlign w:val="bottom"/>
            <w:gridSpan w:val="4"/>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Gain (Loss) on Derivatives Recognized in Earnings</w:t>
            </w: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8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40" w:type="dxa"/>
            <w:vAlign w:val="bottom"/>
            <w:gridSpan w:val="4"/>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3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Statement of Operations Classification</w:t>
            </w: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880" w:type="dxa"/>
            <w:vAlign w:val="bottom"/>
          </w:tcPr>
          <w:p>
            <w:pPr>
              <w:spacing w:after="0"/>
              <w:rPr>
                <w:sz w:val="15"/>
                <w:szCs w:val="15"/>
                <w:color w:val="auto"/>
              </w:rPr>
            </w:pPr>
          </w:p>
        </w:tc>
        <w:tc>
          <w:tcPr>
            <w:tcW w:w="3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jc w:val="right"/>
              <w:ind w:right="8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3880" w:type="dxa"/>
            <w:vAlign w:val="bottom"/>
            <w:tcBorders>
              <w:bottom w:val="single" w:sz="8" w:color="CCECFF"/>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80" w:type="dxa"/>
            <w:vAlign w:val="bottom"/>
            <w:shd w:val="clear" w:color="auto" w:fill="CCECFF"/>
          </w:tcPr>
          <w:p>
            <w:pPr>
              <w:spacing w:after="0"/>
              <w:rPr>
                <w:sz w:val="19"/>
                <w:szCs w:val="19"/>
                <w:color w:val="auto"/>
              </w:rPr>
            </w:pPr>
          </w:p>
        </w:tc>
        <w:tc>
          <w:tcPr>
            <w:tcW w:w="3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CFF"/>
          </w:tcPr>
          <w:p>
            <w:pPr>
              <w:spacing w:after="0"/>
              <w:rPr>
                <w:sz w:val="19"/>
                <w:szCs w:val="19"/>
                <w:color w:val="auto"/>
              </w:rPr>
            </w:pPr>
          </w:p>
        </w:tc>
        <w:tc>
          <w:tcPr>
            <w:tcW w:w="500" w:type="dxa"/>
            <w:vAlign w:val="bottom"/>
            <w:shd w:val="clear" w:color="auto" w:fill="CCEC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shd w:val="clear" w:color="auto" w:fill="CCECFF"/>
          </w:tcPr>
          <w:p>
            <w:pPr>
              <w:spacing w:after="0" w:line="20" w:lineRule="exact"/>
              <w:rPr>
                <w:sz w:val="1"/>
                <w:szCs w:val="1"/>
                <w:color w:val="auto"/>
              </w:rPr>
            </w:pPr>
          </w:p>
        </w:tc>
        <w:tc>
          <w:tcPr>
            <w:tcW w:w="310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17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00" w:type="dxa"/>
            <w:vAlign w:val="bottom"/>
            <w:shd w:val="clear" w:color="auto" w:fill="CCECFF"/>
          </w:tcPr>
          <w:p>
            <w:pPr>
              <w:spacing w:after="0" w:line="20" w:lineRule="exact"/>
              <w:rPr>
                <w:sz w:val="1"/>
                <w:szCs w:val="1"/>
                <w:color w:val="auto"/>
              </w:rPr>
            </w:pPr>
          </w:p>
        </w:tc>
        <w:tc>
          <w:tcPr>
            <w:tcW w:w="15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18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16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is involved from time to time in various claims and legal actions arising in the ordinary course of business. These matters may include commercial and contract disputes, employee-related matters, and professional liability claims. In accordance with FASB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establishes reserves for claims and legal actions when those matters present loss contingencies that are both probable and estimable. When loss contingencies are not both probable and estimable, the Company does not establish reserves. The Company does not believe that any liabilities related to such claims and legal actions will have a material effect on its financial condition, results of operations or cash flows.</w:t>
      </w:r>
    </w:p>
    <w:p>
      <w:pPr>
        <w:spacing w:after="0" w:line="132"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7"/>
          <w:szCs w:val="17"/>
          <w:color w:val="auto"/>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spacing w:after="0" w:line="115"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12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It was previously disclosed that there were dosing sequence errors in a customer’s trial by a third-party vendor not associated with the Company. As part of working with this customer, the Company has agreed to make concessions and provide discounts and other consideration to the customer of an estimated amount of $12.5 as part of a multi-party solution to facilitate the ongoing trials, of which $1.7 was recorded as a reduction of revenue during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PREFERRED STOCK AND COMMON SHAREHOLDERS’ EQUITY</w:t>
      </w:r>
    </w:p>
    <w:p>
      <w:pPr>
        <w:spacing w:after="0" w:line="166"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The Company is authorized to issue up to 265.0 shares of common stock, par value $0.001 per share. The Company is authorized to issue up to 30.0 shares of preferred stock, par value $0.001 per share. There were no preferred shares outstanding as of March 31, 2024 and December 31, 2023.</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are as follows:</w:t>
      </w:r>
    </w:p>
    <w:p>
      <w:pPr>
        <w:spacing w:after="0" w:line="19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ectPr>
          <w:pgSz w:w="11900" w:h="16838" w:orient="portrait"/>
          <w:cols w:equalWidth="0" w:num="1">
            <w:col w:w="11220"/>
          </w:cols>
          <w:pgMar w:left="320" w:top="121" w:right="359" w:bottom="1440" w:gutter="0" w:footer="0" w:header="0"/>
        </w:sect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p>
      <w:pPr>
        <w:spacing w:after="0" w:line="38" w:lineRule="exact"/>
        <w:rPr>
          <w:sz w:val="20"/>
          <w:szCs w:val="20"/>
          <w:color w:val="auto"/>
        </w:rPr>
      </w:pPr>
    </w:p>
    <w:p>
      <w:pPr>
        <w:ind w:left="240"/>
        <w:spacing w:after="0" w:line="296" w:lineRule="auto"/>
        <w:rPr>
          <w:sz w:val="20"/>
          <w:szCs w:val="20"/>
          <w:color w:val="auto"/>
        </w:rPr>
      </w:pPr>
      <w:r>
        <w:rPr>
          <w:rFonts w:ascii="Times New Roman" w:cs="Times New Roman" w:eastAsia="Times New Roman" w:hAnsi="Times New Roman"/>
          <w:sz w:val="14"/>
          <w:szCs w:val="14"/>
          <w:color w:val="auto"/>
        </w:rPr>
        <w:t>Current quarter foreign exchange adjustments Unrealized gain on derivative instrument</w:t>
      </w:r>
    </w:p>
    <w:p>
      <w:pPr>
        <w:ind w:left="400" w:hanging="158"/>
        <w:spacing w:after="0" w:line="246" w:lineRule="auto"/>
        <w:rPr>
          <w:sz w:val="20"/>
          <w:szCs w:val="20"/>
          <w:color w:val="auto"/>
        </w:rPr>
      </w:pPr>
      <w:r>
        <w:rPr>
          <w:rFonts w:ascii="Times New Roman" w:cs="Times New Roman" w:eastAsia="Times New Roman" w:hAnsi="Times New Roman"/>
          <w:sz w:val="14"/>
          <w:szCs w:val="14"/>
          <w:color w:val="auto"/>
        </w:rPr>
        <w:t>Amounts reclassified from other accumulated income (loss)</w:t>
      </w:r>
    </w:p>
    <w:p>
      <w:pPr>
        <w:spacing w:after="0" w:line="1" w:lineRule="exact"/>
        <w:rPr>
          <w:sz w:val="20"/>
          <w:szCs w:val="20"/>
          <w:color w:val="auto"/>
        </w:rPr>
      </w:pPr>
    </w:p>
    <w:p>
      <w:pPr>
        <w:ind w:left="20" w:right="1160" w:firstLine="212"/>
        <w:spacing w:after="0" w:line="389" w:lineRule="auto"/>
        <w:rPr>
          <w:sz w:val="20"/>
          <w:szCs w:val="20"/>
          <w:color w:val="auto"/>
        </w:rPr>
      </w:pPr>
      <w:r>
        <w:rPr>
          <w:rFonts w:ascii="Times New Roman" w:cs="Times New Roman" w:eastAsia="Times New Roman" w:hAnsi="Times New Roman"/>
          <w:sz w:val="14"/>
          <w:szCs w:val="14"/>
          <w:color w:val="auto"/>
        </w:rPr>
        <w:t>Tax effect of adjustments Balance at March 31, 2024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000" w:type="dxa"/>
            <w:vAlign w:val="bottom"/>
            <w:tcBorders>
              <w:top w:val="single" w:sz="8" w:color="auto"/>
            </w:tcBorders>
            <w:gridSpan w:val="3"/>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w w:val="99"/>
              </w:rPr>
              <w:t>Foreign Currency Translation</w:t>
            </w:r>
          </w:p>
        </w:tc>
        <w:tc>
          <w:tcPr>
            <w:tcW w:w="2000" w:type="dxa"/>
            <w:vAlign w:val="bottom"/>
            <w:tcBorders>
              <w:top w:val="single" w:sz="8" w:color="auto"/>
            </w:tcBorders>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Net Benefit Plan Adjustments</w:t>
            </w: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Unrealized Gain (Loss) on</w:t>
            </w:r>
          </w:p>
        </w:tc>
        <w:tc>
          <w:tcPr>
            <w:tcW w:w="2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309"/>
              <w:spacing w:after="0" w:line="14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0" w:type="dxa"/>
            <w:vAlign w:val="bottom"/>
          </w:tcPr>
          <w:p>
            <w:pPr>
              <w:spacing w:after="0"/>
              <w:rPr>
                <w:sz w:val="1"/>
                <w:szCs w:val="1"/>
                <w:color w:val="auto"/>
              </w:rPr>
            </w:pPr>
          </w:p>
        </w:tc>
      </w:tr>
      <w:tr>
        <w:trPr>
          <w:trHeight w:val="183"/>
        </w:trPr>
        <w:tc>
          <w:tcPr>
            <w:tcW w:w="34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99"/>
        </w:trPr>
        <w:tc>
          <w:tcPr>
            <w:tcW w:w="340" w:type="dxa"/>
            <w:vAlign w:val="bottom"/>
          </w:tcPr>
          <w:p>
            <w:pPr>
              <w:spacing w:after="0"/>
              <w:rPr>
                <w:sz w:val="17"/>
                <w:szCs w:val="17"/>
                <w:color w:val="auto"/>
              </w:rPr>
            </w:pPr>
          </w:p>
        </w:tc>
        <w:tc>
          <w:tcPr>
            <w:tcW w:w="166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166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166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4"/>
        </w:trPr>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-891540</wp:posOffset>
            </wp:positionV>
            <wp:extent cx="7117715"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7715" cy="134620"/>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-630555</wp:posOffset>
            </wp:positionV>
            <wp:extent cx="7117715" cy="126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7715" cy="126365"/>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-294005</wp:posOffset>
            </wp:positionV>
            <wp:extent cx="7117715" cy="126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7715" cy="126365"/>
                    </a:xfrm>
                    <a:prstGeom prst="rect">
                      <a:avLst/>
                    </a:prstGeom>
                    <a:noFill/>
                  </pic:spPr>
                </pic:pic>
              </a:graphicData>
            </a:graphic>
          </wp:anchor>
        </w:drawing>
        <w:drawing>
          <wp:anchor simplePos="0" relativeHeight="251657728" behindDoc="1" locked="0" layoutInCell="0" allowOverlap="1">
            <wp:simplePos x="0" y="0"/>
            <wp:positionH relativeFrom="column">
              <wp:posOffset>-2065655</wp:posOffset>
            </wp:positionH>
            <wp:positionV relativeFrom="paragraph">
              <wp:posOffset>-16510</wp:posOffset>
            </wp:positionV>
            <wp:extent cx="7117715" cy="168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7715" cy="168275"/>
                    </a:xfrm>
                    <a:prstGeom prst="rect">
                      <a:avLst/>
                    </a:prstGeom>
                    <a:noFill/>
                  </pic:spPr>
                </pic:pic>
              </a:graphicData>
            </a:graphic>
          </wp:anchor>
        </w:drawing>
      </w:r>
    </w:p>
    <w:p>
      <w:pPr>
        <w:spacing w:after="0" w:line="2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p>
      <w:pPr>
        <w:spacing w:after="0" w:line="29" w:lineRule="exact"/>
        <w:rPr>
          <w:sz w:val="20"/>
          <w:szCs w:val="20"/>
          <w:color w:val="auto"/>
        </w:rPr>
      </w:pPr>
    </w:p>
    <w:p>
      <w:pPr>
        <w:sectPr>
          <w:pgSz w:w="11900" w:h="16838" w:orient="portrait"/>
          <w:cols w:equalWidth="0" w:num="2">
            <w:col w:w="2820" w:space="440"/>
            <w:col w:w="796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3260" w:type="dxa"/>
            <w:vAlign w:val="bottom"/>
          </w:tcPr>
          <w:p>
            <w:pPr>
              <w:spacing w:after="0"/>
              <w:rPr>
                <w:sz w:val="12"/>
                <w:szCs w:val="12"/>
                <w:color w:val="auto"/>
              </w:rPr>
            </w:pPr>
          </w:p>
        </w:tc>
        <w:tc>
          <w:tcPr>
            <w:tcW w:w="2000" w:type="dxa"/>
            <w:vAlign w:val="bottom"/>
            <w:tcBorders>
              <w:top w:val="single" w:sz="8" w:color="auto"/>
            </w:tcBorders>
            <w:gridSpan w:val="3"/>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color w:val="auto"/>
                <w:w w:val="99"/>
              </w:rPr>
              <w:t>Foreign Currency Translation</w:t>
            </w:r>
          </w:p>
        </w:tc>
        <w:tc>
          <w:tcPr>
            <w:tcW w:w="2000" w:type="dxa"/>
            <w:vAlign w:val="bottom"/>
            <w:tcBorders>
              <w:top w:val="single" w:sz="8" w:color="auto"/>
            </w:tcBorders>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Net Benefit Plan Adjustments</w:t>
            </w: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Unrealized Gain (Loss) on</w:t>
            </w:r>
          </w:p>
        </w:tc>
        <w:tc>
          <w:tcPr>
            <w:tcW w:w="2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309"/>
              <w:spacing w:after="0" w:line="14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0" w:type="dxa"/>
            <w:vAlign w:val="bottom"/>
          </w:tcPr>
          <w:p>
            <w:pPr>
              <w:spacing w:after="0"/>
              <w:rPr>
                <w:sz w:val="1"/>
                <w:szCs w:val="1"/>
                <w:color w:val="auto"/>
              </w:rPr>
            </w:pPr>
          </w:p>
        </w:tc>
      </w:tr>
      <w:tr>
        <w:trPr>
          <w:trHeight w:val="198"/>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0" w:type="dxa"/>
            <w:vAlign w:val="bottom"/>
          </w:tcPr>
          <w:p>
            <w:pPr>
              <w:spacing w:after="0"/>
              <w:rPr>
                <w:sz w:val="1"/>
                <w:szCs w:val="1"/>
                <w:color w:val="auto"/>
              </w:rPr>
            </w:pPr>
          </w:p>
        </w:tc>
      </w:tr>
      <w:tr>
        <w:trPr>
          <w:trHeight w:val="192"/>
        </w:trPr>
        <w:tc>
          <w:tcPr>
            <w:tcW w:w="3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quarter foreign exchange adjustments</w:t>
            </w:r>
          </w:p>
        </w:tc>
        <w:tc>
          <w:tcPr>
            <w:tcW w:w="3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88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24"/>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bottom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53" w:lineRule="exact"/>
        <w:rPr>
          <w:sz w:val="20"/>
          <w:szCs w:val="20"/>
          <w:color w:val="auto"/>
        </w:rPr>
      </w:pPr>
    </w:p>
    <w:p>
      <w:pPr>
        <w:ind w:right="40" w:firstLine="280"/>
        <w:spacing w:after="0" w:line="242" w:lineRule="auto"/>
        <w:rPr>
          <w:sz w:val="20"/>
          <w:szCs w:val="20"/>
          <w:color w:val="auto"/>
        </w:rPr>
      </w:pPr>
      <w:r>
        <w:rPr>
          <w:rFonts w:ascii="Times New Roman" w:cs="Times New Roman" w:eastAsia="Times New Roman" w:hAnsi="Times New Roman"/>
          <w:sz w:val="17"/>
          <w:szCs w:val="17"/>
          <w:color w:val="auto"/>
        </w:rPr>
        <w:t>For the three months ended March 31, 2024, the Company’s effective tax rate was 5.4% compared to 15.8% for the three months ended March 31, 2023. The effective tax rate for the three months ended March 31, 2024 was lower than the Company’s statutory tax rate primarily due to a change in valuation allowance, the geographic mix of earnings, and non-deductible compensation expenses. The effective tax rate for the three months ended March 31, 2023 was lower than the Company’s statutory tax rate primarily due to the geographic mix of earnings partially offset by U.S. taxes on foreign earnings.</w:t>
      </w:r>
    </w:p>
    <w:p>
      <w:pPr>
        <w:spacing w:after="0" w:line="126" w:lineRule="exact"/>
        <w:rPr>
          <w:sz w:val="20"/>
          <w:szCs w:val="20"/>
          <w:color w:val="auto"/>
        </w:rPr>
      </w:pPr>
    </w:p>
    <w:p>
      <w:pPr>
        <w:ind w:right="180" w:firstLine="280"/>
        <w:spacing w:after="0" w:line="232" w:lineRule="auto"/>
        <w:rPr>
          <w:sz w:val="20"/>
          <w:szCs w:val="20"/>
          <w:color w:val="auto"/>
        </w:rPr>
      </w:pPr>
      <w:r>
        <w:rPr>
          <w:rFonts w:ascii="Times New Roman" w:cs="Times New Roman" w:eastAsia="Times New Roman" w:hAnsi="Times New Roman"/>
          <w:sz w:val="18"/>
          <w:szCs w:val="18"/>
          <w:color w:val="auto"/>
        </w:rPr>
        <w:t>More specifically, for the quarter ended March 31, 2024, the Company included income tax expense of approximately $4.1 in continuing operations primarily due to a forecasted valuation allowance on the deferred tax asset for the carryforward of disallowed interest expense. This deferred tax asset exists due to limitations imposed under the Internal Revenue Code on the annual deductibility of business interest expense. This amount resulted in a significant impact to the effective tax rate from continuing operations.</w:t>
      </w:r>
    </w:p>
    <w:p>
      <w:pPr>
        <w:spacing w:after="0" w:line="114" w:lineRule="exact"/>
        <w:rPr>
          <w:sz w:val="20"/>
          <w:szCs w:val="20"/>
          <w:color w:val="auto"/>
        </w:rPr>
      </w:pPr>
    </w:p>
    <w:p>
      <w:pPr>
        <w:ind w:right="100" w:firstLine="280"/>
        <w:spacing w:after="0" w:line="243" w:lineRule="auto"/>
        <w:rPr>
          <w:sz w:val="20"/>
          <w:szCs w:val="20"/>
          <w:color w:val="auto"/>
        </w:rPr>
      </w:pPr>
      <w:r>
        <w:rPr>
          <w:rFonts w:ascii="Times New Roman" w:cs="Times New Roman" w:eastAsia="Times New Roman" w:hAnsi="Times New Roman"/>
          <w:sz w:val="18"/>
          <w:szCs w:val="18"/>
          <w:color w:val="auto"/>
        </w:rPr>
        <w:t>During the three months ended March 31, 2024, the amount of net unrecognized tax positions increased by $0.1 million. Management believes it is likely that none of the unrecognized income tax benefits and interest will decrease during the next 12 months.</w:t>
      </w:r>
    </w:p>
    <w:p>
      <w:pPr>
        <w:spacing w:after="0" w:line="122" w:lineRule="exact"/>
        <w:rPr>
          <w:sz w:val="20"/>
          <w:szCs w:val="20"/>
          <w:color w:val="auto"/>
        </w:rPr>
      </w:pPr>
    </w:p>
    <w:p>
      <w:pPr>
        <w:ind w:right="8080" w:firstLine="6"/>
        <w:spacing w:after="0" w:line="415" w:lineRule="auto"/>
        <w:tabs>
          <w:tab w:leader="none" w:pos="39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 Stock Incentive Plans</w:t>
      </w:r>
    </w:p>
    <w:p>
      <w:pPr>
        <w:spacing w:after="0" w:line="2" w:lineRule="exact"/>
        <w:rPr>
          <w:sz w:val="20"/>
          <w:szCs w:val="20"/>
          <w:color w:val="auto"/>
        </w:rPr>
      </w:pPr>
    </w:p>
    <w:p>
      <w:pPr>
        <w:ind w:right="220" w:firstLine="280"/>
        <w:spacing w:after="0" w:line="232" w:lineRule="auto"/>
        <w:rPr>
          <w:sz w:val="20"/>
          <w:szCs w:val="20"/>
          <w:color w:val="auto"/>
        </w:rPr>
      </w:pPr>
      <w:r>
        <w:rPr>
          <w:rFonts w:ascii="Times New Roman" w:cs="Times New Roman" w:eastAsia="Times New Roman" w:hAnsi="Times New Roman"/>
          <w:sz w:val="18"/>
          <w:szCs w:val="18"/>
          <w:color w:val="auto"/>
        </w:rPr>
        <w:t>Prior to the Separation, certain Company employees were covered by the Former Parent-sponsored stock compensation arrangements. The stock compensation expense for the period prior to the Separation has been derived from the equity awards granted by Labcorp to the Company’s employees who are specifically identified in the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0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4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as well as an allocation of expense related to corporate employees of Labcorp. The Former Parent-sponsored stock compensation arrangements are approved under the Laboratory Corporation of America Holdings 2016 Omnibus Incentive Plan (the “Labcorp Plan”).</w:t>
      </w:r>
    </w:p>
    <w:p>
      <w:pPr>
        <w:spacing w:after="0" w:line="124" w:lineRule="exact"/>
        <w:rPr>
          <w:sz w:val="20"/>
          <w:szCs w:val="20"/>
          <w:color w:val="auto"/>
        </w:rPr>
      </w:pPr>
    </w:p>
    <w:p>
      <w:pPr>
        <w:ind w:firstLine="280"/>
        <w:spacing w:after="0" w:line="228" w:lineRule="auto"/>
        <w:rPr>
          <w:sz w:val="20"/>
          <w:szCs w:val="20"/>
          <w:color w:val="auto"/>
        </w:rPr>
      </w:pPr>
      <w:r>
        <w:rPr>
          <w:rFonts w:ascii="Times New Roman" w:cs="Times New Roman" w:eastAsia="Times New Roman" w:hAnsi="Times New Roman"/>
          <w:sz w:val="18"/>
          <w:szCs w:val="18"/>
          <w:color w:val="auto"/>
        </w:rPr>
        <w:t>In June of 2023, Fortrea’s Board of Directors approved Fortrea’s Omnibus Incentive Plan and Employee Stock Purchase Plan (the “Plans”) and the current Board of Directors of Fortrea ratified the Plans by a unanimous written consent dated July 3, 2023. Under the Plans, the Company may grant incentive stock options, restricted stock units, and performance shares, as well as other forms of stock-based compensation to the Company’s employees, officers, and non-employee directors.</w:t>
      </w:r>
    </w:p>
    <w:p>
      <w:pPr>
        <w:spacing w:after="0" w:line="128" w:lineRule="exact"/>
        <w:rPr>
          <w:sz w:val="20"/>
          <w:szCs w:val="20"/>
          <w:color w:val="auto"/>
        </w:rPr>
      </w:pPr>
    </w:p>
    <w:p>
      <w:pPr>
        <w:ind w:right="120" w:firstLine="280"/>
        <w:spacing w:after="0" w:line="232" w:lineRule="auto"/>
        <w:rPr>
          <w:sz w:val="20"/>
          <w:szCs w:val="20"/>
          <w:color w:val="auto"/>
        </w:rPr>
      </w:pPr>
      <w:r>
        <w:rPr>
          <w:rFonts w:ascii="Times New Roman" w:cs="Times New Roman" w:eastAsia="Times New Roman" w:hAnsi="Times New Roman"/>
          <w:sz w:val="18"/>
          <w:szCs w:val="18"/>
          <w:color w:val="auto"/>
        </w:rPr>
        <w:t>On July 18, 2023, all Labcorp equity incentive awards held by Fortrea employees that were outstanding on the distribution date were converted to 2.5 shares of Fortrea restricted stock units and 0.1 shares of Fortrea performance shares from continuing operations. Additionally, during the three months ended March 31, 2024, the Company granted awards under the Plans, including restricted stock units and performance stock units, as indicated below.</w:t>
      </w:r>
    </w:p>
    <w:p>
      <w:pPr>
        <w:spacing w:after="0" w:line="115" w:lineRule="exact"/>
        <w:rPr>
          <w:sz w:val="20"/>
          <w:szCs w:val="20"/>
          <w:color w:val="auto"/>
        </w:rPr>
      </w:pPr>
    </w:p>
    <w:p>
      <w:pPr>
        <w:ind w:right="100" w:firstLine="280"/>
        <w:spacing w:after="0" w:line="258" w:lineRule="auto"/>
        <w:rPr>
          <w:sz w:val="20"/>
          <w:szCs w:val="20"/>
          <w:color w:val="auto"/>
        </w:rPr>
      </w:pPr>
      <w:r>
        <w:rPr>
          <w:rFonts w:ascii="Times New Roman" w:cs="Times New Roman" w:eastAsia="Times New Roman" w:hAnsi="Times New Roman"/>
          <w:sz w:val="18"/>
          <w:szCs w:val="18"/>
          <w:color w:val="auto"/>
        </w:rPr>
        <w:t>As of March 31, 2024, 11.0 and 1.8 shares were authorized for future grants under Fortrea’s Omnibus Incentive Plan and Employee Stock Purchase Plan, respectively.</w:t>
      </w:r>
    </w:p>
    <w:p>
      <w:pPr>
        <w:spacing w:after="0" w:line="98" w:lineRule="exact"/>
        <w:rPr>
          <w:sz w:val="20"/>
          <w:szCs w:val="20"/>
          <w:color w:val="auto"/>
        </w:rPr>
      </w:pPr>
    </w:p>
    <w:p>
      <w:pPr>
        <w:ind w:right="60" w:firstLine="280"/>
        <w:spacing w:after="0" w:line="225" w:lineRule="auto"/>
        <w:rPr>
          <w:sz w:val="20"/>
          <w:szCs w:val="20"/>
          <w:color w:val="auto"/>
        </w:rPr>
      </w:pPr>
      <w:r>
        <w:rPr>
          <w:rFonts w:ascii="Times New Roman" w:cs="Times New Roman" w:eastAsia="Times New Roman" w:hAnsi="Times New Roman"/>
          <w:sz w:val="18"/>
          <w:szCs w:val="18"/>
          <w:color w:val="auto"/>
        </w:rPr>
        <w:t>The Company measures stock compensation cost for all equity awards at fair value on the date of grant and recognizes compensation expense over the service period for awards expected to vest. The fair value of restricted stock units (“RSUs”) is determined based on the number of shares granted and the quoted price of Fortrea’s common stock on the grant date. The grant date fair value of performance awards is based on a Monte Carlo simulated fair value for the relative (as compared to the peer companies) total shareholder return component of the performance awards. Such value is recognized as an expense over the service period, net of estimated forfeitures and Fortrea’s determination of whether it is probable that the performance targets will be achieved. At the end of each reporting period, the Company reassesses the probability of achieving performance targets. The estimation of equity awards that will ultimately vest requires judgment and Fortrea considers many factors when estimating expected forfeitures, including types of awards, employee class, and historical experience.</w:t>
      </w:r>
    </w:p>
    <w:p>
      <w:pPr>
        <w:spacing w:after="0" w:line="1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2" w:lineRule="exact"/>
        <w:rPr>
          <w:sz w:val="20"/>
          <w:szCs w:val="20"/>
          <w:color w:val="auto"/>
        </w:rPr>
      </w:pPr>
    </w:p>
    <w:p>
      <w:pPr>
        <w:ind w:right="60" w:firstLine="280"/>
        <w:spacing w:after="0" w:line="232" w:lineRule="auto"/>
        <w:rPr>
          <w:sz w:val="20"/>
          <w:szCs w:val="20"/>
          <w:color w:val="auto"/>
        </w:rPr>
      </w:pPr>
      <w:r>
        <w:rPr>
          <w:rFonts w:ascii="Times New Roman" w:cs="Times New Roman" w:eastAsia="Times New Roman" w:hAnsi="Times New Roman"/>
          <w:sz w:val="18"/>
          <w:szCs w:val="18"/>
          <w:color w:val="auto"/>
        </w:rPr>
        <w:t>The following table summarizes grants of non-qualified options made by the Company to officers, key employees, or non-employee directors under all plans. Stock options are generally granted at an exercise price equal to or greater than the fair market price per share on the date of grant. Options vest ratably over a period of 3 years on the anniversaries of the grant date and have a contractual exercise period of 10 years subject to their earlier expiration or termination.</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Changes in options outstanding under the plans for the three months ended March 31, 2024, were as follows:</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Weighted-Average Exercise</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9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68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Aggregate Intrinsic Value</w:t>
            </w: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Price per Option</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5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9.4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Exercisable at March 31, 2024</w:t>
            </w:r>
          </w:p>
        </w:tc>
        <w:tc>
          <w:tcPr>
            <w:tcW w:w="15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61"/>
              <w:spacing w:after="0" w:line="204"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6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ind w:left="1160"/>
              <w:spacing w:after="0" w:line="204" w:lineRule="exact"/>
              <w:rPr>
                <w:sz w:val="20"/>
                <w:szCs w:val="20"/>
                <w:color w:val="auto"/>
              </w:rPr>
            </w:pPr>
            <w:r>
              <w:rPr>
                <w:rFonts w:ascii="Times New Roman" w:cs="Times New Roman" w:eastAsia="Times New Roman" w:hAnsi="Times New Roman"/>
                <w:sz w:val="18"/>
                <w:szCs w:val="18"/>
                <w:color w:val="auto"/>
              </w:rPr>
              <w:t>0.0 years</w:t>
            </w:r>
          </w:p>
        </w:tc>
        <w:tc>
          <w:tcPr>
            <w:tcW w:w="1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280"/>
        <w:spacing w:after="0" w:line="237"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the last trading day of the period and the exercise price, multiplied by the number of in-the-money options) that would have been received by the option holders had all option holders exercised their options on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0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41" w:lineRule="exact"/>
        <w:rPr>
          <w:sz w:val="20"/>
          <w:szCs w:val="20"/>
          <w:color w:val="auto"/>
        </w:rPr>
      </w:pPr>
    </w:p>
    <w:p>
      <w:pPr>
        <w:ind w:right="180" w:firstLine="280"/>
        <w:spacing w:after="0" w:line="243" w:lineRule="auto"/>
        <w:rPr>
          <w:sz w:val="20"/>
          <w:szCs w:val="20"/>
          <w:color w:val="auto"/>
        </w:rPr>
      </w:pPr>
      <w:r>
        <w:rPr>
          <w:rFonts w:ascii="Times New Roman" w:cs="Times New Roman" w:eastAsia="Times New Roman" w:hAnsi="Times New Roman"/>
          <w:sz w:val="18"/>
          <w:szCs w:val="18"/>
          <w:color w:val="auto"/>
        </w:rPr>
        <w:t>The Company uses the Black-Scholes model to calculate the fair value of stock options. The following table shows the weighted average grant-date fair values of options issued during the period and the weighted average assumptions that the Company used to develop the fair value estimates:</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 2024</w:t>
            </w:r>
          </w:p>
        </w:tc>
      </w:tr>
      <w:tr>
        <w:trPr>
          <w:trHeight w:val="24"/>
        </w:trPr>
        <w:tc>
          <w:tcPr>
            <w:tcW w:w="8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per option</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12.51</w:t>
            </w:r>
          </w:p>
        </w:tc>
      </w:tr>
      <w:tr>
        <w:trPr>
          <w:trHeight w:val="225"/>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life (in years)</w:t>
            </w:r>
          </w:p>
        </w:tc>
        <w:tc>
          <w:tcPr>
            <w:tcW w:w="88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8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5"/>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r>
      <w:tr>
        <w:trPr>
          <w:trHeight w:val="225"/>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7" w:lineRule="exact"/>
        <w:rPr>
          <w:sz w:val="20"/>
          <w:szCs w:val="20"/>
          <w:color w:val="auto"/>
        </w:rPr>
      </w:pPr>
    </w:p>
    <w:p>
      <w:pPr>
        <w:ind w:right="720" w:firstLine="280"/>
        <w:spacing w:after="0" w:line="243" w:lineRule="auto"/>
        <w:rPr>
          <w:sz w:val="20"/>
          <w:szCs w:val="20"/>
          <w:color w:val="auto"/>
        </w:rPr>
      </w:pPr>
      <w:r>
        <w:rPr>
          <w:rFonts w:ascii="Times New Roman" w:cs="Times New Roman" w:eastAsia="Times New Roman" w:hAnsi="Times New Roman"/>
          <w:sz w:val="18"/>
          <w:szCs w:val="18"/>
          <w:color w:val="auto"/>
        </w:rPr>
        <w:t>The volatility used in the determination of the fair value of the stock options was based on analysis of the historical volatility of guideline public companies and factors specific to the Company.</w:t>
      </w:r>
    </w:p>
    <w:p>
      <w:pPr>
        <w:spacing w:after="0" w:line="1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Shares</w:t>
      </w:r>
    </w:p>
    <w:p>
      <w:pPr>
        <w:spacing w:after="0" w:line="142" w:lineRule="exact"/>
        <w:rPr>
          <w:sz w:val="20"/>
          <w:szCs w:val="20"/>
          <w:color w:val="auto"/>
        </w:rPr>
      </w:pPr>
    </w:p>
    <w:p>
      <w:pPr>
        <w:ind w:firstLine="278"/>
        <w:spacing w:after="0" w:line="244" w:lineRule="auto"/>
        <w:rPr>
          <w:sz w:val="20"/>
          <w:szCs w:val="20"/>
          <w:color w:val="auto"/>
        </w:rPr>
      </w:pPr>
      <w:r>
        <w:rPr>
          <w:rFonts w:ascii="Times New Roman" w:cs="Times New Roman" w:eastAsia="Times New Roman" w:hAnsi="Times New Roman"/>
          <w:sz w:val="18"/>
          <w:szCs w:val="18"/>
          <w:color w:val="auto"/>
        </w:rPr>
        <w:t>The Company grants RSUs to officers, key employees, and non-employee directors. RSUs typically vest annually in equal one-third increments beginning on the first anniversary of the grant (e.g., a share grant in 2024 represents a three-year award opportunity for the period of 2024-2026 and, if earned, vests fully (to the extent earned) in the first quarter of 2027).</w:t>
      </w:r>
    </w:p>
    <w:p>
      <w:pPr>
        <w:spacing w:after="0" w:line="124" w:lineRule="exact"/>
        <w:rPr>
          <w:sz w:val="20"/>
          <w:szCs w:val="20"/>
          <w:color w:val="auto"/>
        </w:rPr>
      </w:pPr>
    </w:p>
    <w:p>
      <w:pPr>
        <w:ind w:firstLine="278"/>
        <w:spacing w:after="0" w:line="239" w:lineRule="auto"/>
        <w:rPr>
          <w:sz w:val="20"/>
          <w:szCs w:val="20"/>
          <w:color w:val="auto"/>
        </w:rPr>
      </w:pPr>
      <w:r>
        <w:rPr>
          <w:rFonts w:ascii="Times New Roman" w:cs="Times New Roman" w:eastAsia="Times New Roman" w:hAnsi="Times New Roman"/>
          <w:sz w:val="18"/>
          <w:szCs w:val="18"/>
          <w:color w:val="auto"/>
        </w:rPr>
        <w:t>The Company grants performance shares (non-vested shares) to officers and key employees. Performance share awards are subject to a 3 year cliff vesting period in addition to certain revenue and adjusted EBITDA targets and a total shareholder return multiplier, the achievement of which may increase or decrease the number of shares which the grantee earns and therefore receives upon vesting. Unearned RSU and performance share compensation is amortized to expense, when probable, over the applicable vesting periods.</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shows a summary of non-vested shares for the three months ended March 31, 2024:</w:t>
      </w:r>
    </w:p>
    <w:p>
      <w:pPr>
        <w:sectPr>
          <w:pgSz w:w="11900" w:h="16838" w:orient="portrait"/>
          <w:cols w:equalWidth="0" w:num="1">
            <w:col w:w="11200"/>
          </w:cols>
          <w:pgMar w:left="320" w:top="121" w:right="379" w:bottom="1440" w:gutter="0" w:footer="0" w:header="0"/>
        </w:sectPr>
      </w:pPr>
    </w:p>
    <w:p>
      <w:pPr>
        <w:spacing w:after="0" w:line="198"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31115</wp:posOffset>
            </wp:positionV>
            <wp:extent cx="22631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 w:lineRule="exact"/>
        <w:rPr>
          <w:sz w:val="20"/>
          <w:szCs w:val="20"/>
          <w:color w:val="auto"/>
        </w:rPr>
      </w:pPr>
    </w:p>
    <w:p>
      <w:pPr>
        <w:ind w:left="3820"/>
        <w:spacing w:after="0"/>
        <w:tabs>
          <w:tab w:leader="none" w:pos="5760" w:val="left"/>
        </w:tabs>
        <w:rPr>
          <w:sz w:val="20"/>
          <w:szCs w:val="20"/>
          <w:color w:val="auto"/>
        </w:rPr>
      </w:pPr>
      <w:r>
        <w:rPr>
          <w:rFonts w:ascii="Times New Roman" w:cs="Times New Roman" w:eastAsia="Times New Roman" w:hAnsi="Times New Roman"/>
          <w:sz w:val="14"/>
          <w:szCs w:val="14"/>
          <w:b w:val="1"/>
          <w:bCs w:val="1"/>
          <w:color w:val="auto"/>
        </w:rPr>
        <w:t>Restricted Stock Units</w:t>
      </w:r>
      <w:r>
        <w:rPr>
          <w:sz w:val="20"/>
          <w:szCs w:val="20"/>
          <w:color w:val="auto"/>
        </w:rPr>
        <w:tab/>
      </w:r>
      <w:r>
        <w:rPr>
          <w:rFonts w:ascii="Times New Roman" w:cs="Times New Roman" w:eastAsia="Times New Roman" w:hAnsi="Times New Roman"/>
          <w:sz w:val="14"/>
          <w:szCs w:val="14"/>
          <w:b w:val="1"/>
          <w:bCs w:val="1"/>
          <w:color w:val="auto"/>
        </w:rPr>
        <w:t>Performance Shares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Weighted-Average Grant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31115</wp:posOffset>
            </wp:positionV>
            <wp:extent cx="2271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1"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4"/>
          <w:szCs w:val="14"/>
          <w:b w:val="1"/>
          <w:bCs w:val="1"/>
          <w:color w:val="auto"/>
        </w:rPr>
        <w:t>Restricted Stock Units</w:t>
      </w:r>
      <w:r>
        <w:rPr>
          <w:sz w:val="20"/>
          <w:szCs w:val="20"/>
          <w:color w:val="auto"/>
        </w:rPr>
        <w:tab/>
      </w:r>
      <w:r>
        <w:rPr>
          <w:rFonts w:ascii="Times New Roman" w:cs="Times New Roman" w:eastAsia="Times New Roman" w:hAnsi="Times New Roman"/>
          <w:sz w:val="14"/>
          <w:szCs w:val="14"/>
          <w:b w:val="1"/>
          <w:bCs w:val="1"/>
          <w:color w:val="auto"/>
        </w:rPr>
        <w:t>Performance Shares</w:t>
      </w:r>
    </w:p>
    <w:p>
      <w:pPr>
        <w:spacing w:after="0" w:line="29" w:lineRule="exact"/>
        <w:rPr>
          <w:sz w:val="20"/>
          <w:szCs w:val="20"/>
          <w:color w:val="auto"/>
        </w:rPr>
      </w:pPr>
    </w:p>
    <w:p>
      <w:pPr>
        <w:sectPr>
          <w:pgSz w:w="11900" w:h="16838" w:orient="portrait"/>
          <w:cols w:equalWidth="0" w:num="2">
            <w:col w:w="7020" w:space="620"/>
            <w:col w:w="3560"/>
          </w:cols>
          <w:pgMar w:left="320" w:top="121" w:right="379" w:bottom="1440" w:gutter="0" w:footer="0" w:header="0"/>
          <w:type w:val="continuous"/>
        </w:sectPr>
      </w:pPr>
    </w:p>
    <w:tbl>
      <w:tblPr>
        <w:tblLayout w:type="fixed"/>
        <w:tblInd w:w="280" w:type="dxa"/>
        <w:tblCellMar>
          <w:top w:w="0" w:type="dxa"/>
          <w:left w:w="0" w:type="dxa"/>
          <w:bottom w:w="0" w:type="dxa"/>
          <w:right w:w="0" w:type="dxa"/>
        </w:tblCellMar>
      </w:tblPr>
      <w:tr>
        <w:trPr>
          <w:trHeight w:val="238"/>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top w:val="single" w:sz="8" w:color="auto"/>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28.24</w:t>
            </w:r>
          </w:p>
        </w:tc>
        <w:tc>
          <w:tcPr>
            <w:tcW w:w="78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Converted</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39.31</w:t>
            </w: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35.14</w:t>
            </w:r>
          </w:p>
        </w:tc>
        <w:tc>
          <w:tcPr>
            <w:tcW w:w="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29.62</w:t>
            </w:r>
          </w:p>
        </w:tc>
        <w:tc>
          <w:tcPr>
            <w:tcW w:w="7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r>
      <w:tr>
        <w:trPr>
          <w:trHeight w:val="20"/>
        </w:trPr>
        <w:tc>
          <w:tcPr>
            <w:tcW w:w="33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All Plans</w:t>
      </w:r>
    </w:p>
    <w:p>
      <w:pPr>
        <w:spacing w:after="0" w:line="155" w:lineRule="exact"/>
        <w:rPr>
          <w:sz w:val="20"/>
          <w:szCs w:val="20"/>
          <w:color w:val="auto"/>
        </w:rPr>
      </w:pPr>
    </w:p>
    <w:p>
      <w:pPr>
        <w:ind w:right="40" w:firstLine="280"/>
        <w:spacing w:after="0" w:line="243" w:lineRule="auto"/>
        <w:rPr>
          <w:sz w:val="20"/>
          <w:szCs w:val="20"/>
          <w:color w:val="auto"/>
        </w:rPr>
      </w:pPr>
      <w:r>
        <w:rPr>
          <w:rFonts w:ascii="Times New Roman" w:cs="Times New Roman" w:eastAsia="Times New Roman" w:hAnsi="Times New Roman"/>
          <w:sz w:val="18"/>
          <w:szCs w:val="18"/>
          <w:color w:val="auto"/>
        </w:rPr>
        <w:t>Total stock-based compensation expense and the associated income tax benefits recognized by the Company in the condensed consolidated and combined statements of operations were as follows:</w:t>
      </w:r>
    </w:p>
    <w:p>
      <w:pPr>
        <w:spacing w:after="0" w:line="14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3"/>
                <w:szCs w:val="13"/>
                <w:color w:val="auto"/>
              </w:rPr>
            </w:pPr>
          </w:p>
        </w:tc>
        <w:tc>
          <w:tcPr>
            <w:tcW w:w="20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r>
      <w:tr>
        <w:trPr>
          <w:trHeight w:val="191"/>
        </w:trPr>
        <w:tc>
          <w:tcPr>
            <w:tcW w:w="6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5" w:name="page26"/>
    <w:bookmarkEnd w:id="25"/>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Unrecognized Compensation Cost</w:t>
      </w:r>
    </w:p>
    <w:p>
      <w:pPr>
        <w:spacing w:after="0" w:line="140" w:lineRule="exact"/>
        <w:rPr>
          <w:sz w:val="20"/>
          <w:szCs w:val="20"/>
          <w:color w:val="auto"/>
        </w:rPr>
      </w:pPr>
    </w:p>
    <w:p>
      <w:pPr>
        <w:ind w:right="240" w:firstLine="280"/>
        <w:spacing w:after="0" w:line="237" w:lineRule="auto"/>
        <w:rPr>
          <w:sz w:val="20"/>
          <w:szCs w:val="20"/>
          <w:color w:val="auto"/>
        </w:rPr>
      </w:pPr>
      <w:r>
        <w:rPr>
          <w:rFonts w:ascii="Times New Roman" w:cs="Times New Roman" w:eastAsia="Times New Roman" w:hAnsi="Times New Roman"/>
          <w:sz w:val="18"/>
          <w:szCs w:val="18"/>
          <w:color w:val="auto"/>
        </w:rPr>
        <w:t>As of March 31, 2024, there was $119.3 of total unrecognized compensation cost related to non-vested stock options, restricted stock units and performance share-based compensation arrangements granted under the Plans. That cost is expected to be recognized over a weighted average period of 2.0 years and will be included in cost of revenues and selling, general and administrative expenses.</w:t>
      </w:r>
    </w:p>
    <w:p>
      <w:pPr>
        <w:spacing w:after="0" w:line="200" w:lineRule="exact"/>
        <w:rPr>
          <w:sz w:val="20"/>
          <w:szCs w:val="20"/>
          <w:color w:val="auto"/>
        </w:rPr>
      </w:pPr>
    </w:p>
    <w:p>
      <w:pPr>
        <w:spacing w:after="0" w:line="32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TRANSACTIONS WITH FORMER PARENT</w:t>
      </w:r>
    </w:p>
    <w:p>
      <w:pPr>
        <w:spacing w:after="0" w:line="166"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Prior to the Separation on June 30, 2023, the condensed consolidated and combined financial statements were prepared on a standalone basis and were derived from the condensed consolidated financial statements and accounting records of Labcorp. The following discussion summarizes activity between the Company and Labcorp. This activity, which occurred prior to the Separation, is included in the condensed combined financial statements.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and Other Expenses</w:t>
      </w:r>
    </w:p>
    <w:p>
      <w:pPr>
        <w:spacing w:after="0" w:line="168"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 xml:space="preserve">Prior to the Separation, the Company’s condensed consolidated and combined statements of operations included expenses for certain centralized functions and other programs provided and administered by Labcorp that were charged directly to the Company. In addition, for purposes of preparing these condensed consolidated and combined financial statements on a carve-out basis, a portion of Labcorp’s total corporate expenses were allocated to the Company.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1 - Basis of Financial Statement Presentation </w:t>
      </w:r>
      <w:r>
        <w:rPr>
          <w:rFonts w:ascii="Times New Roman" w:cs="Times New Roman" w:eastAsia="Times New Roman" w:hAnsi="Times New Roman"/>
          <w:sz w:val="18"/>
          <w:szCs w:val="18"/>
          <w:color w:val="auto"/>
        </w:rPr>
        <w:t>for a discussion of the methodology used to allocate corporate-related costs for purposes of preparing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on a carve-out basis. Some of these services continue to be provided by Labcorp to the Company on a temporary basis under the Transition Services Agreement.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is a summary of corporate and other allocations for the three months ended March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tcPr>
          <w:p>
            <w:pPr>
              <w:spacing w:after="0"/>
              <w:rPr>
                <w:sz w:val="16"/>
                <w:szCs w:val="16"/>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r>
      <w:tr>
        <w:trPr>
          <w:trHeight w:val="24"/>
        </w:trPr>
        <w:tc>
          <w:tcPr>
            <w:tcW w:w="8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5"/>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0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4"/>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allocations</w:t>
            </w:r>
          </w:p>
        </w:tc>
        <w:tc>
          <w:tcPr>
            <w:tcW w:w="1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Included in the aforementioned amounts are $73.4 related to costs for certain centralized functions and programs provided and administered by Labcorp that are charged directly to the Company for the three months ended March 31, 2023. In addition, a portion of Labcorp’s total corporate expenses were allocated to the Company for services from Labcorp. These costs were $22.0 for the three months ended March 31, 2023. The allocations of foreign exchange gain (loss) represent the allocation of the results of hedging activities performed by Labcorp on behalf of the Company prior to the Separation.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had arrangements with third parties where the services are subcontracted to Labcorp (and its affiliates that were not part of the transaction).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direct costs include services purchased from Labcorp for commercial contracts totaling $21.7 for the three months ended March 31, 2023.</w:t>
      </w:r>
    </w:p>
    <w:p>
      <w:pPr>
        <w:spacing w:after="0" w:line="145" w:lineRule="exact"/>
        <w:rPr>
          <w:sz w:val="20"/>
          <w:szCs w:val="20"/>
          <w:color w:val="auto"/>
        </w:rPr>
      </w:pPr>
    </w:p>
    <w:p>
      <w:pPr>
        <w:ind w:right="280" w:firstLine="318"/>
        <w:spacing w:after="0" w:line="255" w:lineRule="auto"/>
        <w:rPr>
          <w:sz w:val="20"/>
          <w:szCs w:val="20"/>
          <w:color w:val="auto"/>
        </w:rPr>
      </w:pPr>
      <w:r>
        <w:rPr>
          <w:rFonts w:ascii="Times New Roman" w:cs="Times New Roman" w:eastAsia="Times New Roman" w:hAnsi="Times New Roman"/>
          <w:sz w:val="18"/>
          <w:szCs w:val="18"/>
          <w:color w:val="auto"/>
        </w:rPr>
        <w:t>Management believes that the expense and cost allocations have been determined on a basis that is a reasonable reflection of the utilization of services provided or the benefit received by the Company during the three months ended March 31, 2023. The amounts that have been or will be incurred post-Separation on a stand-alone basis, could materially differ from the amounts allocated due to economies of scale, difference in management judgment, a requirement for more or fewer employees, or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16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 xml:space="preserve">Prior to the Separation, the Company did not enter into any derivative contracts with external counterparties. However, Labcorp entered into foreign currency forward contracts with external counterparties to hedge certain foreign currency transactions with exposure predominantly to the Euro and British Pound. These contracts did not qualify for hedge accounting and the changes in fair value are recorded directly to earnings. Earnings related to these contracts were included in the condensed consolidated and combined statements of operations as part of corporate allocations. Refer to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 Activities</w:t>
      </w:r>
      <w:r>
        <w:rPr>
          <w:rFonts w:ascii="Times New Roman" w:cs="Times New Roman" w:eastAsia="Times New Roman" w:hAnsi="Times New Roman"/>
          <w:sz w:val="18"/>
          <w:szCs w:val="18"/>
          <w:color w:val="auto"/>
        </w:rPr>
        <w:t>, for information regarding derivative contracts entered into after Separation.</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Transfers To and From Labcorp</w:t>
      </w:r>
    </w:p>
    <w:p>
      <w:pPr>
        <w:spacing w:after="0" w:line="168"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Net transfers to and from Labcorp are included within Former Parent company investment on the condensed consolidated and combined statements of changes in equity. The components of the transfers to and from Labcorp during the three months ended March 31, 2023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24"/>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General financing activities</w:t>
            </w:r>
          </w:p>
        </w:tc>
        <w:tc>
          <w:tcPr>
            <w:tcW w:w="9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allocations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transfers (to) from Former Parent</w:t>
            </w: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SUPPLEMENTAL CASH FLOW INFORMATION</w:t>
            </w:r>
          </w:p>
        </w:tc>
        <w:tc>
          <w:tcPr>
            <w:tcW w:w="9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0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020" w:type="dxa"/>
            <w:vAlign w:val="bottom"/>
          </w:tcPr>
          <w:p>
            <w:pPr>
              <w:spacing w:after="0"/>
              <w:rPr>
                <w:sz w:val="24"/>
                <w:szCs w:val="24"/>
                <w:color w:val="auto"/>
              </w:rPr>
            </w:pPr>
          </w:p>
        </w:tc>
        <w:tc>
          <w:tcPr>
            <w:tcW w:w="26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 of non-cash investing activities: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1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60" w:hanging="436"/>
        <w:spacing w:after="0"/>
        <w:tabs>
          <w:tab w:leader="none" w:pos="7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IMMATERIAL FINANCIAL RESTATEMENT AND RECLASSIFICATIONS TO PRIOR PERIOD FINANCIAL STATEMENTS</w:t>
      </w:r>
    </w:p>
    <w:p>
      <w:pPr>
        <w:spacing w:after="0" w:line="164" w:lineRule="exact"/>
        <w:rPr>
          <w:sz w:val="20"/>
          <w:szCs w:val="20"/>
          <w:color w:val="auto"/>
        </w:rPr>
      </w:pPr>
    </w:p>
    <w:p>
      <w:pPr>
        <w:ind w:right="40" w:firstLine="318"/>
        <w:spacing w:after="0" w:line="275"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color w:val="auto"/>
        </w:rPr>
        <w:t>Note 1 - Basis of Financial Statement Presentation</w:t>
      </w:r>
      <w:r>
        <w:rPr>
          <w:rFonts w:ascii="Times New Roman" w:cs="Times New Roman" w:eastAsia="Times New Roman" w:hAnsi="Times New Roman"/>
          <w:sz w:val="17"/>
          <w:szCs w:val="17"/>
          <w:color w:val="auto"/>
        </w:rPr>
        <w:t xml:space="preserve"> the Company identified errors in the consolidated and combined financial statements of prior periods. A summary of the corrections to the impacted financial statement line items in the previously issued Consolidated Balance Sheet as of December 31, 2023, and the Consolidated and Combined Statements of Operations, Comprehensive Income, Changes in Stockholders’ Equity, and Cash Flows as of and for the years ended December 31, 2023 and 2022, included in the previously filed Annual Report on Form 10-K, is provided below.</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summary of the corrections to the impacted financial statement line items in the Company’s previously issued Condensed Consolidated and Combined Statements of Operations, Comprehensive Income, Changes in Stockholders’ Equity, and Cash Flows for the quarterly periods ended March 31, June 30 and September 30 of 2023, which were previously filed in 2023, are also provided below.</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28" w:name="page29"/>
    <w:bookmarkEnd w:id="28"/>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290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rPr>
              <w:t>Discontinued</w:t>
            </w:r>
          </w:p>
        </w:tc>
        <w:tc>
          <w:tcPr>
            <w:tcW w:w="140" w:type="dxa"/>
            <w:vAlign w:val="bottom"/>
          </w:tcPr>
          <w:p>
            <w:pPr>
              <w:spacing w:after="0"/>
              <w:rPr>
                <w:sz w:val="10"/>
                <w:szCs w:val="10"/>
                <w:color w:val="auto"/>
              </w:rPr>
            </w:pP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As Restated and</w:t>
            </w: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vMerge w:val="restart"/>
          </w:tcPr>
          <w:p>
            <w:pPr>
              <w:jc w:val="right"/>
              <w:ind w:right="210"/>
              <w:spacing w:after="0" w:line="126"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As Restated</w:t>
            </w:r>
          </w:p>
        </w:tc>
        <w:tc>
          <w:tcPr>
            <w:tcW w:w="160" w:type="dxa"/>
            <w:vAlign w:val="bottom"/>
          </w:tcPr>
          <w:p>
            <w:pPr>
              <w:spacing w:after="0"/>
              <w:rPr>
                <w:sz w:val="4"/>
                <w:szCs w:val="4"/>
                <w:color w:val="auto"/>
              </w:rPr>
            </w:pPr>
          </w:p>
        </w:tc>
        <w:tc>
          <w:tcPr>
            <w:tcW w:w="1260" w:type="dxa"/>
            <w:vAlign w:val="bottom"/>
            <w:gridSpan w:val="2"/>
            <w:vMerge w:val="restart"/>
          </w:tcPr>
          <w:p>
            <w:pPr>
              <w:jc w:val="center"/>
              <w:ind w:right="260"/>
              <w:spacing w:after="0" w:line="126" w:lineRule="exact"/>
              <w:rPr>
                <w:sz w:val="20"/>
                <w:szCs w:val="20"/>
                <w:color w:val="auto"/>
              </w:rPr>
            </w:pPr>
            <w:r>
              <w:rPr>
                <w:rFonts w:ascii="Times New Roman" w:cs="Times New Roman" w:eastAsia="Times New Roman" w:hAnsi="Times New Roman"/>
                <w:sz w:val="12"/>
                <w:szCs w:val="12"/>
                <w:b w:val="1"/>
                <w:bCs w:val="1"/>
                <w:color w:val="auto"/>
              </w:rPr>
              <w:t>Operations</w:t>
            </w:r>
          </w:p>
        </w:tc>
        <w:tc>
          <w:tcPr>
            <w:tcW w:w="1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4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Reported</w:t>
            </w: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vMerge w:val="restart"/>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0" w:type="dxa"/>
            <w:vAlign w:val="bottom"/>
          </w:tcPr>
          <w:p>
            <w:pPr>
              <w:spacing w:after="0"/>
              <w:rPr>
                <w:sz w:val="1"/>
                <w:szCs w:val="1"/>
                <w:color w:val="auto"/>
              </w:rPr>
            </w:pPr>
          </w:p>
        </w:tc>
      </w:tr>
      <w:tr>
        <w:trPr>
          <w:trHeight w:val="90"/>
        </w:trPr>
        <w:tc>
          <w:tcPr>
            <w:tcW w:w="4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Reclassifications</w:t>
            </w: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4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108.6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191"/>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and unbilled services, net</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1,052.1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988.5</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12"/>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assets held for sale from discontinued operations</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92"/>
        </w:trPr>
        <w:tc>
          <w:tcPr>
            <w:tcW w:w="42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1,253.1</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1,250.8</w:t>
            </w:r>
          </w:p>
        </w:tc>
        <w:tc>
          <w:tcPr>
            <w:tcW w:w="0" w:type="dxa"/>
            <w:vAlign w:val="bottom"/>
          </w:tcPr>
          <w:p>
            <w:pPr>
              <w:spacing w:after="0"/>
              <w:rPr>
                <w:sz w:val="1"/>
                <w:szCs w:val="1"/>
                <w:color w:val="auto"/>
              </w:rPr>
            </w:pPr>
          </w:p>
        </w:tc>
      </w:tr>
      <w:tr>
        <w:trPr>
          <w:trHeight w:val="19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172.6</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net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2,029.3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1,739.4</w:t>
            </w:r>
          </w:p>
        </w:tc>
        <w:tc>
          <w:tcPr>
            <w:tcW w:w="0" w:type="dxa"/>
            <w:vAlign w:val="bottom"/>
          </w:tcPr>
          <w:p>
            <w:pPr>
              <w:spacing w:after="0"/>
              <w:rPr>
                <w:sz w:val="1"/>
                <w:szCs w:val="1"/>
                <w:color w:val="auto"/>
              </w:rPr>
            </w:pPr>
          </w:p>
        </w:tc>
      </w:tr>
      <w:tr>
        <w:trPr>
          <w:trHeight w:val="19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771.2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728.1</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 net</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assets held for sale from discontinued operations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368.8</w:t>
            </w:r>
          </w:p>
        </w:tc>
        <w:tc>
          <w:tcPr>
            <w:tcW w:w="0" w:type="dxa"/>
            <w:vAlign w:val="bottom"/>
          </w:tcPr>
          <w:p>
            <w:pPr>
              <w:spacing w:after="0"/>
              <w:rPr>
                <w:sz w:val="1"/>
                <w:szCs w:val="1"/>
                <w:color w:val="auto"/>
              </w:rPr>
            </w:pPr>
          </w:p>
        </w:tc>
      </w:tr>
      <w:tr>
        <w:trPr>
          <w:trHeight w:val="185"/>
        </w:trPr>
        <w:tc>
          <w:tcPr>
            <w:tcW w:w="4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4,357.2</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4,332.6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4,332.6</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132.9</w:t>
            </w:r>
          </w:p>
        </w:tc>
        <w:tc>
          <w:tcPr>
            <w:tcW w:w="0" w:type="dxa"/>
            <w:vAlign w:val="bottom"/>
          </w:tcPr>
          <w:p>
            <w:pPr>
              <w:spacing w:after="0"/>
              <w:rPr>
                <w:sz w:val="1"/>
                <w:szCs w:val="1"/>
                <w:color w:val="auto"/>
              </w:rPr>
            </w:pPr>
          </w:p>
        </w:tc>
      </w:tr>
      <w:tr>
        <w:trPr>
          <w:trHeight w:val="191"/>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335.5</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Unearned revenue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214.2</w:t>
            </w:r>
          </w:p>
        </w:tc>
        <w:tc>
          <w:tcPr>
            <w:tcW w:w="0" w:type="dxa"/>
            <w:vAlign w:val="bottom"/>
          </w:tcPr>
          <w:p>
            <w:pPr>
              <w:spacing w:after="0"/>
              <w:rPr>
                <w:sz w:val="1"/>
                <w:szCs w:val="1"/>
                <w:color w:val="auto"/>
              </w:rPr>
            </w:pPr>
          </w:p>
        </w:tc>
      </w:tr>
      <w:tr>
        <w:trPr>
          <w:trHeight w:val="191"/>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Short-term operating lease liabilities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12"/>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liabilities held for sale from discontinued operations</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92"/>
        </w:trPr>
        <w:tc>
          <w:tcPr>
            <w:tcW w:w="42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775.9</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778.4</w:t>
            </w:r>
          </w:p>
        </w:tc>
        <w:tc>
          <w:tcPr>
            <w:tcW w:w="0" w:type="dxa"/>
            <w:vAlign w:val="bottom"/>
          </w:tcPr>
          <w:p>
            <w:pPr>
              <w:spacing w:after="0"/>
              <w:rPr>
                <w:sz w:val="1"/>
                <w:szCs w:val="1"/>
                <w:color w:val="auto"/>
              </w:rPr>
            </w:pPr>
          </w:p>
        </w:tc>
      </w:tr>
      <w:tr>
        <w:trPr>
          <w:trHeight w:val="19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1,565.9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1,565.9</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9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and other tax liabilities</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147.7</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 held for sale from discontinued operations</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05"/>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2,618.4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2,618.5</w:t>
            </w:r>
          </w:p>
        </w:tc>
        <w:tc>
          <w:tcPr>
            <w:tcW w:w="0" w:type="dxa"/>
            <w:vAlign w:val="bottom"/>
          </w:tcPr>
          <w:p>
            <w:pPr>
              <w:spacing w:after="0"/>
              <w:rPr>
                <w:sz w:val="1"/>
                <w:szCs w:val="1"/>
                <w:color w:val="auto"/>
              </w:rPr>
            </w:pPr>
          </w:p>
        </w:tc>
      </w:tr>
      <w:tr>
        <w:trPr>
          <w:trHeight w:val="171"/>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Former parent investment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1"/>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2,006.2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1,998.0</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212"/>
        </w:trPr>
        <w:tc>
          <w:tcPr>
            <w:tcW w:w="4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0" w:type="dxa"/>
            <w:vAlign w:val="bottom"/>
          </w:tcPr>
          <w:p>
            <w:pPr>
              <w:spacing w:after="0"/>
              <w:rPr>
                <w:sz w:val="1"/>
                <w:szCs w:val="1"/>
                <w:color w:val="auto"/>
              </w:rPr>
            </w:pPr>
          </w:p>
        </w:tc>
      </w:tr>
      <w:tr>
        <w:trPr>
          <w:trHeight w:val="205"/>
        </w:trPr>
        <w:tc>
          <w:tcPr>
            <w:tcW w:w="42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1,738.8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1,714.1</w:t>
            </w:r>
          </w:p>
        </w:tc>
        <w:tc>
          <w:tcPr>
            <w:tcW w:w="0" w:type="dxa"/>
            <w:vAlign w:val="bottom"/>
          </w:tcPr>
          <w:p>
            <w:pPr>
              <w:spacing w:after="0"/>
              <w:rPr>
                <w:sz w:val="1"/>
                <w:szCs w:val="1"/>
                <w:color w:val="auto"/>
              </w:rPr>
            </w:pPr>
          </w:p>
        </w:tc>
      </w:tr>
      <w:tr>
        <w:trPr>
          <w:trHeight w:val="18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4,357.2</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4,332.6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4,332.6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0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COMBINED STATEMENT OF OPERATIONS</w:t>
      </w:r>
    </w:p>
    <w:p>
      <w:pPr>
        <w:spacing w:after="0" w:line="20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p>
      <w:pPr>
        <w:spacing w:after="0" w:line="29" w:lineRule="exact"/>
        <w:rPr>
          <w:sz w:val="20"/>
          <w:szCs w:val="20"/>
          <w:color w:val="auto"/>
        </w:rPr>
      </w:pPr>
    </w:p>
    <w:tbl>
      <w:tblPr>
        <w:tblLayout w:type="fixed"/>
        <w:tblInd w:w="2900" w:type="dxa"/>
        <w:tblCellMar>
          <w:top w:w="0" w:type="dxa"/>
          <w:left w:w="0" w:type="dxa"/>
          <w:bottom w:w="0" w:type="dxa"/>
          <w:right w:w="0" w:type="dxa"/>
        </w:tblCellMar>
      </w:tblPr>
      <w:tr>
        <w:trPr>
          <w:trHeight w:val="146"/>
        </w:trPr>
        <w:tc>
          <w:tcPr>
            <w:tcW w:w="12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1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Discontinued</w:t>
            </w:r>
          </w:p>
        </w:tc>
        <w:tc>
          <w:tcPr>
            <w:tcW w:w="1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Change in Basis of</w:t>
            </w:r>
          </w:p>
        </w:tc>
        <w:tc>
          <w:tcPr>
            <w:tcW w:w="1340" w:type="dxa"/>
            <w:vAlign w:val="bottom"/>
            <w:tcBorders>
              <w:top w:val="single" w:sz="8" w:color="auto"/>
            </w:tcBorders>
            <w:vMerge w:val="restart"/>
          </w:tcPr>
          <w:p>
            <w:pPr>
              <w:jc w:val="center"/>
              <w:ind w:left="18"/>
              <w:spacing w:after="0"/>
              <w:rPr>
                <w:sz w:val="20"/>
                <w:szCs w:val="20"/>
                <w:color w:val="auto"/>
              </w:rPr>
            </w:pPr>
            <w:r>
              <w:rPr>
                <w:rFonts w:ascii="Times New Roman" w:cs="Times New Roman" w:eastAsia="Times New Roman" w:hAnsi="Times New Roman"/>
                <w:sz w:val="12"/>
                <w:szCs w:val="12"/>
                <w:b w:val="1"/>
                <w:bCs w:val="1"/>
                <w:color w:val="auto"/>
              </w:rPr>
              <w:t>As Restated and</w:t>
            </w:r>
          </w:p>
        </w:tc>
        <w:tc>
          <w:tcPr>
            <w:tcW w:w="0" w:type="dxa"/>
            <w:vAlign w:val="bottom"/>
          </w:tcPr>
          <w:p>
            <w:pPr>
              <w:spacing w:after="0"/>
              <w:rPr>
                <w:sz w:val="1"/>
                <w:szCs w:val="1"/>
                <w:color w:val="auto"/>
              </w:rPr>
            </w:pPr>
          </w:p>
        </w:tc>
      </w:tr>
      <w:tr>
        <w:trPr>
          <w:trHeight w:val="53"/>
        </w:trPr>
        <w:tc>
          <w:tcPr>
            <w:tcW w:w="1280" w:type="dxa"/>
            <w:vAlign w:val="bottom"/>
            <w:vMerge w:val="continue"/>
          </w:tcPr>
          <w:p>
            <w:pPr>
              <w:spacing w:after="0"/>
              <w:rPr>
                <w:sz w:val="4"/>
                <w:szCs w:val="4"/>
                <w:color w:val="auto"/>
              </w:rPr>
            </w:pPr>
          </w:p>
        </w:tc>
        <w:tc>
          <w:tcPr>
            <w:tcW w:w="1280" w:type="dxa"/>
            <w:vAlign w:val="bottom"/>
            <w:vMerge w:val="restart"/>
          </w:tcPr>
          <w:p>
            <w:pPr>
              <w:ind w:left="300"/>
              <w:spacing w:after="0" w:line="126"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12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2"/>
                <w:szCs w:val="12"/>
                <w:b w:val="1"/>
                <w:bCs w:val="1"/>
                <w:color w:val="auto"/>
              </w:rPr>
              <w:t>As Restated</w:t>
            </w:r>
          </w:p>
        </w:tc>
        <w:tc>
          <w:tcPr>
            <w:tcW w:w="1440" w:type="dxa"/>
            <w:vAlign w:val="bottom"/>
            <w:vMerge w:val="restart"/>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Operations</w:t>
            </w:r>
          </w:p>
        </w:tc>
        <w:tc>
          <w:tcPr>
            <w:tcW w:w="156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2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Presentation</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Reclassifications</w:t>
            </w:r>
          </w:p>
        </w:tc>
        <w:tc>
          <w:tcPr>
            <w:tcW w:w="156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10795</wp:posOffset>
            </wp:positionV>
            <wp:extent cx="6857365" cy="142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7365" cy="14287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p>
      <w:pPr>
        <w:spacing w:after="0" w:line="21" w:lineRule="exact"/>
        <w:rPr>
          <w:sz w:val="20"/>
          <w:szCs w:val="20"/>
          <w:color w:val="auto"/>
        </w:rPr>
      </w:pPr>
    </w:p>
    <w:p>
      <w:pPr>
        <w:ind w:left="240"/>
        <w:spacing w:after="0"/>
        <w:tabs>
          <w:tab w:leader="none" w:pos="2900" w:val="left"/>
        </w:tabs>
        <w:rPr>
          <w:sz w:val="20"/>
          <w:szCs w:val="20"/>
          <w:color w:val="auto"/>
        </w:rPr>
      </w:pPr>
      <w:r>
        <w:rPr>
          <w:rFonts w:ascii="Times New Roman" w:cs="Times New Roman" w:eastAsia="Times New Roman" w:hAnsi="Times New Roman"/>
          <w:sz w:val="12"/>
          <w:szCs w:val="12"/>
          <w:color w:val="auto"/>
        </w:rPr>
        <w:t>Revenues</w:t>
      </w:r>
      <w:r>
        <w:rPr>
          <w:sz w:val="20"/>
          <w:szCs w:val="20"/>
          <w:color w:val="auto"/>
        </w:rPr>
        <w:tab/>
      </w:r>
      <w:r>
        <w:rPr>
          <w:rFonts w:ascii="Times New Roman" w:cs="Times New Roman" w:eastAsia="Times New Roman" w:hAnsi="Times New Roman"/>
          <w:sz w:val="12"/>
          <w:szCs w:val="12"/>
          <w:color w:val="auto"/>
        </w:rPr>
        <w:t>$</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Costs and expenses:</w:t>
      </w:r>
    </w:p>
    <w:p>
      <w:pPr>
        <w:spacing w:after="0" w:line="38" w:lineRule="exact"/>
        <w:rPr>
          <w:sz w:val="20"/>
          <w:szCs w:val="20"/>
          <w:color w:val="auto"/>
        </w:rPr>
      </w:pPr>
    </w:p>
    <w:p>
      <w:pPr>
        <w:ind w:left="240" w:right="380"/>
        <w:spacing w:after="0" w:line="246" w:lineRule="auto"/>
        <w:rPr>
          <w:sz w:val="20"/>
          <w:szCs w:val="20"/>
          <w:color w:val="auto"/>
        </w:rPr>
      </w:pPr>
      <w:r>
        <w:rPr>
          <w:rFonts w:ascii="Times New Roman" w:cs="Times New Roman" w:eastAsia="Times New Roman" w:hAnsi="Times New Roman"/>
          <w:sz w:val="14"/>
          <w:szCs w:val="14"/>
          <w:color w:val="auto"/>
        </w:rPr>
        <w:t>Direct costs, exclusive of depreciation and amortization</w:t>
      </w:r>
    </w:p>
    <w:p>
      <w:pPr>
        <w:spacing w:after="0" w:line="1" w:lineRule="exact"/>
        <w:rPr>
          <w:sz w:val="20"/>
          <w:szCs w:val="20"/>
          <w:color w:val="auto"/>
        </w:rPr>
      </w:pPr>
    </w:p>
    <w:p>
      <w:pPr>
        <w:ind w:left="240" w:right="220"/>
        <w:spacing w:after="0" w:line="246" w:lineRule="auto"/>
        <w:rPr>
          <w:sz w:val="20"/>
          <w:szCs w:val="20"/>
          <w:color w:val="auto"/>
        </w:rPr>
      </w:pPr>
      <w:r>
        <w:rPr>
          <w:rFonts w:ascii="Times New Roman" w:cs="Times New Roman" w:eastAsia="Times New Roman" w:hAnsi="Times New Roman"/>
          <w:sz w:val="14"/>
          <w:szCs w:val="14"/>
          <w:color w:val="auto"/>
        </w:rPr>
        <w:t>Selling, general and administrative expenses, exclusive of depreciation and amortization</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Restructuring and other charges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
        </w:trPr>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184"/>
        </w:trPr>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764.2</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763.7</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693.9</w:t>
            </w:r>
          </w:p>
        </w:tc>
      </w:tr>
      <w:tr>
        <w:trPr>
          <w:trHeight w:val="454"/>
        </w:trPr>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636.2</w:t>
            </w:r>
          </w:p>
        </w:tc>
        <w:tc>
          <w:tcPr>
            <w:tcW w:w="5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636.2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541.5</w:t>
            </w:r>
          </w:p>
        </w:tc>
      </w:tr>
      <w:tr>
        <w:trPr>
          <w:trHeight w:val="331"/>
        </w:trPr>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78.0</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r>
      <w:tr>
        <w:trPr>
          <w:trHeight w:val="265"/>
        </w:trPr>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22.8</w:t>
            </w:r>
          </w:p>
        </w:tc>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99"/>
        </w:trPr>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5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-657225</wp:posOffset>
            </wp:positionV>
            <wp:extent cx="6857365" cy="210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7365" cy="21018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-236220</wp:posOffset>
            </wp:positionV>
            <wp:extent cx="6857365" cy="126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7365" cy="12636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3020" w:space="720"/>
            <w:col w:w="7280"/>
          </w:cols>
          <w:pgMar w:left="320" w:top="121" w:right="559" w:bottom="1440" w:gutter="0" w:footer="0" w:header="0"/>
          <w:type w:val="continuous"/>
        </w:sectPr>
      </w:pPr>
    </w:p>
    <w:tbl>
      <w:tblPr>
        <w:tblLayout w:type="fixed"/>
        <w:tblInd w:w="240" w:type="dxa"/>
        <w:tblCellMar>
          <w:top w:w="0" w:type="dxa"/>
          <w:left w:w="0" w:type="dxa"/>
          <w:bottom w:w="0" w:type="dxa"/>
          <w:right w:w="0" w:type="dxa"/>
        </w:tblCellMar>
      </w:tblPr>
      <w:tr>
        <w:trPr>
          <w:trHeight w:val="212"/>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costs and expenses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743.7</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w:t>
            </w:r>
          </w:p>
        </w:tc>
      </w:tr>
      <w:tr>
        <w:trPr>
          <w:trHeight w:val="185"/>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Other, net</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99"/>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9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gridSpan w:val="3"/>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7"/>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Basic - continuing operations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r>
      <w:tr>
        <w:trPr>
          <w:trHeight w:val="20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 discontinued operations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185"/>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8"/>
        </w:trPr>
        <w:tc>
          <w:tcPr>
            <w:tcW w:w="2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19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Diluted - continuing operations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r>
      <w:tr>
        <w:trPr>
          <w:trHeight w:val="20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 discontinued operations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185"/>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27"/>
        </w:trPr>
        <w:tc>
          <w:tcPr>
            <w:tcW w:w="2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type w:val="continuous"/>
        </w:sectPr>
      </w:pPr>
    </w:p>
    <w:bookmarkStart w:id="30" w:name="page31"/>
    <w:bookmarkEnd w:id="30"/>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0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OPERATIONS</w:t>
      </w:r>
    </w:p>
    <w:p>
      <w:pPr>
        <w:spacing w:after="0" w:line="200"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Discontinued</w:t>
            </w:r>
          </w:p>
        </w:tc>
        <w:tc>
          <w:tcPr>
            <w:tcW w:w="1260" w:type="dxa"/>
            <w:vAlign w:val="bottom"/>
            <w:vMerge w:val="restart"/>
          </w:tcPr>
          <w:p>
            <w:pPr>
              <w:jc w:val="center"/>
              <w:ind w:left="175"/>
              <w:spacing w:after="0"/>
              <w:rPr>
                <w:sz w:val="20"/>
                <w:szCs w:val="20"/>
                <w:color w:val="auto"/>
              </w:rPr>
            </w:pPr>
            <w:r>
              <w:rPr>
                <w:rFonts w:ascii="Times New Roman" w:cs="Times New Roman" w:eastAsia="Times New Roman" w:hAnsi="Times New Roman"/>
                <w:sz w:val="12"/>
                <w:szCs w:val="12"/>
                <w:b w:val="1"/>
                <w:bCs w:val="1"/>
                <w:color w:val="auto"/>
              </w:rPr>
              <w:t>Change in Basis of</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center"/>
              <w:ind w:right="55"/>
              <w:spacing w:after="0"/>
              <w:rPr>
                <w:sz w:val="20"/>
                <w:szCs w:val="20"/>
                <w:color w:val="auto"/>
              </w:rPr>
            </w:pPr>
            <w:r>
              <w:rPr>
                <w:rFonts w:ascii="Times New Roman" w:cs="Times New Roman" w:eastAsia="Times New Roman" w:hAnsi="Times New Roman"/>
                <w:sz w:val="12"/>
                <w:szCs w:val="12"/>
                <w:b w:val="1"/>
                <w:bCs w:val="1"/>
                <w:color w:val="auto"/>
              </w:rPr>
              <w:t>As Restated and</w:t>
            </w:r>
          </w:p>
        </w:tc>
        <w:tc>
          <w:tcPr>
            <w:tcW w:w="0" w:type="dxa"/>
            <w:vAlign w:val="bottom"/>
          </w:tcPr>
          <w:p>
            <w:pPr>
              <w:spacing w:after="0"/>
              <w:rPr>
                <w:sz w:val="1"/>
                <w:szCs w:val="1"/>
                <w:color w:val="auto"/>
              </w:rPr>
            </w:pPr>
          </w:p>
        </w:tc>
      </w:tr>
      <w:tr>
        <w:trPr>
          <w:trHeight w:val="53"/>
        </w:trPr>
        <w:tc>
          <w:tcPr>
            <w:tcW w:w="2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restart"/>
          </w:tcPr>
          <w:p>
            <w:pPr>
              <w:ind w:left="80"/>
              <w:spacing w:after="0" w:line="126"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160" w:type="dxa"/>
            <w:vAlign w:val="bottom"/>
          </w:tcPr>
          <w:p>
            <w:pPr>
              <w:spacing w:after="0"/>
              <w:rPr>
                <w:sz w:val="4"/>
                <w:szCs w:val="4"/>
                <w:color w:val="auto"/>
              </w:rPr>
            </w:pPr>
          </w:p>
        </w:tc>
        <w:tc>
          <w:tcPr>
            <w:tcW w:w="1060" w:type="dxa"/>
            <w:vAlign w:val="bottom"/>
            <w:gridSpan w:val="2"/>
            <w:vMerge w:val="restart"/>
          </w:tcPr>
          <w:p>
            <w:pPr>
              <w:ind w:left="80"/>
              <w:spacing w:after="0" w:line="126" w:lineRule="exact"/>
              <w:rPr>
                <w:sz w:val="20"/>
                <w:szCs w:val="20"/>
                <w:color w:val="auto"/>
              </w:rPr>
            </w:pPr>
            <w:r>
              <w:rPr>
                <w:rFonts w:ascii="Times New Roman" w:cs="Times New Roman" w:eastAsia="Times New Roman" w:hAnsi="Times New Roman"/>
                <w:sz w:val="12"/>
                <w:szCs w:val="12"/>
                <w:b w:val="1"/>
                <w:bCs w:val="1"/>
                <w:color w:val="auto"/>
              </w:rPr>
              <w:t>As Restated</w:t>
            </w:r>
          </w:p>
        </w:tc>
        <w:tc>
          <w:tcPr>
            <w:tcW w:w="140" w:type="dxa"/>
            <w:vAlign w:val="bottom"/>
          </w:tcPr>
          <w:p>
            <w:pPr>
              <w:spacing w:after="0"/>
              <w:rPr>
                <w:sz w:val="4"/>
                <w:szCs w:val="4"/>
                <w:color w:val="auto"/>
              </w:rPr>
            </w:pPr>
          </w:p>
        </w:tc>
        <w:tc>
          <w:tcPr>
            <w:tcW w:w="1260" w:type="dxa"/>
            <w:vAlign w:val="bottom"/>
            <w:gridSpan w:val="2"/>
            <w:vMerge w:val="restart"/>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rPr>
              <w:t>Operations</w:t>
            </w:r>
          </w:p>
        </w:tc>
        <w:tc>
          <w:tcPr>
            <w:tcW w:w="12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vMerge w:val="restart"/>
          </w:tcPr>
          <w:p>
            <w:pPr>
              <w:jc w:val="center"/>
              <w:ind w:left="175"/>
              <w:spacing w:after="0"/>
              <w:rPr>
                <w:sz w:val="20"/>
                <w:szCs w:val="20"/>
                <w:color w:val="auto"/>
              </w:rPr>
            </w:pPr>
            <w:r>
              <w:rPr>
                <w:rFonts w:ascii="Times New Roman" w:cs="Times New Roman" w:eastAsia="Times New Roman" w:hAnsi="Times New Roman"/>
                <w:sz w:val="12"/>
                <w:szCs w:val="12"/>
                <w:b w:val="1"/>
                <w:bCs w:val="1"/>
                <w:color w:val="auto"/>
              </w:rPr>
              <w:t>Presentation</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restart"/>
          </w:tcPr>
          <w:p>
            <w:pPr>
              <w:jc w:val="center"/>
              <w:ind w:right="75"/>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Reclassifications</w:t>
            </w:r>
          </w:p>
        </w:tc>
        <w:tc>
          <w:tcPr>
            <w:tcW w:w="12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789.9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w:t>
            </w:r>
          </w:p>
        </w:tc>
        <w:tc>
          <w:tcPr>
            <w:tcW w:w="0" w:type="dxa"/>
            <w:vAlign w:val="bottom"/>
          </w:tcPr>
          <w:p>
            <w:pPr>
              <w:spacing w:after="0"/>
              <w:rPr>
                <w:sz w:val="1"/>
                <w:szCs w:val="1"/>
                <w:color w:val="auto"/>
              </w:rPr>
            </w:pPr>
          </w:p>
        </w:tc>
      </w:tr>
      <w:tr>
        <w:trPr>
          <w:trHeight w:val="184"/>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1020"/>
          </w:cols>
          <w:pgMar w:left="320" w:top="121" w:right="559" w:bottom="1440" w:gutter="0" w:footer="0" w:header="0"/>
        </w:sectPr>
      </w:pPr>
    </w:p>
    <w:p>
      <w:pPr>
        <w:ind w:left="240" w:right="380"/>
        <w:spacing w:after="0" w:line="246" w:lineRule="auto"/>
        <w:rPr>
          <w:sz w:val="20"/>
          <w:szCs w:val="20"/>
          <w:color w:val="auto"/>
        </w:rPr>
      </w:pPr>
      <w:r>
        <w:rPr>
          <w:rFonts w:ascii="Times New Roman" w:cs="Times New Roman" w:eastAsia="Times New Roman" w:hAnsi="Times New Roman"/>
          <w:sz w:val="14"/>
          <w:szCs w:val="14"/>
          <w:color w:val="auto"/>
        </w:rPr>
        <w:t>Direct costs, exclusive of depreciation and amortization</w:t>
      </w:r>
    </w:p>
    <w:p>
      <w:pPr>
        <w:spacing w:after="0" w:line="1" w:lineRule="exact"/>
        <w:rPr>
          <w:sz w:val="20"/>
          <w:szCs w:val="20"/>
          <w:color w:val="auto"/>
        </w:rPr>
      </w:pPr>
    </w:p>
    <w:p>
      <w:pPr>
        <w:ind w:left="240" w:right="220"/>
        <w:spacing w:after="0" w:line="246" w:lineRule="auto"/>
        <w:rPr>
          <w:sz w:val="20"/>
          <w:szCs w:val="20"/>
          <w:color w:val="auto"/>
        </w:rPr>
      </w:pPr>
      <w:r>
        <w:rPr>
          <w:rFonts w:ascii="Times New Roman" w:cs="Times New Roman" w:eastAsia="Times New Roman" w:hAnsi="Times New Roman"/>
          <w:sz w:val="14"/>
          <w:szCs w:val="14"/>
          <w:color w:val="auto"/>
        </w:rPr>
        <w:t>Selling, general and administrative expenses, exclusive of depreciation and amortization</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Restructuring and other charges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649.4</w:t>
            </w:r>
          </w:p>
        </w:tc>
        <w:tc>
          <w:tcPr>
            <w:tcW w:w="12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(1.2)</w:t>
            </w:r>
          </w:p>
        </w:tc>
        <w:tc>
          <w:tcPr>
            <w:tcW w:w="13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648.2</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(44.3)</w:t>
            </w:r>
          </w:p>
        </w:tc>
        <w:tc>
          <w:tcPr>
            <w:tcW w:w="14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(35.2)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568.7</w:t>
            </w:r>
          </w:p>
        </w:tc>
      </w:tr>
      <w:tr>
        <w:trPr>
          <w:trHeight w:val="331"/>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80.8</w:t>
            </w:r>
          </w:p>
        </w:tc>
        <w:tc>
          <w:tcPr>
            <w:tcW w:w="12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(5.4)</w:t>
            </w:r>
          </w:p>
        </w:tc>
        <w:tc>
          <w:tcPr>
            <w:tcW w:w="13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75.4</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(12.8)</w:t>
            </w:r>
          </w:p>
        </w:tc>
        <w:tc>
          <w:tcPr>
            <w:tcW w:w="148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35.2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r>
      <w:tr>
        <w:trPr>
          <w:trHeight w:val="265"/>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25.1</w:t>
            </w:r>
          </w:p>
        </w:tc>
        <w:tc>
          <w:tcPr>
            <w:tcW w:w="12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0.4</w:t>
            </w:r>
          </w:p>
        </w:tc>
        <w:tc>
          <w:tcPr>
            <w:tcW w:w="13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25.5</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(2.1)</w:t>
            </w:r>
          </w:p>
        </w:tc>
        <w:tc>
          <w:tcPr>
            <w:tcW w:w="148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99"/>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3.9</w:t>
            </w:r>
          </w:p>
        </w:tc>
        <w:tc>
          <w:tcPr>
            <w:tcW w:w="12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3.9</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(0.3)</w:t>
            </w:r>
          </w:p>
        </w:tc>
        <w:tc>
          <w:tcPr>
            <w:tcW w:w="148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-657225</wp:posOffset>
            </wp:positionV>
            <wp:extent cx="6857365" cy="210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7365" cy="21018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-236220</wp:posOffset>
            </wp:positionV>
            <wp:extent cx="6857365" cy="126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7365" cy="12636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3020" w:space="720"/>
            <w:col w:w="7280"/>
          </w:cols>
          <w:pgMar w:left="320" w:top="121" w:right="559" w:bottom="1440" w:gutter="0" w:footer="0" w:header="0"/>
          <w:type w:val="continuous"/>
        </w:sectPr>
      </w:pPr>
    </w:p>
    <w:tbl>
      <w:tblPr>
        <w:tblLayout w:type="fixed"/>
        <w:tblInd w:w="240" w:type="dxa"/>
        <w:tblCellMar>
          <w:top w:w="0" w:type="dxa"/>
          <w:left w:w="0" w:type="dxa"/>
          <w:bottom w:w="0" w:type="dxa"/>
          <w:right w:w="0" w:type="dxa"/>
        </w:tblCellMar>
      </w:tblPr>
      <w:tr>
        <w:trPr>
          <w:trHeight w:val="212"/>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costs and expenses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753.0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w:t>
            </w:r>
          </w:p>
        </w:tc>
      </w:tr>
      <w:tr>
        <w:trPr>
          <w:trHeight w:val="185"/>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185"/>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0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Other, net</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99"/>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r>
      <w:tr>
        <w:trPr>
          <w:trHeight w:val="19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92"/>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30.8</w:t>
            </w:r>
          </w:p>
        </w:tc>
        <w:tc>
          <w:tcPr>
            <w:tcW w:w="600" w:type="dxa"/>
            <w:vAlign w:val="bottom"/>
            <w:tcBorders>
              <w:top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Basic - continuing operations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r>
      <w:tr>
        <w:trPr>
          <w:trHeight w:val="20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 discontinued operations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r>
      <w:tr>
        <w:trPr>
          <w:trHeight w:val="185"/>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0.35</w:t>
            </w: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8"/>
        </w:trPr>
        <w:tc>
          <w:tcPr>
            <w:tcW w:w="2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19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Diluted - continuing operations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r>
      <w:tr>
        <w:trPr>
          <w:trHeight w:val="20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 discontinued operations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r>
      <w:tr>
        <w:trPr>
          <w:trHeight w:val="185"/>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0.35</w:t>
            </w:r>
          </w:p>
        </w:tc>
      </w:tr>
      <w:tr>
        <w:trPr>
          <w:trHeight w:val="26"/>
        </w:trPr>
        <w:tc>
          <w:tcPr>
            <w:tcW w:w="2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type w:val="continuous"/>
        </w:sectPr>
      </w:pPr>
    </w:p>
    <w:bookmarkStart w:id="31" w:name="page32"/>
    <w:bookmarkEnd w:id="31"/>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00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OPERATIONS</w:t>
      </w:r>
    </w:p>
    <w:p>
      <w:pPr>
        <w:spacing w:after="0" w:line="200"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ind w:right="136"/>
              <w:spacing w:after="0" w:line="120" w:lineRule="exact"/>
              <w:rPr>
                <w:sz w:val="20"/>
                <w:szCs w:val="20"/>
                <w:color w:val="auto"/>
              </w:rPr>
            </w:pPr>
            <w:r>
              <w:rPr>
                <w:rFonts w:ascii="Times New Roman" w:cs="Times New Roman" w:eastAsia="Times New Roman" w:hAnsi="Times New Roman"/>
                <w:sz w:val="12"/>
                <w:szCs w:val="12"/>
                <w:b w:val="1"/>
                <w:bCs w:val="1"/>
                <w:color w:val="auto"/>
              </w:rPr>
              <w:t>Discontinued</w:t>
            </w:r>
          </w:p>
        </w:tc>
        <w:tc>
          <w:tcPr>
            <w:tcW w:w="1300" w:type="dxa"/>
            <w:vAlign w:val="bottom"/>
            <w:vMerge w:val="restart"/>
          </w:tcPr>
          <w:p>
            <w:pPr>
              <w:jc w:val="center"/>
              <w:ind w:left="215"/>
              <w:spacing w:after="0"/>
              <w:rPr>
                <w:sz w:val="20"/>
                <w:szCs w:val="20"/>
                <w:color w:val="auto"/>
              </w:rPr>
            </w:pPr>
            <w:r>
              <w:rPr>
                <w:rFonts w:ascii="Times New Roman" w:cs="Times New Roman" w:eastAsia="Times New Roman" w:hAnsi="Times New Roman"/>
                <w:sz w:val="12"/>
                <w:szCs w:val="12"/>
                <w:b w:val="1"/>
                <w:bCs w:val="1"/>
                <w:color w:val="auto"/>
              </w:rPr>
              <w:t>Change in Basis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center"/>
              <w:ind w:right="55"/>
              <w:spacing w:after="0"/>
              <w:rPr>
                <w:sz w:val="20"/>
                <w:szCs w:val="20"/>
                <w:color w:val="auto"/>
              </w:rPr>
            </w:pPr>
            <w:r>
              <w:rPr>
                <w:rFonts w:ascii="Times New Roman" w:cs="Times New Roman" w:eastAsia="Times New Roman" w:hAnsi="Times New Roman"/>
                <w:sz w:val="12"/>
                <w:szCs w:val="12"/>
                <w:b w:val="1"/>
                <w:bCs w:val="1"/>
                <w:color w:val="auto"/>
              </w:rPr>
              <w:t>As Restated and</w:t>
            </w:r>
          </w:p>
        </w:tc>
        <w:tc>
          <w:tcPr>
            <w:tcW w:w="0" w:type="dxa"/>
            <w:vAlign w:val="bottom"/>
          </w:tcPr>
          <w:p>
            <w:pPr>
              <w:spacing w:after="0"/>
              <w:rPr>
                <w:sz w:val="1"/>
                <w:szCs w:val="1"/>
                <w:color w:val="auto"/>
              </w:rPr>
            </w:pPr>
          </w:p>
        </w:tc>
      </w:tr>
      <w:tr>
        <w:trPr>
          <w:trHeight w:val="53"/>
        </w:trPr>
        <w:tc>
          <w:tcPr>
            <w:tcW w:w="2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vMerge w:val="restart"/>
          </w:tcPr>
          <w:p>
            <w:pPr>
              <w:jc w:val="right"/>
              <w:ind w:right="254"/>
              <w:spacing w:after="0" w:line="126"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200" w:type="dxa"/>
            <w:vAlign w:val="bottom"/>
          </w:tcPr>
          <w:p>
            <w:pPr>
              <w:spacing w:after="0"/>
              <w:rPr>
                <w:sz w:val="4"/>
                <w:szCs w:val="4"/>
                <w:color w:val="auto"/>
              </w:rPr>
            </w:pPr>
          </w:p>
        </w:tc>
        <w:tc>
          <w:tcPr>
            <w:tcW w:w="960" w:type="dxa"/>
            <w:vAlign w:val="bottom"/>
            <w:vMerge w:val="restart"/>
          </w:tcPr>
          <w:p>
            <w:pPr>
              <w:jc w:val="right"/>
              <w:ind w:right="192"/>
              <w:spacing w:after="0" w:line="126" w:lineRule="exact"/>
              <w:rPr>
                <w:sz w:val="20"/>
                <w:szCs w:val="20"/>
                <w:color w:val="auto"/>
              </w:rPr>
            </w:pPr>
            <w:r>
              <w:rPr>
                <w:rFonts w:ascii="Times New Roman" w:cs="Times New Roman" w:eastAsia="Times New Roman" w:hAnsi="Times New Roman"/>
                <w:sz w:val="12"/>
                <w:szCs w:val="12"/>
                <w:b w:val="1"/>
                <w:bCs w:val="1"/>
                <w:color w:val="auto"/>
              </w:rPr>
              <w:t>As Restated</w:t>
            </w:r>
          </w:p>
        </w:tc>
        <w:tc>
          <w:tcPr>
            <w:tcW w:w="220" w:type="dxa"/>
            <w:vAlign w:val="bottom"/>
          </w:tcPr>
          <w:p>
            <w:pPr>
              <w:spacing w:after="0"/>
              <w:rPr>
                <w:sz w:val="4"/>
                <w:szCs w:val="4"/>
                <w:color w:val="auto"/>
              </w:rPr>
            </w:pPr>
          </w:p>
        </w:tc>
        <w:tc>
          <w:tcPr>
            <w:tcW w:w="1220" w:type="dxa"/>
            <w:vAlign w:val="bottom"/>
            <w:vMerge w:val="restart"/>
          </w:tcPr>
          <w:p>
            <w:pPr>
              <w:jc w:val="center"/>
              <w:ind w:right="136"/>
              <w:spacing w:after="0" w:line="126" w:lineRule="exact"/>
              <w:rPr>
                <w:sz w:val="20"/>
                <w:szCs w:val="20"/>
                <w:color w:val="auto"/>
              </w:rPr>
            </w:pPr>
            <w:r>
              <w:rPr>
                <w:rFonts w:ascii="Times New Roman" w:cs="Times New Roman" w:eastAsia="Times New Roman" w:hAnsi="Times New Roman"/>
                <w:sz w:val="12"/>
                <w:szCs w:val="12"/>
                <w:b w:val="1"/>
                <w:bCs w:val="1"/>
                <w:color w:val="auto"/>
              </w:rPr>
              <w:t>Operations</w:t>
            </w:r>
          </w:p>
        </w:tc>
        <w:tc>
          <w:tcPr>
            <w:tcW w:w="13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2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300" w:type="dxa"/>
            <w:vAlign w:val="bottom"/>
            <w:vMerge w:val="restart"/>
          </w:tcPr>
          <w:p>
            <w:pPr>
              <w:jc w:val="center"/>
              <w:ind w:left="215"/>
              <w:spacing w:after="0"/>
              <w:rPr>
                <w:sz w:val="20"/>
                <w:szCs w:val="20"/>
                <w:color w:val="auto"/>
              </w:rPr>
            </w:pPr>
            <w:r>
              <w:rPr>
                <w:rFonts w:ascii="Times New Roman" w:cs="Times New Roman" w:eastAsia="Times New Roman" w:hAnsi="Times New Roman"/>
                <w:sz w:val="12"/>
                <w:szCs w:val="12"/>
                <w:b w:val="1"/>
                <w:bCs w:val="1"/>
                <w:color w:val="auto"/>
              </w:rPr>
              <w:t>Presentation</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restart"/>
          </w:tcPr>
          <w:p>
            <w:pPr>
              <w:jc w:val="center"/>
              <w:ind w:right="75"/>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vMerge w:val="restart"/>
          </w:tcPr>
          <w:p>
            <w:pPr>
              <w:jc w:val="center"/>
              <w:ind w:right="136"/>
              <w:spacing w:after="0"/>
              <w:rPr>
                <w:sz w:val="20"/>
                <w:szCs w:val="20"/>
                <w:color w:val="auto"/>
              </w:rPr>
            </w:pPr>
            <w:r>
              <w:rPr>
                <w:rFonts w:ascii="Times New Roman" w:cs="Times New Roman" w:eastAsia="Times New Roman" w:hAnsi="Times New Roman"/>
                <w:sz w:val="12"/>
                <w:szCs w:val="12"/>
                <w:b w:val="1"/>
                <w:bCs w:val="1"/>
                <w:color w:val="auto"/>
              </w:rPr>
              <w:t>Reclassifications</w:t>
            </w:r>
          </w:p>
        </w:tc>
        <w:tc>
          <w:tcPr>
            <w:tcW w:w="13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6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1,557.2</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1,553.6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(134.6)</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1,419.0</w:t>
            </w:r>
          </w:p>
        </w:tc>
        <w:tc>
          <w:tcPr>
            <w:tcW w:w="0" w:type="dxa"/>
            <w:vAlign w:val="bottom"/>
          </w:tcPr>
          <w:p>
            <w:pPr>
              <w:spacing w:after="0"/>
              <w:rPr>
                <w:sz w:val="1"/>
                <w:szCs w:val="1"/>
                <w:color w:val="auto"/>
              </w:rPr>
            </w:pPr>
          </w:p>
        </w:tc>
      </w:tr>
      <w:tr>
        <w:trPr>
          <w:trHeight w:val="184"/>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1000"/>
          </w:cols>
          <w:pgMar w:left="320" w:top="121" w:right="579" w:bottom="1440" w:gutter="0" w:footer="0" w:header="0"/>
        </w:sectPr>
      </w:pPr>
    </w:p>
    <w:p>
      <w:pPr>
        <w:ind w:left="260" w:right="280"/>
        <w:spacing w:after="0" w:line="246" w:lineRule="auto"/>
        <w:rPr>
          <w:sz w:val="20"/>
          <w:szCs w:val="20"/>
          <w:color w:val="auto"/>
        </w:rPr>
      </w:pPr>
      <w:r>
        <w:rPr>
          <w:rFonts w:ascii="Times New Roman" w:cs="Times New Roman" w:eastAsia="Times New Roman" w:hAnsi="Times New Roman"/>
          <w:sz w:val="14"/>
          <w:szCs w:val="14"/>
          <w:color w:val="auto"/>
        </w:rPr>
        <w:t>Direct costs, exclusive of depreciation and amortization</w:t>
      </w:r>
    </w:p>
    <w:p>
      <w:pPr>
        <w:spacing w:after="0" w:line="1" w:lineRule="exact"/>
        <w:rPr>
          <w:sz w:val="20"/>
          <w:szCs w:val="20"/>
          <w:color w:val="auto"/>
        </w:rPr>
      </w:pPr>
    </w:p>
    <w:p>
      <w:pPr>
        <w:ind w:left="260" w:right="120"/>
        <w:spacing w:after="0" w:line="246" w:lineRule="auto"/>
        <w:rPr>
          <w:sz w:val="20"/>
          <w:szCs w:val="20"/>
          <w:color w:val="auto"/>
        </w:rPr>
      </w:pPr>
      <w:r>
        <w:rPr>
          <w:rFonts w:ascii="Times New Roman" w:cs="Times New Roman" w:eastAsia="Times New Roman" w:hAnsi="Times New Roman"/>
          <w:sz w:val="14"/>
          <w:szCs w:val="14"/>
          <w:color w:val="auto"/>
        </w:rPr>
        <w:t>Selling, general and administrative expenses, exclusive of depreciation and amortization</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Restructuring and other charges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1,285.6</w:t>
            </w:r>
          </w:p>
        </w:tc>
        <w:tc>
          <w:tcPr>
            <w:tcW w:w="11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(1.2)</w:t>
            </w:r>
          </w:p>
        </w:tc>
        <w:tc>
          <w:tcPr>
            <w:tcW w:w="13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1,284.4</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(90.4)</w:t>
            </w:r>
          </w:p>
        </w:tc>
        <w:tc>
          <w:tcPr>
            <w:tcW w:w="142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(83.8)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1,110.2</w:t>
            </w:r>
          </w:p>
        </w:tc>
      </w:tr>
      <w:tr>
        <w:trPr>
          <w:trHeight w:val="331"/>
        </w:trPr>
        <w:tc>
          <w:tcPr>
            <w:tcW w:w="9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158.8</w:t>
            </w:r>
          </w:p>
        </w:tc>
        <w:tc>
          <w:tcPr>
            <w:tcW w:w="11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(0.2)</w:t>
            </w:r>
          </w:p>
        </w:tc>
        <w:tc>
          <w:tcPr>
            <w:tcW w:w="13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158.6</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(27.8)</w:t>
            </w:r>
          </w:p>
        </w:tc>
        <w:tc>
          <w:tcPr>
            <w:tcW w:w="14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83.8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w:t>
            </w:r>
          </w:p>
        </w:tc>
      </w:tr>
      <w:tr>
        <w:trPr>
          <w:trHeight w:val="265"/>
        </w:trPr>
        <w:tc>
          <w:tcPr>
            <w:tcW w:w="9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47.9</w:t>
            </w:r>
          </w:p>
        </w:tc>
        <w:tc>
          <w:tcPr>
            <w:tcW w:w="11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0.7</w:t>
            </w:r>
          </w:p>
        </w:tc>
        <w:tc>
          <w:tcPr>
            <w:tcW w:w="13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48.6</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(4.3)</w:t>
            </w:r>
          </w:p>
        </w:tc>
        <w:tc>
          <w:tcPr>
            <w:tcW w:w="14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199"/>
        </w:trPr>
        <w:tc>
          <w:tcPr>
            <w:tcW w:w="9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5.1</w:t>
            </w:r>
          </w:p>
        </w:tc>
        <w:tc>
          <w:tcPr>
            <w:tcW w:w="11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5.1</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(0.9)</w:t>
            </w:r>
          </w:p>
        </w:tc>
        <w:tc>
          <w:tcPr>
            <w:tcW w:w="142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-657225</wp:posOffset>
            </wp:positionV>
            <wp:extent cx="6831965" cy="2101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21018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-236220</wp:posOffset>
            </wp:positionV>
            <wp:extent cx="6831965" cy="126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12636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2940" w:space="720"/>
            <w:col w:w="7340"/>
          </w:cols>
          <w:pgMar w:left="320" w:top="121" w:right="579" w:bottom="1440" w:gutter="0" w:footer="0" w:header="0"/>
          <w:type w:val="continuous"/>
        </w:sectPr>
      </w:pPr>
    </w:p>
    <w:tbl>
      <w:tblPr>
        <w:tblLayout w:type="fixed"/>
        <w:tblInd w:w="240" w:type="dxa"/>
        <w:tblCellMar>
          <w:top w:w="0" w:type="dxa"/>
          <w:left w:w="0" w:type="dxa"/>
          <w:bottom w:w="0" w:type="dxa"/>
          <w:right w:w="0" w:type="dxa"/>
        </w:tblCellMar>
      </w:tblPr>
      <w:tr>
        <w:trPr>
          <w:trHeight w:val="212"/>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1,496.7</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1,373.3</w:t>
            </w:r>
          </w:p>
        </w:tc>
      </w:tr>
      <w:tr>
        <w:trPr>
          <w:trHeight w:val="185"/>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18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9"/>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197"/>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2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 continuing operations</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0.49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 discontinued operations</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r>
      <w:tr>
        <w:trPr>
          <w:trHeight w:val="18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0.49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0.49</w:t>
            </w: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8"/>
        </w:trPr>
        <w:tc>
          <w:tcPr>
            <w:tcW w:w="2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 continuing operations</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0.49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 discontinued operations</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r>
      <w:tr>
        <w:trPr>
          <w:trHeight w:val="18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0.49</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0.49</w:t>
            </w:r>
          </w:p>
        </w:tc>
      </w:tr>
      <w:tr>
        <w:trPr>
          <w:trHeight w:val="26"/>
        </w:trPr>
        <w:tc>
          <w:tcPr>
            <w:tcW w:w="26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type w:val="continuous"/>
        </w:sectPr>
      </w:pPr>
    </w:p>
    <w:bookmarkStart w:id="32" w:name="page33"/>
    <w:bookmarkEnd w:id="32"/>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296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300" w:type="dxa"/>
        <w:tblCellMar>
          <w:top w:w="0" w:type="dxa"/>
          <w:left w:w="0" w:type="dxa"/>
          <w:bottom w:w="0" w:type="dxa"/>
          <w:right w:w="0" w:type="dxa"/>
        </w:tblCellMar>
      </w:tblPr>
      <w:tr>
        <w:trPr>
          <w:trHeight w:val="233"/>
        </w:trPr>
        <w:tc>
          <w:tcPr>
            <w:tcW w:w="2660" w:type="dxa"/>
            <w:vAlign w:val="bottom"/>
          </w:tcPr>
          <w:p>
            <w:pPr>
              <w:spacing w:after="0"/>
              <w:rPr>
                <w:sz w:val="20"/>
                <w:szCs w:val="20"/>
                <w:color w:val="auto"/>
              </w:rPr>
            </w:pPr>
          </w:p>
        </w:tc>
        <w:tc>
          <w:tcPr>
            <w:tcW w:w="5260" w:type="dxa"/>
            <w:vAlign w:val="bottom"/>
            <w:gridSpan w:val="7"/>
          </w:tcPr>
          <w:p>
            <w:pPr>
              <w:jc w:val="center"/>
              <w:ind w:left="1"/>
              <w:spacing w:after="0"/>
              <w:rPr>
                <w:sz w:val="20"/>
                <w:szCs w:val="20"/>
                <w:color w:val="auto"/>
              </w:rPr>
            </w:pPr>
            <w:r>
              <w:rPr>
                <w:rFonts w:ascii="Times New Roman" w:cs="Times New Roman" w:eastAsia="Times New Roman" w:hAnsi="Times New Roman"/>
                <w:sz w:val="18"/>
                <w:szCs w:val="18"/>
                <w:b w:val="1"/>
                <w:bCs w:val="1"/>
                <w:color w:val="auto"/>
                <w:w w:val="96"/>
              </w:rPr>
              <w:t>CONDENSED CONSOLIDATED STATEMENT OF OPERATIONS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jc w:val="center"/>
              <w:ind w:right="176"/>
              <w:spacing w:after="0" w:line="120" w:lineRule="exact"/>
              <w:rPr>
                <w:sz w:val="20"/>
                <w:szCs w:val="20"/>
                <w:color w:val="auto"/>
              </w:rPr>
            </w:pPr>
            <w:r>
              <w:rPr>
                <w:rFonts w:ascii="Times New Roman" w:cs="Times New Roman" w:eastAsia="Times New Roman" w:hAnsi="Times New Roman"/>
                <w:sz w:val="12"/>
                <w:szCs w:val="12"/>
                <w:b w:val="1"/>
                <w:bCs w:val="1"/>
                <w:color w:val="auto"/>
              </w:rPr>
              <w:t>Discontinued</w:t>
            </w:r>
          </w:p>
        </w:tc>
        <w:tc>
          <w:tcPr>
            <w:tcW w:w="140" w:type="dxa"/>
            <w:vAlign w:val="bottom"/>
          </w:tcPr>
          <w:p>
            <w:pPr>
              <w:spacing w:after="0"/>
              <w:rPr>
                <w:sz w:val="10"/>
                <w:szCs w:val="10"/>
                <w:color w:val="auto"/>
              </w:rPr>
            </w:pPr>
          </w:p>
        </w:tc>
        <w:tc>
          <w:tcPr>
            <w:tcW w:w="1460" w:type="dxa"/>
            <w:vAlign w:val="bottom"/>
            <w:gridSpan w:val="3"/>
            <w:vMerge w:val="restart"/>
          </w:tcPr>
          <w:p>
            <w:pPr>
              <w:jc w:val="center"/>
              <w:ind w:right="329"/>
              <w:spacing w:after="0"/>
              <w:rPr>
                <w:sz w:val="20"/>
                <w:szCs w:val="20"/>
                <w:color w:val="auto"/>
              </w:rPr>
            </w:pPr>
            <w:r>
              <w:rPr>
                <w:rFonts w:ascii="Times New Roman" w:cs="Times New Roman" w:eastAsia="Times New Roman" w:hAnsi="Times New Roman"/>
                <w:sz w:val="12"/>
                <w:szCs w:val="12"/>
                <w:b w:val="1"/>
                <w:bCs w:val="1"/>
                <w:color w:val="auto"/>
              </w:rPr>
              <w:t>Change in Basis of</w:t>
            </w:r>
          </w:p>
        </w:tc>
        <w:tc>
          <w:tcPr>
            <w:tcW w:w="1140" w:type="dxa"/>
            <w:vAlign w:val="bottom"/>
            <w:vMerge w:val="restart"/>
          </w:tcPr>
          <w:p>
            <w:pPr>
              <w:jc w:val="center"/>
              <w:ind w:right="95"/>
              <w:spacing w:after="0"/>
              <w:rPr>
                <w:sz w:val="20"/>
                <w:szCs w:val="20"/>
                <w:color w:val="auto"/>
              </w:rPr>
            </w:pPr>
            <w:r>
              <w:rPr>
                <w:rFonts w:ascii="Times New Roman" w:cs="Times New Roman" w:eastAsia="Times New Roman" w:hAnsi="Times New Roman"/>
                <w:sz w:val="12"/>
                <w:szCs w:val="12"/>
                <w:b w:val="1"/>
                <w:bCs w:val="1"/>
                <w:color w:val="auto"/>
              </w:rPr>
              <w:t>As Restated and</w:t>
            </w:r>
          </w:p>
        </w:tc>
        <w:tc>
          <w:tcPr>
            <w:tcW w:w="0" w:type="dxa"/>
            <w:vAlign w:val="bottom"/>
          </w:tcPr>
          <w:p>
            <w:pPr>
              <w:spacing w:after="0"/>
              <w:rPr>
                <w:sz w:val="1"/>
                <w:szCs w:val="1"/>
                <w:color w:val="auto"/>
              </w:rPr>
            </w:pPr>
          </w:p>
        </w:tc>
      </w:tr>
      <w:tr>
        <w:trPr>
          <w:trHeight w:val="53"/>
        </w:trPr>
        <w:tc>
          <w:tcPr>
            <w:tcW w:w="2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vMerge w:val="restart"/>
          </w:tcPr>
          <w:p>
            <w:pPr>
              <w:jc w:val="right"/>
              <w:ind w:right="234"/>
              <w:spacing w:after="0" w:line="126"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160" w:type="dxa"/>
            <w:vAlign w:val="bottom"/>
          </w:tcPr>
          <w:p>
            <w:pPr>
              <w:spacing w:after="0"/>
              <w:rPr>
                <w:sz w:val="4"/>
                <w:szCs w:val="4"/>
                <w:color w:val="auto"/>
              </w:rPr>
            </w:pPr>
          </w:p>
        </w:tc>
        <w:tc>
          <w:tcPr>
            <w:tcW w:w="1280" w:type="dxa"/>
            <w:vAlign w:val="bottom"/>
            <w:vMerge w:val="restart"/>
          </w:tcPr>
          <w:p>
            <w:pPr>
              <w:jc w:val="right"/>
              <w:ind w:right="432"/>
              <w:spacing w:after="0" w:line="126" w:lineRule="exact"/>
              <w:rPr>
                <w:sz w:val="20"/>
                <w:szCs w:val="20"/>
                <w:color w:val="auto"/>
              </w:rPr>
            </w:pPr>
            <w:r>
              <w:rPr>
                <w:rFonts w:ascii="Times New Roman" w:cs="Times New Roman" w:eastAsia="Times New Roman" w:hAnsi="Times New Roman"/>
                <w:sz w:val="12"/>
                <w:szCs w:val="12"/>
                <w:b w:val="1"/>
                <w:bCs w:val="1"/>
                <w:color w:val="auto"/>
              </w:rPr>
              <w:t>As Restated</w:t>
            </w:r>
          </w:p>
        </w:tc>
        <w:tc>
          <w:tcPr>
            <w:tcW w:w="1260" w:type="dxa"/>
            <w:vAlign w:val="bottom"/>
            <w:vMerge w:val="restart"/>
          </w:tcPr>
          <w:p>
            <w:pPr>
              <w:jc w:val="center"/>
              <w:ind w:right="176"/>
              <w:spacing w:after="0" w:line="126" w:lineRule="exact"/>
              <w:rPr>
                <w:sz w:val="20"/>
                <w:szCs w:val="20"/>
                <w:color w:val="auto"/>
              </w:rPr>
            </w:pPr>
            <w:r>
              <w:rPr>
                <w:rFonts w:ascii="Times New Roman" w:cs="Times New Roman" w:eastAsia="Times New Roman" w:hAnsi="Times New Roman"/>
                <w:sz w:val="12"/>
                <w:szCs w:val="12"/>
                <w:b w:val="1"/>
                <w:bCs w:val="1"/>
                <w:color w:val="auto"/>
              </w:rPr>
              <w:t>Operations</w:t>
            </w:r>
          </w:p>
        </w:tc>
        <w:tc>
          <w:tcPr>
            <w:tcW w:w="14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2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gridSpan w:val="3"/>
            <w:vMerge w:val="restart"/>
          </w:tcPr>
          <w:p>
            <w:pPr>
              <w:jc w:val="center"/>
              <w:ind w:right="329"/>
              <w:spacing w:after="0"/>
              <w:rPr>
                <w:sz w:val="20"/>
                <w:szCs w:val="20"/>
                <w:color w:val="auto"/>
              </w:rPr>
            </w:pPr>
            <w:r>
              <w:rPr>
                <w:rFonts w:ascii="Times New Roman" w:cs="Times New Roman" w:eastAsia="Times New Roman" w:hAnsi="Times New Roman"/>
                <w:sz w:val="12"/>
                <w:szCs w:val="12"/>
                <w:b w:val="1"/>
                <w:bCs w:val="1"/>
                <w:color w:val="auto"/>
              </w:rPr>
              <w:t>Presentation</w:t>
            </w:r>
          </w:p>
        </w:tc>
        <w:tc>
          <w:tcPr>
            <w:tcW w:w="1140" w:type="dxa"/>
            <w:vAlign w:val="bottom"/>
            <w:vMerge w:val="restart"/>
          </w:tcPr>
          <w:p>
            <w:pPr>
              <w:jc w:val="center"/>
              <w:ind w:right="95"/>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60" w:type="dxa"/>
            <w:vAlign w:val="bottom"/>
            <w:vMerge w:val="restart"/>
          </w:tcPr>
          <w:p>
            <w:pPr>
              <w:jc w:val="center"/>
              <w:ind w:right="196"/>
              <w:spacing w:after="0"/>
              <w:rPr>
                <w:sz w:val="20"/>
                <w:szCs w:val="20"/>
                <w:color w:val="auto"/>
              </w:rPr>
            </w:pPr>
            <w:r>
              <w:rPr>
                <w:rFonts w:ascii="Times New Roman" w:cs="Times New Roman" w:eastAsia="Times New Roman" w:hAnsi="Times New Roman"/>
                <w:sz w:val="12"/>
                <w:szCs w:val="12"/>
                <w:b w:val="1"/>
                <w:bCs w:val="1"/>
                <w:color w:val="auto"/>
              </w:rPr>
              <w:t>Reclassifications</w:t>
            </w:r>
          </w:p>
        </w:tc>
        <w:tc>
          <w:tcPr>
            <w:tcW w:w="1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66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776.4</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   $</w:t>
            </w: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(63.4)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713.8</w:t>
            </w:r>
          </w:p>
        </w:tc>
        <w:tc>
          <w:tcPr>
            <w:tcW w:w="0" w:type="dxa"/>
            <w:vAlign w:val="bottom"/>
          </w:tcPr>
          <w:p>
            <w:pPr>
              <w:spacing w:after="0"/>
              <w:rPr>
                <w:sz w:val="1"/>
                <w:szCs w:val="1"/>
                <w:color w:val="auto"/>
              </w:rPr>
            </w:pPr>
          </w:p>
        </w:tc>
      </w:tr>
      <w:tr>
        <w:trPr>
          <w:trHeight w:val="184"/>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0960"/>
          </w:cols>
          <w:pgMar w:left="320" w:top="121" w:right="619" w:bottom="1440" w:gutter="0" w:footer="0" w:header="0"/>
        </w:sectPr>
      </w:pPr>
    </w:p>
    <w:p>
      <w:pPr>
        <w:ind w:left="320" w:right="360"/>
        <w:spacing w:after="0" w:line="246" w:lineRule="auto"/>
        <w:rPr>
          <w:sz w:val="20"/>
          <w:szCs w:val="20"/>
          <w:color w:val="auto"/>
        </w:rPr>
      </w:pPr>
      <w:r>
        <w:rPr>
          <w:rFonts w:ascii="Times New Roman" w:cs="Times New Roman" w:eastAsia="Times New Roman" w:hAnsi="Times New Roman"/>
          <w:sz w:val="14"/>
          <w:szCs w:val="14"/>
          <w:color w:val="auto"/>
        </w:rPr>
        <w:t>Direct costs, exclusive of depreciation and amortization</w:t>
      </w:r>
    </w:p>
    <w:p>
      <w:pPr>
        <w:spacing w:after="0" w:line="1" w:lineRule="exact"/>
        <w:rPr>
          <w:sz w:val="20"/>
          <w:szCs w:val="20"/>
          <w:color w:val="auto"/>
        </w:rPr>
      </w:pPr>
    </w:p>
    <w:p>
      <w:pPr>
        <w:ind w:left="320" w:right="220"/>
        <w:spacing w:after="0" w:line="246" w:lineRule="auto"/>
        <w:rPr>
          <w:sz w:val="20"/>
          <w:szCs w:val="20"/>
          <w:color w:val="auto"/>
        </w:rPr>
      </w:pPr>
      <w:r>
        <w:rPr>
          <w:rFonts w:ascii="Times New Roman" w:cs="Times New Roman" w:eastAsia="Times New Roman" w:hAnsi="Times New Roman"/>
          <w:sz w:val="14"/>
          <w:szCs w:val="14"/>
          <w:color w:val="auto"/>
        </w:rPr>
        <w:t>Selling, general and administrative expenses, exclusive of depreciation and amortization</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Restructuring and other charges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647.3</w:t>
            </w:r>
          </w:p>
        </w:tc>
        <w:tc>
          <w:tcPr>
            <w:tcW w:w="12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1.4</w:t>
            </w:r>
          </w:p>
        </w:tc>
        <w:tc>
          <w:tcPr>
            <w:tcW w:w="13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648.7</w:t>
            </w:r>
          </w:p>
        </w:tc>
        <w:tc>
          <w:tcPr>
            <w:tcW w:w="14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(44.8)</w:t>
            </w:r>
          </w:p>
        </w:tc>
        <w:tc>
          <w:tcPr>
            <w:tcW w:w="14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(40.1)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w:t>
            </w:r>
          </w:p>
        </w:tc>
      </w:tr>
      <w:tr>
        <w:trPr>
          <w:trHeight w:val="331"/>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78.9</w:t>
            </w:r>
          </w:p>
        </w:tc>
        <w:tc>
          <w:tcPr>
            <w:tcW w:w="12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(0.1)</w:t>
            </w:r>
          </w:p>
        </w:tc>
        <w:tc>
          <w:tcPr>
            <w:tcW w:w="13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78.8</w:t>
            </w:r>
          </w:p>
        </w:tc>
        <w:tc>
          <w:tcPr>
            <w:tcW w:w="14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(12.1)</w:t>
            </w: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40.1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r>
      <w:tr>
        <w:trPr>
          <w:trHeight w:val="265"/>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24.6</w:t>
            </w:r>
          </w:p>
        </w:tc>
        <w:tc>
          <w:tcPr>
            <w:tcW w:w="12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0.4</w:t>
            </w:r>
          </w:p>
        </w:tc>
        <w:tc>
          <w:tcPr>
            <w:tcW w:w="13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25.0</w:t>
            </w:r>
          </w:p>
        </w:tc>
        <w:tc>
          <w:tcPr>
            <w:tcW w:w="14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(2.2)</w:t>
            </w: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99"/>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11.6</w:t>
            </w:r>
          </w:p>
        </w:tc>
        <w:tc>
          <w:tcPr>
            <w:tcW w:w="12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11.6</w:t>
            </w:r>
          </w:p>
        </w:tc>
        <w:tc>
          <w:tcPr>
            <w:tcW w:w="14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(1.5)</w:t>
            </w: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-2223770</wp:posOffset>
            </wp:positionH>
            <wp:positionV relativeFrom="paragraph">
              <wp:posOffset>-657225</wp:posOffset>
            </wp:positionV>
            <wp:extent cx="6764655" cy="210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64655" cy="210185"/>
                    </a:xfrm>
                    <a:prstGeom prst="rect">
                      <a:avLst/>
                    </a:prstGeom>
                    <a:noFill/>
                  </pic:spPr>
                </pic:pic>
              </a:graphicData>
            </a:graphic>
          </wp:anchor>
        </w:drawing>
        <w:drawing>
          <wp:anchor simplePos="0" relativeHeight="251657728" behindDoc="1" locked="0" layoutInCell="0" allowOverlap="1">
            <wp:simplePos x="0" y="0"/>
            <wp:positionH relativeFrom="column">
              <wp:posOffset>-2223770</wp:posOffset>
            </wp:positionH>
            <wp:positionV relativeFrom="paragraph">
              <wp:posOffset>-236220</wp:posOffset>
            </wp:positionV>
            <wp:extent cx="6764655" cy="126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64655" cy="12636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3080" w:space="720"/>
            <w:col w:w="7160"/>
          </w:cols>
          <w:pgMar w:left="320" w:top="121" w:right="619" w:bottom="1440" w:gutter="0" w:footer="0" w:header="0"/>
          <w:type w:val="continuous"/>
        </w:sectPr>
      </w:pPr>
    </w:p>
    <w:tbl>
      <w:tblPr>
        <w:tblLayout w:type="fixed"/>
        <w:tblInd w:w="300" w:type="dxa"/>
        <w:tblCellMar>
          <w:top w:w="0" w:type="dxa"/>
          <w:left w:w="0" w:type="dxa"/>
          <w:bottom w:w="0" w:type="dxa"/>
          <w:right w:w="0" w:type="dxa"/>
        </w:tblCellMar>
      </w:tblPr>
      <w:tr>
        <w:trPr>
          <w:trHeight w:val="212"/>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764.1</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703.5</w:t>
            </w:r>
          </w:p>
        </w:tc>
      </w:tr>
      <w:tr>
        <w:trPr>
          <w:trHeight w:val="185"/>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10.3</w:t>
            </w:r>
          </w:p>
        </w:tc>
      </w:tr>
      <w:tr>
        <w:trPr>
          <w:trHeight w:val="18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1"/>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0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2"/>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w:t>
            </w:r>
          </w:p>
        </w:tc>
      </w:tr>
      <w:tr>
        <w:trPr>
          <w:trHeight w:val="199"/>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92"/>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7"/>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(loss) per common share:</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1"/>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 continuing operations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r>
      <w:tr>
        <w:trPr>
          <w:trHeight w:val="20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 discontinued operations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0.02</w:t>
            </w:r>
          </w:p>
        </w:tc>
      </w:tr>
      <w:tr>
        <w:trPr>
          <w:trHeight w:val="185"/>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8"/>
        </w:trPr>
        <w:tc>
          <w:tcPr>
            <w:tcW w:w="2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191"/>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 continuing operations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r>
      <w:tr>
        <w:trPr>
          <w:trHeight w:val="20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 discontinued operations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0.02</w:t>
            </w:r>
          </w:p>
        </w:tc>
      </w:tr>
      <w:tr>
        <w:trPr>
          <w:trHeight w:val="185"/>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27"/>
        </w:trPr>
        <w:tc>
          <w:tcPr>
            <w:tcW w:w="26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type w:val="continuous"/>
        </w:sectPr>
      </w:pPr>
    </w:p>
    <w:bookmarkStart w:id="33" w:name="page34"/>
    <w:bookmarkEnd w:id="33"/>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296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OPERATIONS</w:t>
      </w:r>
    </w:p>
    <w:p>
      <w:pPr>
        <w:spacing w:after="0" w:line="20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29" w:lineRule="exact"/>
        <w:rPr>
          <w:sz w:val="20"/>
          <w:szCs w:val="20"/>
          <w:color w:val="auto"/>
        </w:rPr>
      </w:pPr>
    </w:p>
    <w:tbl>
      <w:tblPr>
        <w:tblLayout w:type="fixed"/>
        <w:tblInd w:w="2980" w:type="dxa"/>
        <w:tblCellMar>
          <w:top w:w="0" w:type="dxa"/>
          <w:left w:w="0" w:type="dxa"/>
          <w:bottom w:w="0" w:type="dxa"/>
          <w:right w:w="0" w:type="dxa"/>
        </w:tblCellMar>
      </w:tblPr>
      <w:tr>
        <w:trPr>
          <w:trHeight w:val="146"/>
        </w:trPr>
        <w:tc>
          <w:tcPr>
            <w:tcW w:w="1280" w:type="dxa"/>
            <w:vAlign w:val="bottom"/>
            <w:tcBorders>
              <w:top w:val="single" w:sz="8" w:color="auto"/>
            </w:tcBorders>
          </w:tcPr>
          <w:p>
            <w:pPr>
              <w:jc w:val="center"/>
              <w:ind w:right="18"/>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128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12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Discontinued Operations</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Change in Basis of</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As Restated and</w:t>
            </w:r>
          </w:p>
        </w:tc>
        <w:tc>
          <w:tcPr>
            <w:tcW w:w="0" w:type="dxa"/>
            <w:vAlign w:val="bottom"/>
          </w:tcPr>
          <w:p>
            <w:pPr>
              <w:spacing w:after="0"/>
              <w:rPr>
                <w:sz w:val="1"/>
                <w:szCs w:val="1"/>
                <w:color w:val="auto"/>
              </w:rPr>
            </w:pPr>
          </w:p>
        </w:tc>
      </w:tr>
      <w:tr>
        <w:trPr>
          <w:trHeight w:val="10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28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Reclassifications</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Presentation</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0" w:type="dxa"/>
            <w:vAlign w:val="bottom"/>
          </w:tcPr>
          <w:p>
            <w:pPr>
              <w:spacing w:after="0"/>
              <w:rPr>
                <w:sz w:val="1"/>
                <w:szCs w:val="1"/>
                <w:color w:val="auto"/>
              </w:rPr>
            </w:pPr>
          </w:p>
        </w:tc>
      </w:tr>
      <w:tr>
        <w:trPr>
          <w:trHeight w:val="60"/>
        </w:trPr>
        <w:tc>
          <w:tcPr>
            <w:tcW w:w="128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14605</wp:posOffset>
            </wp:positionV>
            <wp:extent cx="6764655" cy="14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64655" cy="14287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p>
      <w:pPr>
        <w:spacing w:after="0" w:line="27" w:lineRule="exact"/>
        <w:rPr>
          <w:sz w:val="20"/>
          <w:szCs w:val="20"/>
          <w:color w:val="auto"/>
        </w:rPr>
      </w:pPr>
    </w:p>
    <w:p>
      <w:pPr>
        <w:ind w:left="320"/>
        <w:spacing w:after="0"/>
        <w:tabs>
          <w:tab w:leader="none" w:pos="2980" w:val="left"/>
        </w:tabs>
        <w:rPr>
          <w:sz w:val="20"/>
          <w:szCs w:val="20"/>
          <w:color w:val="auto"/>
        </w:rPr>
      </w:pPr>
      <w:r>
        <w:rPr>
          <w:rFonts w:ascii="Times New Roman" w:cs="Times New Roman" w:eastAsia="Times New Roman" w:hAnsi="Times New Roman"/>
          <w:sz w:val="12"/>
          <w:szCs w:val="12"/>
          <w:color w:val="auto"/>
        </w:rPr>
        <w:t>Revenues</w:t>
      </w:r>
      <w:r>
        <w:rPr>
          <w:sz w:val="20"/>
          <w:szCs w:val="20"/>
          <w:color w:val="auto"/>
        </w:rPr>
        <w:tab/>
      </w:r>
      <w:r>
        <w:rPr>
          <w:rFonts w:ascii="Times New Roman" w:cs="Times New Roman" w:eastAsia="Times New Roman" w:hAnsi="Times New Roman"/>
          <w:sz w:val="12"/>
          <w:szCs w:val="12"/>
          <w:color w:val="auto"/>
        </w:rPr>
        <w:t>$</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Costs and expenses:</w:t>
      </w:r>
    </w:p>
    <w:p>
      <w:pPr>
        <w:spacing w:after="0" w:line="38" w:lineRule="exact"/>
        <w:rPr>
          <w:sz w:val="20"/>
          <w:szCs w:val="20"/>
          <w:color w:val="auto"/>
        </w:rPr>
      </w:pPr>
    </w:p>
    <w:p>
      <w:pPr>
        <w:ind w:left="320" w:right="340"/>
        <w:spacing w:after="0" w:line="246" w:lineRule="auto"/>
        <w:rPr>
          <w:sz w:val="20"/>
          <w:szCs w:val="20"/>
          <w:color w:val="auto"/>
        </w:rPr>
      </w:pPr>
      <w:r>
        <w:rPr>
          <w:rFonts w:ascii="Times New Roman" w:cs="Times New Roman" w:eastAsia="Times New Roman" w:hAnsi="Times New Roman"/>
          <w:sz w:val="14"/>
          <w:szCs w:val="14"/>
          <w:color w:val="auto"/>
        </w:rPr>
        <w:t>Direct costs, exclusive of depreciation and amortization</w:t>
      </w:r>
    </w:p>
    <w:p>
      <w:pPr>
        <w:spacing w:after="0" w:line="1" w:lineRule="exact"/>
        <w:rPr>
          <w:sz w:val="20"/>
          <w:szCs w:val="20"/>
          <w:color w:val="auto"/>
        </w:rPr>
      </w:pPr>
    </w:p>
    <w:p>
      <w:pPr>
        <w:ind w:left="320" w:right="200"/>
        <w:spacing w:after="0" w:line="246" w:lineRule="auto"/>
        <w:rPr>
          <w:sz w:val="20"/>
          <w:szCs w:val="20"/>
          <w:color w:val="auto"/>
        </w:rPr>
      </w:pPr>
      <w:r>
        <w:rPr>
          <w:rFonts w:ascii="Times New Roman" w:cs="Times New Roman" w:eastAsia="Times New Roman" w:hAnsi="Times New Roman"/>
          <w:sz w:val="14"/>
          <w:szCs w:val="14"/>
          <w:color w:val="auto"/>
        </w:rPr>
        <w:t>Selling, general and administrative expenses, exclusive of depreciation and amortization</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Restructuring and other charges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
        </w:trPr>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r>
        <w:trPr>
          <w:trHeight w:val="184"/>
        </w:trPr>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9"/>
              </w:rPr>
              <w:t>2,333.6</w:t>
            </w:r>
          </w:p>
        </w:tc>
        <w:tc>
          <w:tcPr>
            <w:tcW w:w="5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2,330.8</w:t>
            </w:r>
          </w:p>
        </w:tc>
        <w:tc>
          <w:tcPr>
            <w:tcW w:w="60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(198.0)</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2,132.8</w:t>
            </w:r>
          </w:p>
        </w:tc>
      </w:tr>
      <w:tr>
        <w:trPr>
          <w:trHeight w:val="454"/>
        </w:trPr>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9"/>
              </w:rPr>
              <w:t>1,932.9</w:t>
            </w:r>
          </w:p>
        </w:tc>
        <w:tc>
          <w:tcPr>
            <w:tcW w:w="580" w:type="dxa"/>
            <w:vAlign w:val="bottom"/>
          </w:tcPr>
          <w:p>
            <w:pPr>
              <w:spacing w:after="0"/>
              <w:rPr>
                <w:sz w:val="24"/>
                <w:szCs w:val="24"/>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0.2</w:t>
            </w:r>
          </w:p>
        </w:tc>
        <w:tc>
          <w:tcPr>
            <w:tcW w:w="42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1,933.1</w:t>
            </w:r>
          </w:p>
        </w:tc>
        <w:tc>
          <w:tcPr>
            <w:tcW w:w="60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(135.2)</w:t>
            </w:r>
          </w:p>
        </w:tc>
        <w:tc>
          <w:tcPr>
            <w:tcW w:w="540" w:type="dxa"/>
            <w:vAlign w:val="bottom"/>
          </w:tcPr>
          <w:p>
            <w:pPr>
              <w:spacing w:after="0"/>
              <w:rPr>
                <w:sz w:val="24"/>
                <w:szCs w:val="24"/>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(123.9)</w:t>
            </w:r>
          </w:p>
        </w:tc>
        <w:tc>
          <w:tcPr>
            <w:tcW w:w="400" w:type="dxa"/>
            <w:vAlign w:val="bottom"/>
          </w:tcPr>
          <w:p>
            <w:pPr>
              <w:spacing w:after="0"/>
              <w:rPr>
                <w:sz w:val="24"/>
                <w:szCs w:val="24"/>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1,674.0</w:t>
            </w:r>
          </w:p>
        </w:tc>
      </w:tr>
      <w:tr>
        <w:trPr>
          <w:trHeight w:val="331"/>
        </w:trPr>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237.7</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2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237.4</w:t>
            </w:r>
          </w:p>
        </w:tc>
        <w:tc>
          <w:tcPr>
            <w:tcW w:w="60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(39.9)</w:t>
            </w:r>
          </w:p>
        </w:tc>
        <w:tc>
          <w:tcPr>
            <w:tcW w:w="540" w:type="dxa"/>
            <w:vAlign w:val="bottom"/>
          </w:tcPr>
          <w:p>
            <w:pPr>
              <w:spacing w:after="0"/>
              <w:rPr>
                <w:sz w:val="24"/>
                <w:szCs w:val="24"/>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123.9</w:t>
            </w:r>
          </w:p>
        </w:tc>
        <w:tc>
          <w:tcPr>
            <w:tcW w:w="400" w:type="dxa"/>
            <w:vAlign w:val="bottom"/>
          </w:tcPr>
          <w:p>
            <w:pPr>
              <w:spacing w:after="0"/>
              <w:rPr>
                <w:sz w:val="24"/>
                <w:szCs w:val="24"/>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321.4</w:t>
            </w:r>
          </w:p>
        </w:tc>
      </w:tr>
      <w:tr>
        <w:trPr>
          <w:trHeight w:val="265"/>
        </w:trPr>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72.5</w:t>
            </w:r>
          </w:p>
        </w:tc>
        <w:tc>
          <w:tcPr>
            <w:tcW w:w="58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73.6</w:t>
            </w:r>
          </w:p>
        </w:tc>
        <w:tc>
          <w:tcPr>
            <w:tcW w:w="600" w:type="dxa"/>
            <w:vAlign w:val="bottom"/>
          </w:tcPr>
          <w:p>
            <w:pPr>
              <w:spacing w:after="0"/>
              <w:rPr>
                <w:sz w:val="23"/>
                <w:szCs w:val="23"/>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w:t>
            </w:r>
          </w:p>
        </w:tc>
        <w:tc>
          <w:tcPr>
            <w:tcW w:w="540" w:type="dxa"/>
            <w:vAlign w:val="bottom"/>
          </w:tcPr>
          <w:p>
            <w:pPr>
              <w:spacing w:after="0"/>
              <w:rPr>
                <w:sz w:val="23"/>
                <w:szCs w:val="23"/>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67.1</w:t>
            </w:r>
          </w:p>
        </w:tc>
      </w:tr>
      <w:tr>
        <w:trPr>
          <w:trHeight w:val="199"/>
        </w:trPr>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16.7</w:t>
            </w:r>
          </w:p>
        </w:tc>
        <w:tc>
          <w:tcPr>
            <w:tcW w:w="58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16.7</w:t>
            </w:r>
          </w:p>
        </w:tc>
        <w:tc>
          <w:tcPr>
            <w:tcW w:w="60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w:t>
            </w:r>
          </w:p>
        </w:tc>
        <w:tc>
          <w:tcPr>
            <w:tcW w:w="540" w:type="dxa"/>
            <w:vAlign w:val="bottom"/>
          </w:tcPr>
          <w:p>
            <w:pPr>
              <w:spacing w:after="0"/>
              <w:rPr>
                <w:sz w:val="17"/>
                <w:szCs w:val="17"/>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-657225</wp:posOffset>
            </wp:positionV>
            <wp:extent cx="6764655" cy="210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64655" cy="210185"/>
                    </a:xfrm>
                    <a:prstGeom prst="rect">
                      <a:avLst/>
                    </a:prstGeom>
                    <a:noFill/>
                  </pic:spPr>
                </pic:pic>
              </a:graphicData>
            </a:graphic>
          </wp:anchor>
        </w:drawing>
        <w:drawing>
          <wp:anchor simplePos="0" relativeHeight="251657728" behindDoc="1" locked="0" layoutInCell="0" allowOverlap="1">
            <wp:simplePos x="0" y="0"/>
            <wp:positionH relativeFrom="column">
              <wp:posOffset>-2160270</wp:posOffset>
            </wp:positionH>
            <wp:positionV relativeFrom="paragraph">
              <wp:posOffset>-236220</wp:posOffset>
            </wp:positionV>
            <wp:extent cx="6764655" cy="126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64655" cy="12636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3060" w:space="640"/>
            <w:col w:w="7260"/>
          </w:cols>
          <w:pgMar w:left="320" w:top="121" w:right="619" w:bottom="1440" w:gutter="0" w:footer="0" w:header="0"/>
          <w:type w:val="continuous"/>
        </w:sectPr>
      </w:pPr>
    </w:p>
    <w:tbl>
      <w:tblPr>
        <w:tblLayout w:type="fixed"/>
        <w:tblInd w:w="300" w:type="dxa"/>
        <w:tblCellMar>
          <w:top w:w="0" w:type="dxa"/>
          <w:left w:w="0" w:type="dxa"/>
          <w:bottom w:w="0" w:type="dxa"/>
          <w:right w:w="0" w:type="dxa"/>
        </w:tblCellMar>
      </w:tblPr>
      <w:tr>
        <w:trPr>
          <w:trHeight w:val="212"/>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2,259.8</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2,076.8</w:t>
            </w:r>
          </w:p>
        </w:tc>
      </w:tr>
      <w:tr>
        <w:trPr>
          <w:trHeight w:val="185"/>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56.0</w:t>
            </w:r>
          </w:p>
        </w:tc>
      </w:tr>
      <w:tr>
        <w:trPr>
          <w:trHeight w:val="185"/>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w:t>
            </w:r>
          </w:p>
        </w:tc>
      </w:tr>
      <w:tr>
        <w:trPr>
          <w:trHeight w:val="199"/>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24.2</w:t>
            </w: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gridSpan w:val="3"/>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w:t>
            </w:r>
          </w:p>
        </w:tc>
      </w:tr>
      <w:tr>
        <w:trPr>
          <w:trHeight w:val="197"/>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16.9</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 continuing operations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0.19</w:t>
            </w: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 discontinued operations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0.14</w:t>
            </w:r>
          </w:p>
        </w:tc>
      </w:tr>
      <w:tr>
        <w:trPr>
          <w:trHeight w:val="18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0.33</w:t>
            </w: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8"/>
        </w:trPr>
        <w:tc>
          <w:tcPr>
            <w:tcW w:w="2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191"/>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 continuing operations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0.19</w:t>
            </w:r>
          </w:p>
        </w:tc>
      </w:tr>
      <w:tr>
        <w:trPr>
          <w:trHeight w:val="20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 discontinued operations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0.14</w:t>
            </w:r>
          </w:p>
        </w:tc>
      </w:tr>
      <w:tr>
        <w:trPr>
          <w:trHeight w:val="18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0.33</w:t>
            </w:r>
          </w:p>
        </w:tc>
      </w:tr>
      <w:tr>
        <w:trPr>
          <w:trHeight w:val="27"/>
        </w:trPr>
        <w:tc>
          <w:tcPr>
            <w:tcW w:w="2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type w:val="continuous"/>
        </w:sectPr>
      </w:pPr>
    </w:p>
    <w:bookmarkStart w:id="34" w:name="page35"/>
    <w:bookmarkEnd w:id="34"/>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0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AND COMBINED STATEMENT OF OPERATIONS</w:t>
      </w:r>
    </w:p>
    <w:p>
      <w:pPr>
        <w:spacing w:after="0" w:line="200"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Discontinued</w:t>
            </w:r>
          </w:p>
        </w:tc>
        <w:tc>
          <w:tcPr>
            <w:tcW w:w="180" w:type="dxa"/>
            <w:vAlign w:val="bottom"/>
          </w:tcPr>
          <w:p>
            <w:pPr>
              <w:spacing w:after="0"/>
              <w:rPr>
                <w:sz w:val="10"/>
                <w:szCs w:val="10"/>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Change in Basis of</w:t>
            </w:r>
          </w:p>
        </w:tc>
        <w:tc>
          <w:tcPr>
            <w:tcW w:w="140" w:type="dxa"/>
            <w:vAlign w:val="bottom"/>
          </w:tcPr>
          <w:p>
            <w:pPr>
              <w:spacing w:after="0"/>
              <w:rPr>
                <w:sz w:val="10"/>
                <w:szCs w:val="10"/>
                <w:color w:val="auto"/>
              </w:rPr>
            </w:pPr>
          </w:p>
        </w:tc>
        <w:tc>
          <w:tcPr>
            <w:tcW w:w="1140" w:type="dxa"/>
            <w:vAlign w:val="bottom"/>
            <w:vMerge w:val="restart"/>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As Restated and</w:t>
            </w:r>
          </w:p>
        </w:tc>
        <w:tc>
          <w:tcPr>
            <w:tcW w:w="0" w:type="dxa"/>
            <w:vAlign w:val="bottom"/>
          </w:tcPr>
          <w:p>
            <w:pPr>
              <w:spacing w:after="0"/>
              <w:rPr>
                <w:sz w:val="1"/>
                <w:szCs w:val="1"/>
                <w:color w:val="auto"/>
              </w:rPr>
            </w:pPr>
          </w:p>
        </w:tc>
      </w:tr>
      <w:tr>
        <w:trPr>
          <w:trHeight w:val="53"/>
        </w:trPr>
        <w:tc>
          <w:tcPr>
            <w:tcW w:w="2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restart"/>
          </w:tcPr>
          <w:p>
            <w:pPr>
              <w:ind w:left="80"/>
              <w:spacing w:after="0" w:line="126"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160" w:type="dxa"/>
            <w:vAlign w:val="bottom"/>
          </w:tcPr>
          <w:p>
            <w:pPr>
              <w:spacing w:after="0"/>
              <w:rPr>
                <w:sz w:val="4"/>
                <w:szCs w:val="4"/>
                <w:color w:val="auto"/>
              </w:rPr>
            </w:pPr>
          </w:p>
        </w:tc>
        <w:tc>
          <w:tcPr>
            <w:tcW w:w="960" w:type="dxa"/>
            <w:vAlign w:val="bottom"/>
            <w:vMerge w:val="restart"/>
          </w:tcPr>
          <w:p>
            <w:pPr>
              <w:jc w:val="right"/>
              <w:ind w:right="190"/>
              <w:spacing w:after="0" w:line="126" w:lineRule="exact"/>
              <w:rPr>
                <w:sz w:val="20"/>
                <w:szCs w:val="20"/>
                <w:color w:val="auto"/>
              </w:rPr>
            </w:pPr>
            <w:r>
              <w:rPr>
                <w:rFonts w:ascii="Times New Roman" w:cs="Times New Roman" w:eastAsia="Times New Roman" w:hAnsi="Times New Roman"/>
                <w:sz w:val="12"/>
                <w:szCs w:val="12"/>
                <w:b w:val="1"/>
                <w:bCs w:val="1"/>
                <w:color w:val="auto"/>
              </w:rPr>
              <w:t>As Restated</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rPr>
              <w:t>Operations</w:t>
            </w:r>
          </w:p>
        </w:tc>
        <w:tc>
          <w:tcPr>
            <w:tcW w:w="18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restart"/>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Presentation</w:t>
            </w:r>
          </w:p>
        </w:tc>
        <w:tc>
          <w:tcPr>
            <w:tcW w:w="140" w:type="dxa"/>
            <w:vAlign w:val="bottom"/>
          </w:tcPr>
          <w:p>
            <w:pPr>
              <w:spacing w:after="0"/>
              <w:rPr>
                <w:sz w:val="6"/>
                <w:szCs w:val="6"/>
                <w:color w:val="auto"/>
              </w:rPr>
            </w:pPr>
          </w:p>
        </w:tc>
        <w:tc>
          <w:tcPr>
            <w:tcW w:w="1140" w:type="dxa"/>
            <w:vAlign w:val="bottom"/>
            <w:vMerge w:val="restart"/>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Reclassifications</w:t>
            </w:r>
          </w:p>
        </w:tc>
        <w:tc>
          <w:tcPr>
            <w:tcW w:w="18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66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2"/>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3,109.0</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3,105.8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2,842.5</w:t>
            </w:r>
          </w:p>
        </w:tc>
        <w:tc>
          <w:tcPr>
            <w:tcW w:w="0" w:type="dxa"/>
            <w:vAlign w:val="bottom"/>
          </w:tcPr>
          <w:p>
            <w:pPr>
              <w:spacing w:after="0"/>
              <w:rPr>
                <w:sz w:val="1"/>
                <w:szCs w:val="1"/>
                <w:color w:val="auto"/>
              </w:rPr>
            </w:pPr>
          </w:p>
        </w:tc>
      </w:tr>
      <w:tr>
        <w:trPr>
          <w:trHeight w:val="19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Direct costs, exclusive of depreciation and</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2,588.6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0"/>
              <w:spacing w:after="0" w:line="144" w:lineRule="exact"/>
              <w:rPr>
                <w:sz w:val="20"/>
                <w:szCs w:val="20"/>
                <w:color w:val="auto"/>
              </w:rPr>
            </w:pPr>
            <w:r>
              <w:rPr>
                <w:rFonts w:ascii="Times New Roman" w:cs="Times New Roman" w:eastAsia="Times New Roman" w:hAnsi="Times New Roman"/>
                <w:sz w:val="14"/>
                <w:szCs w:val="14"/>
                <w:color w:val="auto"/>
              </w:rPr>
              <w:t>2,589.5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(176.8)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(160.8)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2,251.9</w:t>
            </w:r>
          </w:p>
        </w:tc>
        <w:tc>
          <w:tcPr>
            <w:tcW w:w="0" w:type="dxa"/>
            <w:vAlign w:val="bottom"/>
          </w:tcPr>
          <w:p>
            <w:pPr>
              <w:spacing w:after="0"/>
              <w:rPr>
                <w:sz w:val="1"/>
                <w:szCs w:val="1"/>
                <w:color w:val="auto"/>
              </w:rPr>
            </w:pPr>
          </w:p>
        </w:tc>
      </w:tr>
      <w:tr>
        <w:trPr>
          <w:trHeight w:val="195"/>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6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tcPr>
          <w:p>
            <w:pPr>
              <w:spacing w:after="0"/>
              <w:rPr>
                <w:sz w:val="11"/>
                <w:szCs w:val="11"/>
                <w:color w:val="auto"/>
              </w:rPr>
            </w:pPr>
          </w:p>
        </w:tc>
        <w:tc>
          <w:tcPr>
            <w:tcW w:w="10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336.6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0"/>
              <w:spacing w:after="0" w:line="137" w:lineRule="exact"/>
              <w:rPr>
                <w:sz w:val="20"/>
                <w:szCs w:val="20"/>
                <w:color w:val="auto"/>
              </w:rPr>
            </w:pPr>
            <w:r>
              <w:rPr>
                <w:rFonts w:ascii="Times New Roman" w:cs="Times New Roman" w:eastAsia="Times New Roman" w:hAnsi="Times New Roman"/>
                <w:sz w:val="14"/>
                <w:szCs w:val="14"/>
                <w:color w:val="auto"/>
              </w:rPr>
              <w:t>340.2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(52.9)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right"/>
              <w:ind w:right="10"/>
              <w:spacing w:after="0" w:line="137" w:lineRule="exact"/>
              <w:rPr>
                <w:sz w:val="20"/>
                <w:szCs w:val="20"/>
                <w:color w:val="auto"/>
              </w:rPr>
            </w:pPr>
            <w:r>
              <w:rPr>
                <w:rFonts w:ascii="Times New Roman" w:cs="Times New Roman" w:eastAsia="Times New Roman" w:hAnsi="Times New Roman"/>
                <w:sz w:val="14"/>
                <w:szCs w:val="14"/>
                <w:color w:val="auto"/>
              </w:rPr>
              <w:t>160.8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color w:val="auto"/>
              </w:rPr>
              <w:t>448.1</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exclusive of depreciation and amortization</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9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Long-lived and goodwill asset impairments</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85"/>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costs and expenses</w:t>
            </w: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3,045.9</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3,065.4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2,810.5</w:t>
            </w:r>
          </w:p>
        </w:tc>
        <w:tc>
          <w:tcPr>
            <w:tcW w:w="0" w:type="dxa"/>
            <w:vAlign w:val="bottom"/>
          </w:tcPr>
          <w:p>
            <w:pPr>
              <w:spacing w:after="0"/>
              <w:rPr>
                <w:sz w:val="1"/>
                <w:szCs w:val="1"/>
                <w:color w:val="auto"/>
              </w:rPr>
            </w:pPr>
          </w:p>
        </w:tc>
      </w:tr>
      <w:tr>
        <w:trPr>
          <w:trHeight w:val="19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91"/>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5"/>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Earnings (loss) per common share: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 continuing operations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r>
        <w:trPr>
          <w:trHeight w:val="192"/>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Basic - discontinued operations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17"/>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 continuing operations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r>
        <w:trPr>
          <w:trHeight w:val="192"/>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Diluted - discontinued operations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17"/>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0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COMBINED STATEMENT OF OPERATIONS</w:t>
      </w:r>
    </w:p>
    <w:p>
      <w:pPr>
        <w:spacing w:after="0" w:line="20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b w:val="1"/>
          <w:bCs w:val="1"/>
          <w:color w:val="auto"/>
        </w:rPr>
        <w:t>Year-Ended December 31, 2022</w:t>
      </w:r>
    </w:p>
    <w:p>
      <w:pPr>
        <w:spacing w:after="0" w:line="29" w:lineRule="exact"/>
        <w:rPr>
          <w:sz w:val="20"/>
          <w:szCs w:val="20"/>
          <w:color w:val="auto"/>
        </w:rPr>
      </w:pPr>
    </w:p>
    <w:tbl>
      <w:tblPr>
        <w:tblLayout w:type="fixed"/>
        <w:tblInd w:w="2900" w:type="dxa"/>
        <w:tblCellMar>
          <w:top w:w="0" w:type="dxa"/>
          <w:left w:w="0" w:type="dxa"/>
          <w:bottom w:w="0" w:type="dxa"/>
          <w:right w:w="0" w:type="dxa"/>
        </w:tblCellMar>
      </w:tblPr>
      <w:tr>
        <w:trPr>
          <w:trHeight w:val="146"/>
        </w:trPr>
        <w:tc>
          <w:tcPr>
            <w:tcW w:w="12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1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Discontinued</w:t>
            </w:r>
          </w:p>
        </w:tc>
        <w:tc>
          <w:tcPr>
            <w:tcW w:w="1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Change in Basis of</w:t>
            </w:r>
          </w:p>
        </w:tc>
        <w:tc>
          <w:tcPr>
            <w:tcW w:w="1340" w:type="dxa"/>
            <w:vAlign w:val="bottom"/>
            <w:tcBorders>
              <w:top w:val="single" w:sz="8" w:color="auto"/>
            </w:tcBorders>
            <w:vMerge w:val="restart"/>
          </w:tcPr>
          <w:p>
            <w:pPr>
              <w:jc w:val="center"/>
              <w:ind w:left="18"/>
              <w:spacing w:after="0"/>
              <w:rPr>
                <w:sz w:val="20"/>
                <w:szCs w:val="20"/>
                <w:color w:val="auto"/>
              </w:rPr>
            </w:pPr>
            <w:r>
              <w:rPr>
                <w:rFonts w:ascii="Times New Roman" w:cs="Times New Roman" w:eastAsia="Times New Roman" w:hAnsi="Times New Roman"/>
                <w:sz w:val="12"/>
                <w:szCs w:val="12"/>
                <w:b w:val="1"/>
                <w:bCs w:val="1"/>
                <w:color w:val="auto"/>
              </w:rPr>
              <w:t>As Restated and</w:t>
            </w:r>
          </w:p>
        </w:tc>
        <w:tc>
          <w:tcPr>
            <w:tcW w:w="0" w:type="dxa"/>
            <w:vAlign w:val="bottom"/>
          </w:tcPr>
          <w:p>
            <w:pPr>
              <w:spacing w:after="0"/>
              <w:rPr>
                <w:sz w:val="1"/>
                <w:szCs w:val="1"/>
                <w:color w:val="auto"/>
              </w:rPr>
            </w:pPr>
          </w:p>
        </w:tc>
      </w:tr>
      <w:tr>
        <w:trPr>
          <w:trHeight w:val="53"/>
        </w:trPr>
        <w:tc>
          <w:tcPr>
            <w:tcW w:w="1280" w:type="dxa"/>
            <w:vAlign w:val="bottom"/>
            <w:vMerge w:val="continue"/>
          </w:tcPr>
          <w:p>
            <w:pPr>
              <w:spacing w:after="0"/>
              <w:rPr>
                <w:sz w:val="4"/>
                <w:szCs w:val="4"/>
                <w:color w:val="auto"/>
              </w:rPr>
            </w:pPr>
          </w:p>
        </w:tc>
        <w:tc>
          <w:tcPr>
            <w:tcW w:w="1280" w:type="dxa"/>
            <w:vAlign w:val="bottom"/>
            <w:vMerge w:val="restart"/>
          </w:tcPr>
          <w:p>
            <w:pPr>
              <w:ind w:left="300"/>
              <w:spacing w:after="0" w:line="126"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12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2"/>
                <w:szCs w:val="12"/>
                <w:b w:val="1"/>
                <w:bCs w:val="1"/>
                <w:color w:val="auto"/>
              </w:rPr>
              <w:t>As Restated</w:t>
            </w:r>
          </w:p>
        </w:tc>
        <w:tc>
          <w:tcPr>
            <w:tcW w:w="1440" w:type="dxa"/>
            <w:vAlign w:val="bottom"/>
            <w:vMerge w:val="restart"/>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Operations</w:t>
            </w:r>
          </w:p>
        </w:tc>
        <w:tc>
          <w:tcPr>
            <w:tcW w:w="156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2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Presentation</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Reclassifications</w:t>
            </w:r>
          </w:p>
        </w:tc>
        <w:tc>
          <w:tcPr>
            <w:tcW w:w="156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10795</wp:posOffset>
            </wp:positionV>
            <wp:extent cx="6857365" cy="142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7365" cy="14287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p>
      <w:pPr>
        <w:spacing w:after="0" w:line="21" w:lineRule="exact"/>
        <w:rPr>
          <w:sz w:val="20"/>
          <w:szCs w:val="20"/>
          <w:color w:val="auto"/>
        </w:rPr>
      </w:pPr>
    </w:p>
    <w:p>
      <w:pPr>
        <w:ind w:left="240"/>
        <w:spacing w:after="0"/>
        <w:tabs>
          <w:tab w:leader="none" w:pos="2900" w:val="left"/>
        </w:tabs>
        <w:rPr>
          <w:sz w:val="20"/>
          <w:szCs w:val="20"/>
          <w:color w:val="auto"/>
        </w:rPr>
      </w:pPr>
      <w:r>
        <w:rPr>
          <w:rFonts w:ascii="Times New Roman" w:cs="Times New Roman" w:eastAsia="Times New Roman" w:hAnsi="Times New Roman"/>
          <w:sz w:val="12"/>
          <w:szCs w:val="12"/>
          <w:color w:val="auto"/>
        </w:rPr>
        <w:t>Revenues</w:t>
      </w:r>
      <w:r>
        <w:rPr>
          <w:sz w:val="20"/>
          <w:szCs w:val="20"/>
          <w:color w:val="auto"/>
        </w:rPr>
        <w:tab/>
      </w:r>
      <w:r>
        <w:rPr>
          <w:rFonts w:ascii="Times New Roman" w:cs="Times New Roman" w:eastAsia="Times New Roman" w:hAnsi="Times New Roman"/>
          <w:sz w:val="12"/>
          <w:szCs w:val="12"/>
          <w:color w:val="auto"/>
        </w:rPr>
        <w:t>$</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Costs and expenses:</w:t>
      </w:r>
    </w:p>
    <w:p>
      <w:pPr>
        <w:spacing w:after="0" w:line="38" w:lineRule="exact"/>
        <w:rPr>
          <w:sz w:val="20"/>
          <w:szCs w:val="20"/>
          <w:color w:val="auto"/>
        </w:rPr>
      </w:pPr>
    </w:p>
    <w:p>
      <w:pPr>
        <w:ind w:left="240" w:right="340"/>
        <w:spacing w:after="0" w:line="246" w:lineRule="auto"/>
        <w:rPr>
          <w:sz w:val="20"/>
          <w:szCs w:val="20"/>
          <w:color w:val="auto"/>
        </w:rPr>
      </w:pPr>
      <w:r>
        <w:rPr>
          <w:rFonts w:ascii="Times New Roman" w:cs="Times New Roman" w:eastAsia="Times New Roman" w:hAnsi="Times New Roman"/>
          <w:sz w:val="14"/>
          <w:szCs w:val="14"/>
          <w:color w:val="auto"/>
        </w:rPr>
        <w:t>Direct costs, exclusive of depreciation and amortization</w:t>
      </w:r>
    </w:p>
    <w:p>
      <w:pPr>
        <w:spacing w:after="0" w:line="1" w:lineRule="exact"/>
        <w:rPr>
          <w:sz w:val="20"/>
          <w:szCs w:val="20"/>
          <w:color w:val="auto"/>
        </w:rPr>
      </w:pPr>
    </w:p>
    <w:p>
      <w:pPr>
        <w:ind w:left="240" w:right="180"/>
        <w:spacing w:after="0" w:line="246" w:lineRule="auto"/>
        <w:rPr>
          <w:sz w:val="20"/>
          <w:szCs w:val="20"/>
          <w:color w:val="auto"/>
        </w:rPr>
      </w:pPr>
      <w:r>
        <w:rPr>
          <w:rFonts w:ascii="Times New Roman" w:cs="Times New Roman" w:eastAsia="Times New Roman" w:hAnsi="Times New Roman"/>
          <w:sz w:val="14"/>
          <w:szCs w:val="14"/>
          <w:color w:val="auto"/>
        </w:rPr>
        <w:t>Selling, general and administrative expenses, exclusive of depreciation and amortization</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Long-lived and goodwill asset impairments</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Restructuring and other charges</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 costs and expenses</w:t>
      </w:r>
    </w:p>
    <w:p>
      <w:pPr>
        <w:spacing w:after="0" w:line="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Operating income (loss)</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Other income (expense):</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Foreign exchange gain (loss)</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Other,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
        </w:trPr>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3,096.1</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3,096.1</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8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2,837.0</w:t>
            </w:r>
          </w:p>
        </w:tc>
        <w:tc>
          <w:tcPr>
            <w:tcW w:w="0" w:type="dxa"/>
            <w:vAlign w:val="bottom"/>
          </w:tcPr>
          <w:p>
            <w:pPr>
              <w:spacing w:after="0"/>
              <w:rPr>
                <w:sz w:val="1"/>
                <w:szCs w:val="1"/>
                <w:color w:val="auto"/>
              </w:rPr>
            </w:pPr>
          </w:p>
        </w:tc>
      </w:tr>
      <w:tr>
        <w:trPr>
          <w:trHeight w:val="454"/>
        </w:trPr>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5"/>
              </w:rPr>
              <w:t>2,447.4</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2,452.4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2,112.6</w:t>
            </w:r>
          </w:p>
        </w:tc>
        <w:tc>
          <w:tcPr>
            <w:tcW w:w="0" w:type="dxa"/>
            <w:vAlign w:val="bottom"/>
          </w:tcPr>
          <w:p>
            <w:pPr>
              <w:spacing w:after="0"/>
              <w:rPr>
                <w:sz w:val="1"/>
                <w:szCs w:val="1"/>
                <w:color w:val="auto"/>
              </w:rPr>
            </w:pPr>
          </w:p>
        </w:tc>
      </w:tr>
      <w:tr>
        <w:trPr>
          <w:trHeight w:val="331"/>
        </w:trPr>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279.8</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282.0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184.3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0" w:type="dxa"/>
            <w:vAlign w:val="bottom"/>
          </w:tcPr>
          <w:p>
            <w:pPr>
              <w:spacing w:after="0"/>
              <w:rPr>
                <w:sz w:val="1"/>
                <w:szCs w:val="1"/>
                <w:color w:val="auto"/>
              </w:rPr>
            </w:pPr>
          </w:p>
        </w:tc>
      </w:tr>
      <w:tr>
        <w:trPr>
          <w:trHeight w:val="265"/>
        </w:trPr>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92.7</w:t>
            </w:r>
          </w:p>
        </w:tc>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0" w:type="dxa"/>
            <w:vAlign w:val="bottom"/>
          </w:tcPr>
          <w:p>
            <w:pPr>
              <w:spacing w:after="0"/>
              <w:rPr>
                <w:sz w:val="1"/>
                <w:szCs w:val="1"/>
                <w:color w:val="auto"/>
              </w:rPr>
            </w:pPr>
          </w:p>
        </w:tc>
      </w:tr>
      <w:tr>
        <w:trPr>
          <w:trHeight w:val="199"/>
        </w:trPr>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500" w:type="dxa"/>
            <w:vAlign w:val="bottom"/>
          </w:tcPr>
          <w:p>
            <w:pPr>
              <w:spacing w:after="0"/>
              <w:rPr>
                <w:sz w:val="17"/>
                <w:szCs w:val="17"/>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14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9"/>
        </w:trPr>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30.5</w:t>
            </w:r>
          </w:p>
        </w:tc>
        <w:tc>
          <w:tcPr>
            <w:tcW w:w="500" w:type="dxa"/>
            <w:vAlign w:val="bottom"/>
          </w:tcPr>
          <w:p>
            <w:pPr>
              <w:spacing w:after="0"/>
              <w:rPr>
                <w:sz w:val="17"/>
                <w:szCs w:val="17"/>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4"/>
        </w:trPr>
        <w:tc>
          <w:tcPr>
            <w:tcW w:w="5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95"/>
              </w:rPr>
              <w:t>2,860.2</w:t>
            </w: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80" w:type="dxa"/>
            <w:vAlign w:val="bottom"/>
            <w:vMerge w:val="continue"/>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2,868.3</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80" w:type="dxa"/>
            <w:vAlign w:val="bottom"/>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2,649.9</w:t>
            </w:r>
          </w:p>
        </w:tc>
        <w:tc>
          <w:tcPr>
            <w:tcW w:w="0" w:type="dxa"/>
            <w:vAlign w:val="bottom"/>
          </w:tcPr>
          <w:p>
            <w:pPr>
              <w:spacing w:after="0"/>
              <w:rPr>
                <w:sz w:val="1"/>
                <w:szCs w:val="1"/>
                <w:color w:val="auto"/>
              </w:rPr>
            </w:pPr>
          </w:p>
        </w:tc>
      </w:tr>
      <w:tr>
        <w:trPr>
          <w:trHeight w:val="192"/>
        </w:trPr>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235.9</w:t>
            </w: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0" w:type="dxa"/>
            <w:vAlign w:val="bottom"/>
          </w:tcPr>
          <w:p>
            <w:pPr>
              <w:spacing w:after="0"/>
              <w:rPr>
                <w:sz w:val="1"/>
                <w:szCs w:val="1"/>
                <w:color w:val="auto"/>
              </w:rPr>
            </w:pPr>
          </w:p>
        </w:tc>
      </w:tr>
      <w:tr>
        <w:trPr>
          <w:trHeight w:val="360"/>
        </w:trPr>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24"/>
                <w:szCs w:val="24"/>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14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9"/>
        </w:trPr>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(0.9)</w:t>
            </w: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9"/>
        </w:trPr>
        <w:tc>
          <w:tcPr>
            <w:tcW w:w="5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w:t>
            </w:r>
          </w:p>
        </w:tc>
        <w:tc>
          <w:tcPr>
            <w:tcW w:w="500" w:type="dxa"/>
            <w:vAlign w:val="bottom"/>
          </w:tcPr>
          <w:p>
            <w:pPr>
              <w:spacing w:after="0"/>
              <w:rPr>
                <w:sz w:val="17"/>
                <w:szCs w:val="17"/>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-1557020</wp:posOffset>
            </wp:positionV>
            <wp:extent cx="6857365" cy="2101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7365" cy="210185"/>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-1136650</wp:posOffset>
            </wp:positionV>
            <wp:extent cx="6857365" cy="1263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7365" cy="126365"/>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-883920</wp:posOffset>
            </wp:positionV>
            <wp:extent cx="6857365" cy="900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7365" cy="90043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2980" w:space="660"/>
            <w:col w:w="7380"/>
          </w:cols>
          <w:pgMar w:left="320" w:top="121" w:right="559" w:bottom="1440" w:gutter="0" w:footer="0" w:header="0"/>
          <w:type w:val="continuous"/>
        </w:sectPr>
      </w:pPr>
    </w:p>
    <w:tbl>
      <w:tblPr>
        <w:tblLayout w:type="fixed"/>
        <w:tblInd w:w="240" w:type="dxa"/>
        <w:tblCellMar>
          <w:top w:w="0" w:type="dxa"/>
          <w:left w:w="0" w:type="dxa"/>
          <w:bottom w:w="0" w:type="dxa"/>
          <w:right w:w="0" w:type="dxa"/>
        </w:tblCellMar>
      </w:tblPr>
      <w:tr>
        <w:trPr>
          <w:trHeight w:val="208"/>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187.0</w:t>
            </w:r>
          </w:p>
        </w:tc>
      </w:tr>
      <w:tr>
        <w:trPr>
          <w:trHeight w:val="20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r>
      <w:tr>
        <w:trPr>
          <w:trHeight w:val="166"/>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186.2</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w:t>
            </w: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2"/>
        </w:trPr>
        <w:tc>
          <w:tcPr>
            <w:tcW w:w="2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192"/>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5"/>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 continuing operations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9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Basic - discontinued operations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r>
      <w:tr>
        <w:trPr>
          <w:trHeight w:val="217"/>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 continuing operations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9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Diluted - discontinued operations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r>
      <w:tr>
        <w:trPr>
          <w:trHeight w:val="217"/>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type w:val="continuous"/>
        </w:sectPr>
      </w:pPr>
    </w:p>
    <w:bookmarkStart w:id="36" w:name="page37"/>
    <w:bookmarkEnd w:id="36"/>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1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COMBINED STATEMENT OF COMPREHENSIVE INCOME (LOSS)</w:t>
      </w:r>
    </w:p>
    <w:p>
      <w:pPr>
        <w:spacing w:after="0" w:line="200"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133"/>
        </w:trPr>
        <w:tc>
          <w:tcPr>
            <w:tcW w:w="69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231"/>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102"/>
        </w:trPr>
        <w:tc>
          <w:tcPr>
            <w:tcW w:w="6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2"/>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tax</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85"/>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 related to items of comprehensive income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9"/>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COMPREHENSIVE INCOME (LOSS)</w:t>
      </w:r>
    </w:p>
    <w:p>
      <w:pPr>
        <w:spacing w:after="0" w:line="20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133"/>
        </w:trPr>
        <w:tc>
          <w:tcPr>
            <w:tcW w:w="69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102"/>
        </w:trPr>
        <w:tc>
          <w:tcPr>
            <w:tcW w:w="6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9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1"/>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benefit plan adjustments</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5"/>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before tax</w:t>
            </w: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9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 related to items of comprehensive income</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24"/>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COMPREHENSIVE INCOME (LOSS)</w:t>
      </w:r>
    </w:p>
    <w:p>
      <w:pPr>
        <w:spacing w:after="0" w:line="200"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139"/>
        </w:trPr>
        <w:tc>
          <w:tcPr>
            <w:tcW w:w="6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96"/>
        </w:trPr>
        <w:tc>
          <w:tcPr>
            <w:tcW w:w="6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6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0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benefit plan adjustments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5"/>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before tax</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19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 related to items of comprehensive income</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224"/>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INCOME (LOSS)</w:t>
      </w:r>
    </w:p>
    <w:p>
      <w:pPr>
        <w:spacing w:after="0" w:line="200"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133"/>
        </w:trPr>
        <w:tc>
          <w:tcPr>
            <w:tcW w:w="68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102"/>
        </w:trPr>
        <w:tc>
          <w:tcPr>
            <w:tcW w:w="6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20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 instruments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5"/>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tax</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20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 related to items of comprehensive loss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5"/>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224"/>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1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COMPREHENSIVE INCOME (LOSS)</w:t>
      </w:r>
    </w:p>
    <w:p>
      <w:pPr>
        <w:spacing w:after="0" w:line="41"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29" w:lineRule="exact"/>
        <w:rPr>
          <w:sz w:val="20"/>
          <w:szCs w:val="20"/>
          <w:color w:val="auto"/>
        </w:rPr>
      </w:pPr>
    </w:p>
    <w:tbl>
      <w:tblPr>
        <w:tblLayout w:type="fixed"/>
        <w:tblInd w:w="16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As Previously Reported</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As Restated</w:t>
            </w:r>
          </w:p>
        </w:tc>
      </w:tr>
      <w:tr>
        <w:trPr>
          <w:trHeight w:val="197"/>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91"/>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benefit plan adjustments</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2"/>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derivative instruments</w:t>
            </w: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9"/>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 before tax</w:t>
            </w:r>
          </w:p>
        </w:tc>
        <w:tc>
          <w:tcPr>
            <w:tcW w:w="5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2"/>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 related to items of comprehensive loss</w:t>
            </w:r>
          </w:p>
        </w:tc>
        <w:tc>
          <w:tcPr>
            <w:tcW w:w="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2"/>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9"/>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20"/>
        </w:trPr>
        <w:tc>
          <w:tcPr>
            <w:tcW w:w="6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AND COMBINED STATEMENT OF COMPREHENSIVE INCOME (LOSS)</w:t>
      </w:r>
    </w:p>
    <w:p>
      <w:pPr>
        <w:spacing w:after="0" w:line="4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133"/>
        </w:trPr>
        <w:tc>
          <w:tcPr>
            <w:tcW w:w="68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102"/>
        </w:trPr>
        <w:tc>
          <w:tcPr>
            <w:tcW w:w="6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0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benefit plan adjustments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2"/>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 instruments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9"/>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before tax</w:t>
            </w: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192"/>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 related to items of comprehensive income</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92"/>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99"/>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COMBINED STATEMENT OF COMPREHENSIVE INCOME (LOSS)</w:t>
      </w:r>
    </w:p>
    <w:p>
      <w:pPr>
        <w:spacing w:after="0" w:line="200"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139"/>
        </w:trPr>
        <w:tc>
          <w:tcPr>
            <w:tcW w:w="6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96"/>
        </w:trPr>
        <w:tc>
          <w:tcPr>
            <w:tcW w:w="6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6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0" w:type="dxa"/>
            <w:vAlign w:val="bottom"/>
          </w:tcPr>
          <w:p>
            <w:pPr>
              <w:spacing w:after="0"/>
              <w:rPr>
                <w:sz w:val="1"/>
                <w:szCs w:val="1"/>
                <w:color w:val="auto"/>
              </w:rPr>
            </w:pP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20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benefit plan adjustments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5"/>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tax</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20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 related to items of comprehensive loss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224"/>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3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CHANGES IN EQUITY</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9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7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86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7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Previously reported</w:t>
            </w: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3,618.6</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0" w:type="dxa"/>
            <w:vAlign w:val="bottom"/>
          </w:tcPr>
          <w:p>
            <w:pPr>
              <w:spacing w:after="0"/>
              <w:rPr>
                <w:sz w:val="1"/>
                <w:szCs w:val="1"/>
                <w:color w:val="auto"/>
              </w:rPr>
            </w:pPr>
          </w:p>
        </w:tc>
      </w:tr>
      <w:tr>
        <w:trPr>
          <w:trHeight w:val="20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Former Parent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3,662.6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payment to Former Parent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Reclassification of Former Parent investment to</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6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980" w:type="dxa"/>
            <w:vAlign w:val="bottom"/>
            <w:vMerge w:val="continue"/>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17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Adjustments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from Former Parent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Reclassification of Former Parent investment to</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6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980" w:type="dxa"/>
            <w:vAlign w:val="bottom"/>
            <w:vMerge w:val="continue"/>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2"/>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0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9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9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86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As Restated</w:t>
            </w: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3,614.8</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3,340.0</w:t>
            </w:r>
          </w:p>
        </w:tc>
        <w:tc>
          <w:tcPr>
            <w:tcW w:w="0" w:type="dxa"/>
            <w:vAlign w:val="bottom"/>
          </w:tcPr>
          <w:p>
            <w:pPr>
              <w:spacing w:after="0"/>
              <w:rPr>
                <w:sz w:val="1"/>
                <w:szCs w:val="1"/>
                <w:color w:val="auto"/>
              </w:rPr>
            </w:pPr>
          </w:p>
        </w:tc>
      </w:tr>
      <w:tr>
        <w:trPr>
          <w:trHeight w:val="20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Former Parent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8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3,402.8</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payment to Former Parent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Reclassification of Former Parent investment to</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4"/>
        </w:trPr>
        <w:tc>
          <w:tcPr>
            <w:tcW w:w="2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6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980" w:type="dxa"/>
            <w:vAlign w:val="bottom"/>
            <w:vMerge w:val="continue"/>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1,747.8</w:t>
            </w:r>
          </w:p>
        </w:tc>
        <w:tc>
          <w:tcPr>
            <w:tcW w:w="0" w:type="dxa"/>
            <w:vAlign w:val="bottom"/>
          </w:tcPr>
          <w:p>
            <w:pPr>
              <w:spacing w:after="0"/>
              <w:rPr>
                <w:sz w:val="1"/>
                <w:szCs w:val="1"/>
                <w:color w:val="auto"/>
              </w:rPr>
            </w:pPr>
          </w:p>
        </w:tc>
      </w:tr>
      <w:tr>
        <w:trPr>
          <w:trHeight w:val="19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17"/>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0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AND COMBINED STATEMENT OF CHANGES IN EQUITY</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9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9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86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Previously reported</w:t>
            </w: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3,618.6</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3,342.6</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payment to Former Parent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Former Parent investment to</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2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6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3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980" w:type="dxa"/>
            <w:vAlign w:val="bottom"/>
            <w:tcBorders>
              <w:bottom w:val="single" w:sz="8" w:color="CCEEFF"/>
            </w:tcBorders>
            <w:vMerge w:val="continue"/>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2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7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1,738.8</w:t>
            </w:r>
          </w:p>
        </w:tc>
        <w:tc>
          <w:tcPr>
            <w:tcW w:w="0" w:type="dxa"/>
            <w:vAlign w:val="bottom"/>
          </w:tcPr>
          <w:p>
            <w:pPr>
              <w:spacing w:after="0"/>
              <w:rPr>
                <w:sz w:val="1"/>
                <w:szCs w:val="1"/>
                <w:color w:val="auto"/>
              </w:rPr>
            </w:pPr>
          </w:p>
        </w:tc>
      </w:tr>
      <w:tr>
        <w:trPr>
          <w:trHeight w:val="28"/>
        </w:trPr>
        <w:tc>
          <w:tcPr>
            <w:tcW w:w="29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Adjustments</w:t>
            </w:r>
          </w:p>
        </w:tc>
        <w:tc>
          <w:tcPr>
            <w:tcW w:w="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Former Parent investment to</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9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9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6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As Restated</w:t>
            </w: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3,340.0</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Special payment to Former Parent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Former Parent investment to</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9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38"/>
        </w:trPr>
        <w:tc>
          <w:tcPr>
            <w:tcW w:w="29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3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COMBINED STATEMENT OF CHANGES IN EQUITY</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7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Amounts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7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Previously reported</w:t>
            </w: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3,409.0</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3,618.6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0" w:type="dxa"/>
            <w:vAlign w:val="bottom"/>
          </w:tcPr>
          <w:p>
            <w:pPr>
              <w:spacing w:after="0"/>
              <w:rPr>
                <w:sz w:val="1"/>
                <w:szCs w:val="1"/>
                <w:color w:val="auto"/>
              </w:rPr>
            </w:pPr>
          </w:p>
        </w:tc>
      </w:tr>
      <w:tr>
        <w:trPr>
          <w:trHeight w:val="28"/>
        </w:trPr>
        <w:tc>
          <w:tcPr>
            <w:tcW w:w="29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Adjustments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8"/>
        </w:trPr>
        <w:tc>
          <w:tcPr>
            <w:tcW w:w="29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As Restated</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8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3,614.8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42" w:name="page43"/>
    <w:bookmarkEnd w:id="42"/>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STATEMENT OF CASH FLOWS</w:t>
      </w:r>
    </w:p>
    <w:p>
      <w:pPr>
        <w:spacing w:after="0" w:line="4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0" w:type="dxa"/>
            <w:vAlign w:val="bottom"/>
          </w:tcPr>
          <w:p>
            <w:pPr>
              <w:spacing w:after="0"/>
              <w:rPr>
                <w:sz w:val="15"/>
                <w:szCs w:val="15"/>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As Previously Reported</w:t>
            </w: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As Restated</w:t>
            </w:r>
          </w:p>
        </w:tc>
      </w:tr>
      <w:tr>
        <w:trPr>
          <w:trHeight w:val="184"/>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5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 expense</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and other asset impairments</w:t>
            </w:r>
          </w:p>
        </w:tc>
        <w:tc>
          <w:tcPr>
            <w:tcW w:w="5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assets and liabilities (net of effects of acquisitions):</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accounts receivable and unbilled services, net</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prepaid expenses and other</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accounts payable</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deferred revenue</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accrued expenses and other</w:t>
            </w:r>
          </w:p>
        </w:tc>
        <w:tc>
          <w:tcPr>
            <w:tcW w:w="5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185"/>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1"/>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20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5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5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18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2"/>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transfers from Parent</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92"/>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92"/>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w:t>
            </w:r>
          </w:p>
        </w:tc>
      </w:tr>
      <w:tr>
        <w:trPr>
          <w:trHeight w:val="22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adjusted and restated statements of cash flows included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0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CASH FLOWS</w:t>
      </w:r>
    </w:p>
    <w:p>
      <w:pPr>
        <w:spacing w:after="0" w:line="4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p>
      <w:pPr>
        <w:spacing w:after="0" w:line="29" w:lineRule="exact"/>
        <w:rPr>
          <w:sz w:val="20"/>
          <w:szCs w:val="20"/>
          <w:color w:val="auto"/>
        </w:rPr>
      </w:pPr>
    </w:p>
    <w:tbl>
      <w:tblPr>
        <w:tblLayout w:type="fixed"/>
        <w:tblInd w:w="24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As Previously Reported</w:t>
            </w: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As Restated</w:t>
            </w:r>
          </w:p>
        </w:tc>
      </w:tr>
      <w:tr>
        <w:trPr>
          <w:trHeight w:val="184"/>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compensation</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 expense</w:t>
            </w:r>
          </w:p>
        </w:tc>
        <w:tc>
          <w:tcPr>
            <w:tcW w:w="4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Other, net</w:t>
            </w:r>
          </w:p>
        </w:tc>
        <w:tc>
          <w:tcPr>
            <w:tcW w:w="4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assets and liabilities (net of effects of acquisitions):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Decrease in accounts receivable and unbilled services, net</w:t>
            </w:r>
          </w:p>
        </w:tc>
        <w:tc>
          <w:tcPr>
            <w:tcW w:w="4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prepaid expenses and other</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Increase in accounts payable</w:t>
            </w:r>
          </w:p>
        </w:tc>
        <w:tc>
          <w:tcPr>
            <w:tcW w:w="4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deferred revenue</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2"/>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Increase in accrued expenses and other</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9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154.2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r>
      <w:tr>
        <w:trPr>
          <w:trHeight w:val="172"/>
        </w:trPr>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92"/>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4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99"/>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72"/>
        </w:trPr>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revolving credit facilities</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Payments on revolving credit facilities</w:t>
            </w:r>
          </w:p>
        </w:tc>
        <w:tc>
          <w:tcPr>
            <w:tcW w:w="4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term loans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1,061.4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1,061.4</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senior notes</w:t>
            </w:r>
          </w:p>
        </w:tc>
        <w:tc>
          <w:tcPr>
            <w:tcW w:w="4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570.0</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issuance costs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4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Special payment to Former Parent</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(1,595.0)</w:t>
            </w:r>
          </w:p>
        </w:tc>
      </w:tr>
      <w:tr>
        <w:trPr>
          <w:trHeight w:val="192"/>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transfers from Parent</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w:t>
            </w:r>
          </w:p>
        </w:tc>
      </w:tr>
      <w:tr>
        <w:trPr>
          <w:trHeight w:val="19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r>
      <w:tr>
        <w:trPr>
          <w:trHeight w:val="192"/>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2"/>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112.0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w:t>
            </w:r>
          </w:p>
        </w:tc>
      </w:tr>
      <w:tr>
        <w:trPr>
          <w:trHeight w:val="22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114.3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adjusted and restated statements of cash flows included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4" w:name="page45"/>
    <w:bookmarkEnd w:id="44"/>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0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CASH FLOWS</w:t>
      </w:r>
    </w:p>
    <w:p>
      <w:pPr>
        <w:spacing w:after="0" w:line="4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29" w:lineRule="exact"/>
        <w:rPr>
          <w:sz w:val="20"/>
          <w:szCs w:val="20"/>
          <w:color w:val="auto"/>
        </w:rPr>
      </w:pPr>
    </w:p>
    <w:tbl>
      <w:tblPr>
        <w:tblLayout w:type="fixed"/>
        <w:tblInd w:w="24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As Previously Reported</w:t>
            </w: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As Restated</w:t>
            </w:r>
          </w:p>
        </w:tc>
      </w:tr>
      <w:tr>
        <w:trPr>
          <w:trHeight w:val="184"/>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compensation</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 expense</w:t>
            </w:r>
          </w:p>
        </w:tc>
        <w:tc>
          <w:tcPr>
            <w:tcW w:w="4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and other asset impairments</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Change in assets and liabilities (net of effects of acquisitions):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accounts receivable and unbilled services, net</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Increase in prepaid expenses and other</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accounts payable</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Decrease in deferred revenue</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accrued expenses and other</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5"/>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155.0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8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5"/>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4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8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revolving credit facilities</w:t>
            </w:r>
          </w:p>
        </w:tc>
        <w:tc>
          <w:tcPr>
            <w:tcW w:w="4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on revolving credit facilities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term loans</w:t>
            </w:r>
          </w:p>
        </w:tc>
        <w:tc>
          <w:tcPr>
            <w:tcW w:w="4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senior notes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Debt issuance costs</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Special payment to Former Parent</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(1,595.0)</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transfers from Parent</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r>
      <w:tr>
        <w:trPr>
          <w:trHeight w:val="185"/>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r>
      <w:tr>
        <w:trPr>
          <w:trHeight w:val="20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5"/>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r>
      <w:tr>
        <w:trPr>
          <w:trHeight w:val="199"/>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w:t>
            </w:r>
          </w:p>
        </w:tc>
      </w:tr>
      <w:tr>
        <w:trPr>
          <w:trHeight w:val="20"/>
        </w:trPr>
        <w:tc>
          <w:tcPr>
            <w:tcW w:w="6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adjusted and restated statements of cash flows included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5" w:name="page46"/>
    <w:bookmarkEnd w:id="45"/>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0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AND COMBINED STATEMENT OF CASH FLOWS</w:t>
      </w:r>
    </w:p>
    <w:p>
      <w:pPr>
        <w:spacing w:after="0" w:line="4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00" w:type="dxa"/>
            <w:vAlign w:val="bottom"/>
            <w:gridSpan w:val="6"/>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1080" w:type="dxa"/>
            <w:vAlign w:val="bottom"/>
          </w:tcPr>
          <w:p>
            <w:pPr>
              <w:spacing w:after="0"/>
              <w:rPr>
                <w:sz w:val="16"/>
                <w:szCs w:val="16"/>
                <w:color w:val="auto"/>
              </w:rPr>
            </w:pPr>
          </w:p>
        </w:tc>
      </w:tr>
      <w:tr>
        <w:trPr>
          <w:trHeight w:val="24"/>
        </w:trPr>
        <w:tc>
          <w:tcPr>
            <w:tcW w:w="654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0"/>
        </w:trPr>
        <w:tc>
          <w:tcPr>
            <w:tcW w:w="6540" w:type="dxa"/>
            <w:vAlign w:val="bottom"/>
          </w:tcPr>
          <w:p>
            <w:pPr>
              <w:spacing w:after="0"/>
              <w:rPr>
                <w:sz w:val="13"/>
                <w:szCs w:val="13"/>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As Previously Reported</w:t>
            </w:r>
          </w:p>
        </w:tc>
        <w:tc>
          <w:tcPr>
            <w:tcW w:w="2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60" w:type="dxa"/>
            <w:vAlign w:val="bottom"/>
          </w:tcPr>
          <w:p>
            <w:pPr>
              <w:spacing w:after="0"/>
              <w:rPr>
                <w:sz w:val="13"/>
                <w:szCs w:val="13"/>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As Restated</w:t>
            </w:r>
          </w:p>
        </w:tc>
      </w:tr>
      <w:tr>
        <w:trPr>
          <w:trHeight w:val="184"/>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compensation</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 expense</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and other asset impairments</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Change in assets and liabilities (net of effects of acquisitions):</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accounts receivable and unbilled services, net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Increase in prepaid expenses and other</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accounts payable</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Decrease in deferred revenue</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accrued expenses and other</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85"/>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w:t>
            </w:r>
          </w:p>
        </w:tc>
      </w:tr>
      <w:tr>
        <w:trPr>
          <w:trHeight w:val="18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5"/>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8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revolving credit facilities</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on revolving credit facilities</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term loans</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senior notes</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Debt issuance costs</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91"/>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Special payment to Former Parent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(1,595.0)</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transfers from Parent</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r>
      <w:tr>
        <w:trPr>
          <w:trHeight w:val="185"/>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5"/>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r>
      <w:tr>
        <w:trPr>
          <w:trHeight w:val="192"/>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w:t>
            </w:r>
          </w:p>
        </w:tc>
      </w:tr>
      <w:tr>
        <w:trPr>
          <w:trHeight w:val="20"/>
        </w:trPr>
        <w:tc>
          <w:tcPr>
            <w:tcW w:w="6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adjusted and restated statements of cash flows included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02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COMBINED STATEMENT OF CASH FLOWS</w:t>
      </w:r>
    </w:p>
    <w:p>
      <w:pPr>
        <w:spacing w:after="0" w:line="4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p>
      <w:pPr>
        <w:spacing w:after="0" w:line="29" w:lineRule="exact"/>
        <w:rPr>
          <w:sz w:val="20"/>
          <w:szCs w:val="20"/>
          <w:color w:val="auto"/>
        </w:rPr>
      </w:pPr>
    </w:p>
    <w:tbl>
      <w:tblPr>
        <w:tblLayout w:type="fixed"/>
        <w:tblInd w:w="240" w:type="dxa"/>
        <w:tblCellMar>
          <w:top w:w="0" w:type="dxa"/>
          <w:left w:w="0" w:type="dxa"/>
          <w:bottom w:w="0" w:type="dxa"/>
          <w:right w:w="0" w:type="dxa"/>
        </w:tblCellMar>
      </w:tblPr>
      <w:tr>
        <w:trPr>
          <w:trHeight w:val="133"/>
        </w:trPr>
        <w:tc>
          <w:tcPr>
            <w:tcW w:w="7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r>
      <w:tr>
        <w:trPr>
          <w:trHeight w:val="179"/>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8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60" w:type="dxa"/>
            <w:vAlign w:val="bottom"/>
          </w:tcPr>
          <w:p>
            <w:pPr>
              <w:spacing w:after="0"/>
              <w:rPr>
                <w:sz w:val="15"/>
                <w:szCs w:val="15"/>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As Restated</w:t>
            </w:r>
          </w:p>
        </w:tc>
      </w:tr>
      <w:tr>
        <w:trPr>
          <w:trHeight w:val="186"/>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191"/>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w:t>
            </w:r>
          </w:p>
        </w:tc>
      </w:tr>
      <w:tr>
        <w:trPr>
          <w:trHeight w:val="20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1"/>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r>
      <w:tr>
        <w:trPr>
          <w:trHeight w:val="20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 compensation</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191"/>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 expense</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20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 and other asset impairments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91"/>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0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91"/>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assets and liabilities (net of effects of acquisitions):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accounts receivable and unbilled services, net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r>
      <w:tr>
        <w:trPr>
          <w:trHeight w:val="191"/>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decrease in prepaid expenses and other</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0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(decrease) in accounts payable</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91"/>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(decrease) in deferred revenue</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20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(decrease) in accrued expenses and other</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r>
      <w:tr>
        <w:trPr>
          <w:trHeight w:val="185"/>
        </w:trPr>
        <w:tc>
          <w:tcPr>
            <w:tcW w:w="7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cash (used for) provided by operating activities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w:t>
            </w:r>
          </w:p>
        </w:tc>
      </w:tr>
      <w:tr>
        <w:trPr>
          <w:trHeight w:val="18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1"/>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 expenditures</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206"/>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5"/>
        </w:trPr>
        <w:tc>
          <w:tcPr>
            <w:tcW w:w="7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r>
      <w:tr>
        <w:trPr>
          <w:trHeight w:val="185"/>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2"/>
        </w:trPr>
        <w:tc>
          <w:tcPr>
            <w:tcW w:w="7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9"/>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2"/>
        </w:trPr>
        <w:tc>
          <w:tcPr>
            <w:tcW w:w="7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9"/>
        </w:trPr>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92"/>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r>
      <w:tr>
        <w:trPr>
          <w:trHeight w:val="224"/>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adjusted and restated statements of cash flows included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7" w:name="page48"/>
    <w:bookmarkEnd w:id="47"/>
    <w:p>
      <w:pPr>
        <w:ind w:left="32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5" w:lineRule="exact"/>
        <w:rPr>
          <w:sz w:val="20"/>
          <w:szCs w:val="20"/>
          <w:color w:val="auto"/>
        </w:rPr>
      </w:pPr>
    </w:p>
    <w:p>
      <w:pPr>
        <w:ind w:left="720" w:right="3240" w:hanging="705"/>
        <w:spacing w:after="0" w:line="251" w:lineRule="auto"/>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 (dollars and shares in millions, except per share data)</w:t>
      </w:r>
    </w:p>
    <w:p>
      <w:pPr>
        <w:spacing w:after="0" w:line="200" w:lineRule="exact"/>
        <w:rPr>
          <w:sz w:val="20"/>
          <w:szCs w:val="20"/>
          <w:color w:val="auto"/>
        </w:rPr>
      </w:pPr>
    </w:p>
    <w:p>
      <w:pPr>
        <w:spacing w:after="0" w:line="353"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Receivables Securitization Program</w:t>
      </w:r>
    </w:p>
    <w:p>
      <w:pPr>
        <w:spacing w:after="0" w:line="16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On May 6, 2024, the Company entered into a three-year $300 account receivable securitization program (the “Receivables Facility”). Under this program, Fortrea Inc. conveys accounts receivable and unbilled services (including contract assets) balances to a wholly-owned, bankruptcy-remote special purpose entity (“SPE”), who in turn, may sell receivables to PNC Bank, National Association. The facility is without recourse to the Company or any subsidiaries of the Company other than with respect to limited indemnity obligations of Fortrea Inc. in respect to the character of the receivables sold and as to the performance of its duties as servicer and a limited performance guaranty by the Company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Receivables Facility is scheduled to terminate on May 6, 2027, unless terminated earlier pursuant to its terms.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Amendment</w:t>
      </w:r>
    </w:p>
    <w:p>
      <w:pPr>
        <w:spacing w:after="0" w:line="168"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On May 3, 2024, the Company entered into an amendment (the “Credit Amendment”) to modify certain financial covenants for additional flexibility under the Company’s credit agreement dated as of June 30, 2023 (the “Existing Credit Agreement”), among the Company, certain subsidiaries of the Company and Goldman Sachs Bank USA, as administrative agent and collateral agent,) governing the Company’s existing senior credit facility.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Credit Amendment amended (i) the Company’s maximum quarterly Total Leverage Ratio (as defined in the Existing Credit Agreement) from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5.30:1.00 to 6.00:1.00 for the fiscal quarters ending on June 30 and September 30, 2024, decreasing to 5.75:1.00 for the fiscal quarters ending on December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2024, and March 31, 2025, further decreasing to 5.50:1.00 for the fiscal quarter ending on June 30, 2025, and reverting to 5.30:1.00 thereafter, and (ii)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adjusted the Company’s minimum quarterly Interest Coverage Ratio (as defined in the Existing Credit Agreement) from 2.00:1.00 to 1.70:1.00 for the fiscal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quarters ending on June 30 and September 30, 2024, increasing to 1.80:1.00 for the fiscal quarters ending on December 31, 2024, and March 31, 2025, further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increasing to 1.90:1.00 for the fiscal quarter ending on June 30, 2025, and reverting to 2.00:1.00 thereafter.</w:t>
      </w:r>
    </w:p>
    <w:p>
      <w:pPr>
        <w:spacing w:after="0" w:line="145" w:lineRule="exact"/>
        <w:rPr>
          <w:sz w:val="20"/>
          <w:szCs w:val="20"/>
          <w:color w:val="auto"/>
        </w:rPr>
      </w:pPr>
    </w:p>
    <w:p>
      <w:pPr>
        <w:jc w:val="both"/>
        <w:ind w:right="360" w:firstLine="318"/>
        <w:spacing w:after="0" w:line="259" w:lineRule="auto"/>
        <w:rPr>
          <w:sz w:val="20"/>
          <w:szCs w:val="20"/>
          <w:color w:val="auto"/>
        </w:rPr>
      </w:pPr>
      <w:r>
        <w:rPr>
          <w:rFonts w:ascii="Times New Roman" w:cs="Times New Roman" w:eastAsia="Times New Roman" w:hAnsi="Times New Roman"/>
          <w:sz w:val="18"/>
          <w:szCs w:val="18"/>
          <w:color w:val="auto"/>
        </w:rPr>
        <w:t>In consideration of these adjustments, the Company has agreed during the covenant adjustment period to certain additional limitations with respect to investments and restricted payments, and to apply net cash proceeds of the Company’s previously announced divestiture of its Fortrea Patient Access and Endpoint businesses to the repayment of senior indebtedness.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(in millions)</w:t>
      </w:r>
    </w:p>
    <w:p>
      <w:pPr>
        <w:spacing w:after="0" w:line="166"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The following discussion and analysis is intended to provide a summary of significant factors relevant to the financial performance and condition of Fortrea Holdings Inc., which we refer to in this discussion and analysis as “Fortrea,” the “Company,” “our” and “we”. Prior to the spin-off (the “Spin” or “the Separation”), Fortrea existed and functioned as part of Laboratory Corporation of America Holdings, which we refer to in this discussion and analysis as “Labcorp” or “Former Parent.” The following discussion and analysis of our financial condition and results of operations should be read in conjunction with our audited combined financial statements and corresponding notes included in our Annual Report on Form 10-K (the “Form 10-K”) and our unaudited condensed consolidated and combined financial statements and corresponding notes in Item 1. “Financial Statements.” Unless otherwise noted, the following information and discussion relates to our continuing operations.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66"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This Form 10-Q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10-Q and include statements regarding our intentions,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beliefs, or current expectations concerning, among other things, our results of operations, financial condition, liquidity, prospects and growth strategies, and the industries in which we operate and include, without limitation, statements relating to our future performance.</w:t>
      </w:r>
    </w:p>
    <w:p>
      <w:pPr>
        <w:spacing w:after="0" w:line="110" w:lineRule="exact"/>
        <w:rPr>
          <w:sz w:val="20"/>
          <w:szCs w:val="20"/>
          <w:color w:val="auto"/>
        </w:rPr>
      </w:pPr>
    </w:p>
    <w:p>
      <w:pPr>
        <w:ind w:right="160" w:firstLine="318"/>
        <w:spacing w:after="0" w:line="266" w:lineRule="auto"/>
        <w:rPr>
          <w:sz w:val="20"/>
          <w:szCs w:val="20"/>
          <w:color w:val="auto"/>
        </w:rPr>
      </w:pPr>
      <w:r>
        <w:rPr>
          <w:rFonts w:ascii="Times New Roman" w:cs="Times New Roman" w:eastAsia="Times New Roman" w:hAnsi="Times New Roman"/>
          <w:sz w:val="17"/>
          <w:szCs w:val="17"/>
          <w:color w:val="auto"/>
        </w:rPr>
        <w:t>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10-Q. In addition, even if our results of operations, financial condition and liquidity, and industry development are consistent with the forward-looking statements contained in this Form</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10-Q,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the “Risk Factors” Section of our Form 10-K, as filed with the SEC. Factors that could cause actual results to differ from those reflected in forward-looking statements relating to our operations and business include, among other things: the risk that we may not realize some or all of the benefits expected to result from the Spin, or that such benefits are delayed; risks and consequences that are a result of the Spin; the impacts of becoming an independent public company; our reliance on Labcorp to provide financial reporting and other financial and accounting information for periods prior to the Spin through the end of the relevant transition agreements, as well as IT, accounting, finance, legal, human resources, and other services critical to our businesses; our dependence on third parties generally to provide services critical to our businesses throughout the transition period and beyond; the risk that establishment of our accounting, enterprise resource planning, and other management systems post the transition period could cost more or take longer than anticipated; our identification of existing material weaknesses in our internal control over financial reporting; the impact of the rebranding of the Company; our ability to successfully implement our business strategies and execute our long-term value creation strategy; risks and expenses associated with our international operations and currency fluctuations; our customer or therapeutic area concentrations; any further deterioration in the macroeconomic environment, which could lead to defaults or cancellations by our customers; the risk that our backlog and net new business may not grow to the extent we anticipate or the time period we anticipate, that such measures may not be indicative of our future revenues and that we might not realize all of the anticipated future revenue reflected in our backlog; our ability to generate sufficient net new business awards, or the risk that net new business awards are delayed, terminated, reduced in scope, or fail to go to contract; the risk that we may underprice our contracts, overrun our cost estimates, or fail to receive approval for, or experience delays in documentation of change orders; our ability to complete the divestiture of the Endpoint and Patient Access businesses on time or at all and our ability to realize the full purchase price and benefits of the transaction; and other factors described in the Form 10-K and from time to time in documents that we file with the SEC.</w:t>
      </w:r>
    </w:p>
    <w:p>
      <w:pPr>
        <w:spacing w:after="0" w:line="129"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All forward-looking statements are made only as of the date of this Form 10-Q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“Risk Factors” section of our Annual Report on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6"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Fortrea, a Delaware corporation incorporated on January 31, 2023, is a leading global contract research organization (“CRO”) providing biopharmaceutical product and medical device development services to pharmaceutical, biotechnology and medical device customers. We offer customers highly flexible delivery models that include Full Service, Functional Service Provider (“FSP”), and Hybrid Service structures. We have a rich history of providing clinical development services for over 30 years across more than 20 therapeutic areas, first as Covance and later as Labcorp Drug Development. On June 30, 2023, we completed the Spin from Labcorp. We leverage our global scale, scientific expertise, clinical data insights, technology innovation, industry network and decades of experience as a standalone company and as a business unit prior to the Spin to deliver tailored solutions to our customers. With what we believe is a distinctive market offering, Fortrea meets growing global demand for clinical development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Our team of approximately 16,000 employees from continuing operations conducts operations in approximately 90 countries and delivers comprehensive phase I – IV clinical trial management, clinical pharmacology and consulting services for our customers. Our offering is scaled to deliver focused and agile solutions to customers globally, streamlining the biopharmaceutical product and medical device development process.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from Labcorp</w:t>
      </w:r>
    </w:p>
    <w:p>
      <w:pPr>
        <w:spacing w:after="0" w:line="166"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On June 30, 2023, we completed the Spin from Labcorp through a pro-rata distribution of one share of Fortrea common stock for every share of Labcorp common stock held at the close of business on the record date of June 20, 2023. Fortrea began to trade as a separate public company (NASDAQ: FTRE) on July 3,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Incremental Independent Public Company Expenses</w:t>
      </w:r>
    </w:p>
    <w:p>
      <w:pPr>
        <w:spacing w:after="0" w:line="166" w:lineRule="exact"/>
        <w:rPr>
          <w:sz w:val="20"/>
          <w:szCs w:val="20"/>
          <w:color w:val="auto"/>
        </w:rPr>
      </w:pPr>
    </w:p>
    <w:p>
      <w:pPr>
        <w:ind w:right="320" w:firstLine="318"/>
        <w:spacing w:after="0" w:line="255" w:lineRule="auto"/>
        <w:rPr>
          <w:sz w:val="20"/>
          <w:szCs w:val="20"/>
          <w:color w:val="auto"/>
        </w:rPr>
      </w:pPr>
      <w:r>
        <w:rPr>
          <w:rFonts w:ascii="Times New Roman" w:cs="Times New Roman" w:eastAsia="Times New Roman" w:hAnsi="Times New Roman"/>
          <w:sz w:val="18"/>
          <w:szCs w:val="18"/>
          <w:color w:val="auto"/>
        </w:rPr>
        <w:t>The condensed consolidated and combined statements of operations include costs for certain centralized functions and programs provided and administered by Labcorp that were allocated to us in the periods presented prior to the Spin. These centralized functions and programs include, but are not limited to, legal, tax, treasury, risk management, sales expenses, IT, human resources, finance, supply chain, executive leadership and stock-based compensation.</w:t>
      </w:r>
    </w:p>
    <w:p>
      <w:pPr>
        <w:spacing w:after="0" w:line="127"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These expenses were allocated to us based on direct usage when identifiable or, when not directly identifiable, on the basis of proportional net revenues or headcount or other reasonable driver, as applicable. We consider the basis on which the expenses have been allocated to reasonably reflect the utilization of services provided to, or the benefit received by, us during the periods presented. However, the allocations may not reflect the expenses we would have incurred as an independent company for the periods presented. Actual costs that may have been incurred if we had been a standalone company would depend on a number of factors, including the organizational structure, whether functions were outsourced or performed by employees, and strategic decisions made in areas such as IT and infrastructure. For a period following the Separation, however, some of these functions will be provided by Labcorp under the Transition Services Agreements.</w:t>
      </w:r>
    </w:p>
    <w:p>
      <w:pPr>
        <w:spacing w:after="0" w:line="134" w:lineRule="exact"/>
        <w:rPr>
          <w:sz w:val="20"/>
          <w:szCs w:val="20"/>
          <w:color w:val="auto"/>
        </w:rPr>
      </w:pPr>
    </w:p>
    <w:p>
      <w:pPr>
        <w:ind w:right="500" w:firstLine="318"/>
        <w:spacing w:after="0" w:line="274" w:lineRule="auto"/>
        <w:rPr>
          <w:sz w:val="20"/>
          <w:szCs w:val="20"/>
          <w:color w:val="auto"/>
        </w:rPr>
      </w:pPr>
      <w:r>
        <w:rPr>
          <w:rFonts w:ascii="Times New Roman" w:cs="Times New Roman" w:eastAsia="Times New Roman" w:hAnsi="Times New Roman"/>
          <w:sz w:val="18"/>
          <w:szCs w:val="18"/>
          <w:color w:val="auto"/>
        </w:rPr>
        <w:t>The actual costs of services represented by these allocations may vary significantly from the amounts allocated to us in the accompanying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Assets Relating to the Enabling Services Segment</w:t>
      </w:r>
    </w:p>
    <w:p>
      <w:pPr>
        <w:spacing w:after="0" w:line="16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On March 9, 2024, the Company, together with its wholly-owned subsidiary, Fortrea Inc. (the “Seller”), entered into an Asset Purchase Agreement (the “Purchase Agreement”) with Endeavor Buyer LLC, an affiliate of Arsenal Capital Partners, pursuant to which the Seller has agreed to sell, and to cause its affiliates to sell, certain assets relating to its Enabling Services Segment (the “Transaction”), including the sale of equity interests of Fortrea Patient Access Inc. and its subsidiaries and Endpoint Clinical, Inc. and its subsidiaries. The purchase price for the Transaction is $345.0, subject to customary purchase price adjustments, with $295.0 to be paid at closing and $50.0 to be paid upon achievement of certain transition-related milestones. The Transaction is targeted to close in the second quarter of 2024, subject to customary closing conditions and government approvals, as well as the parties entering into certain services and operating agreements. The decision to sell such assets relating to the Enabling Services segment represented a strategic shift that had a significant effect on the Company's results and operations and assets and liabilities for the periods presented. As a result, the Company has classified the assets related to the Enabling Services segment as assets from discontinued operations and liabilities from discontinued operations on the condensed consolidated and combined balance sheets as of March 31, 2024 and December 31, 2023. The operations of the Enabling Services segment have been classified as income from discontinued operations on the condensed consolidated and combined statements of operations for all periods presented.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Net New Business</w:t>
      </w:r>
    </w:p>
    <w:p>
      <w:pPr>
        <w:spacing w:after="0" w:line="166" w:lineRule="exact"/>
        <w:rPr>
          <w:sz w:val="20"/>
          <w:szCs w:val="20"/>
          <w:color w:val="auto"/>
        </w:rPr>
      </w:pPr>
    </w:p>
    <w:p>
      <w:pPr>
        <w:jc w:val="both"/>
        <w:ind w:right="140" w:firstLine="318"/>
        <w:spacing w:after="0" w:line="282" w:lineRule="auto"/>
        <w:rPr>
          <w:sz w:val="20"/>
          <w:szCs w:val="20"/>
          <w:color w:val="auto"/>
        </w:rPr>
      </w:pPr>
      <w:r>
        <w:rPr>
          <w:rFonts w:ascii="Times New Roman" w:cs="Times New Roman" w:eastAsia="Times New Roman" w:hAnsi="Times New Roman"/>
          <w:sz w:val="17"/>
          <w:szCs w:val="17"/>
          <w:color w:val="auto"/>
        </w:rPr>
        <w:t>Our backlog consists of anticipated future revenue from business awards that either have not started, or that are in process and have not been completed. Our backlog also reflects any cancellation or adjustment activity related to these awards. The average duration of our contracts will fluctuate from period to period based on the contracts comprising our backlog at any given time. The majority of our contracts contain early termination provisions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typically require notice periods ranging from 30 to 90 days. We adjust backlog for foreign currency fluctuations and exclude from backlog revenue that has been recognized as revenue in our statements of operations. Our backlog was $7.4 billion as of March 31, 2024.</w:t>
      </w:r>
    </w:p>
    <w:p>
      <w:pPr>
        <w:spacing w:after="0" w:line="110"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We do not believe that, as a sole measure, our backlog is a consistent indicator of future revenue because it has been, and likely will continue to be, affected by a number of factors, including the variable size and duration of projects, many of which are performed over several years, and changes to the scope of 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a further discussion of the risks relating to our business, see the “Risk Factors” section of our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with Three Months Ended March 31, 2023</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the financial measures that management considers to be the most significant indicators of the Company's performance.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693.9</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Company’s revenues for the three months ended March 31, 2024 were $662.1, a decrease of 4.6% from revenues of $693.9 in the corresponding period in 2023. The change in revenues was due to a decrease in organic revenues of 4.7% offset by a favorable foreign currency translation of 0.1%. The Company defines organic growth as the change in revenues excluding the year over year impact of acquisitions, divestitures and currency. The 4.7% decrease in organic revenues was primarily driven by lower service revenues resulting from the quantity and burn rate of new business wins pre-Spin, and the challenges of mix, partially offset by increased pass through revenues.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Direct Costs, Exclusive of Depreciation and Amortization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25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920" w:type="dxa"/>
            <w:vAlign w:val="bottom"/>
            <w:tcBorders>
              <w:bottom w:val="single" w:sz="8" w:color="CCEEFF"/>
            </w:tcBorders>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3"/>
              </w:rPr>
              <w:t>554.2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3"/>
              </w:rPr>
              <w:t>541.5</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 as a % of revenues</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right="80" w:firstLine="318"/>
        <w:spacing w:after="0" w:line="282" w:lineRule="auto"/>
        <w:rPr>
          <w:sz w:val="20"/>
          <w:szCs w:val="20"/>
          <w:color w:val="auto"/>
        </w:rPr>
      </w:pPr>
      <w:r>
        <w:rPr>
          <w:rFonts w:ascii="Times New Roman" w:cs="Times New Roman" w:eastAsia="Times New Roman" w:hAnsi="Times New Roman"/>
          <w:sz w:val="17"/>
          <w:szCs w:val="17"/>
          <w:color w:val="auto"/>
        </w:rPr>
        <w:t>Direct costs increased 2.3% during the three months ended March 31, 2024 as compared with the corresponding period in 2023. Direct costs increased as a percentage of revenues to 83.7% during the three months ended March 31, 2024 as compared to 78.0% in the corresponding period in 2023. The increase in direct costs was primarily due to higher pass through costs. Pass through costs are paid by the customer resulting in revenue fully offset by these direct costs.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Exclusive of Depreciation and Amortization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6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administrative payroll and related benefit charges, information technology costs, other facility charges, advertising and promotional expenses, administrative travel and credit loss provisions. Selling, general and administrative expenses increased by 2.8% during the three months ended March 31, 2024 as compared with the corresponding period in 2023. The increase was primarily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to an increase in personnel costs as a stand-alone company, transition service agreement costs, and professional fees, partially offset by the removal of Former Parent corporate allocations and decreased credit loss provisions.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Depreciation Expense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500" w:type="dxa"/>
            <w:vAlign w:val="bottom"/>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0"/>
        </w:trPr>
        <w:tc>
          <w:tcPr>
            <w:tcW w:w="67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The increase in depreciation expense for the three months ended March 31, 2024, as compared to the corresponding periods in 2023, was due to the increase of property, plant and equipment, primarily IT assets, as part of the Spin.</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66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The increase in amortization of intangibles and other assets during the three months ended March 31, 2024, as compared to the corresponding period in 2023, was not significant.</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Restructuring and Other Charges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0" w:type="dxa"/>
            <w:vAlign w:val="bottom"/>
          </w:tcPr>
          <w:p>
            <w:pPr>
              <w:spacing w:after="0"/>
              <w:rPr>
                <w:sz w:val="1"/>
                <w:szCs w:val="1"/>
                <w:color w:val="auto"/>
              </w:rPr>
            </w:pPr>
          </w:p>
        </w:tc>
      </w:tr>
      <w:tr>
        <w:trPr>
          <w:trHeight w:val="20"/>
        </w:trPr>
        <w:tc>
          <w:tcPr>
            <w:tcW w:w="66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recorded net restructuring charges of $3.3, which are reflected within restructuring and other charges in the condensed consolidated and combined statements of operations. These charges are associated with Company actions to reduce overcapacity, align resources, and restructure certain operations and include eliminating redundant positions and aligning resources for cost improvement and to meet customer requirements.</w:t>
      </w:r>
    </w:p>
    <w:p>
      <w:pPr>
        <w:spacing w:after="0" w:line="127"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recorded net restructuring charges of $0.6. These costs were associated with general cost improvement and headcount reduction initiatives at various locations around the world.</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34,400 %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2024, as compared with the corresponding period in 2023, is primarily due to the incurrence of indebtedness, consisting of borrowings under senior secured term loan facilities and senior secured notes.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500" w:type="dxa"/>
            <w:vAlign w:val="bottom"/>
            <w:gridSpan w:val="4"/>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66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foreign exchange loss for the three months ended March 31, 2024 and 2023 was primarily due to the relative weakening of the U.S. Dollar against the British Pound and the Euro.</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62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4"/>
        </w:trPr>
        <w:tc>
          <w:tcPr>
            <w:tcW w:w="7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76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24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Borders>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as a % of income before tax</w:t>
            </w:r>
          </w:p>
        </w:tc>
        <w:tc>
          <w:tcPr>
            <w:tcW w:w="1020" w:type="dxa"/>
            <w:vAlign w:val="bottom"/>
          </w:tcPr>
          <w:p>
            <w:pPr>
              <w:spacing w:after="0"/>
              <w:rPr>
                <w:sz w:val="20"/>
                <w:szCs w:val="20"/>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5.4 %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r>
    </w:tbl>
    <w:p>
      <w:pPr>
        <w:spacing w:after="0" w:line="259" w:lineRule="exact"/>
        <w:rPr>
          <w:sz w:val="20"/>
          <w:szCs w:val="20"/>
          <w:color w:val="auto"/>
        </w:rPr>
      </w:pPr>
    </w:p>
    <w:p>
      <w:pPr>
        <w:ind w:right="200" w:firstLine="318"/>
        <w:spacing w:after="0" w:line="304" w:lineRule="auto"/>
        <w:rPr>
          <w:sz w:val="20"/>
          <w:szCs w:val="20"/>
          <w:color w:val="auto"/>
        </w:rPr>
      </w:pPr>
      <w:r>
        <w:rPr>
          <w:rFonts w:ascii="Times New Roman" w:cs="Times New Roman" w:eastAsia="Times New Roman" w:hAnsi="Times New Roman"/>
          <w:sz w:val="17"/>
          <w:szCs w:val="17"/>
          <w:color w:val="auto"/>
        </w:rPr>
        <w:t>For the three months ended March 31, 2024, the Company's effective tax rate was 5.4% compared to the 2023 tax rate of 15.8%. The fluctuations in the quarter-to-date period were primarily due to a change in valuation allowance, the geographic mix of earnings and non-deductible compensation expenses.</w:t>
      </w:r>
    </w:p>
    <w:p>
      <w:pPr>
        <w:spacing w:after="0" w:line="88" w:lineRule="exact"/>
        <w:rPr>
          <w:sz w:val="20"/>
          <w:szCs w:val="20"/>
          <w:color w:val="auto"/>
        </w:rPr>
      </w:pPr>
    </w:p>
    <w:p>
      <w:pPr>
        <w:jc w:val="both"/>
        <w:ind w:right="40" w:firstLine="318"/>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introduced new global minimum tax regulations, known as Pillar Two, that began to come into effect on January 1, 2024. We are monitoring this development and evaluating its potential impact on our tax rate and eligibility to qualify for the safe harbor provisions. For 2024, we currently anticipate meeting the transitional safe harbors in all jurisdictions and do not expect a material impact to our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Position</w:t>
      </w:r>
    </w:p>
    <w:p>
      <w:pPr>
        <w:spacing w:after="0" w:line="16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Company manages cash flow to fund and invest in operational growth, capital expenditures, and credit facility repayments. In connection with the Spin, we have incurred indebtedness in an aggregate principal amount of $1,640.0, which consists of borrowings under senior secured term loan facilities and senior secured notes. We have also entered into a senior secured revolving credit facility, which consists of a five-year facility in the principal amount of up to $450.0 as further discussed in </w:t>
      </w:r>
      <w:r>
        <w:rPr>
          <w:rFonts w:ascii="Times New Roman" w:cs="Times New Roman" w:eastAsia="Times New Roman" w:hAnsi="Times New Roman"/>
          <w:sz w:val="18"/>
          <w:szCs w:val="18"/>
          <w:i w:val="1"/>
          <w:iCs w:val="1"/>
          <w:color w:val="auto"/>
        </w:rPr>
        <w:t>Note 7 - Debt</w:t>
      </w:r>
      <w:r>
        <w:rPr>
          <w:rFonts w:ascii="Times New Roman" w:cs="Times New Roman" w:eastAsia="Times New Roman" w:hAnsi="Times New Roman"/>
          <w:sz w:val="18"/>
          <w:szCs w:val="18"/>
          <w:color w:val="auto"/>
        </w:rPr>
        <w:t xml:space="preserve"> to our condensed consolidated and combined financial statements above. We previously entered into an accounts receivable purchase program (“ARPP”), which established a receivables factoring facility that permits the Company to sell up to $80.0 in customer receivables to a financial institution based on the availability of certain eligible receivables and the satisfaction of certain conditions. As of March 31, 2024, the Company had no outstanding factored customer receivables, and the ARPP was terminated in May 2024.</w:t>
      </w:r>
    </w:p>
    <w:p>
      <w:pPr>
        <w:spacing w:after="0" w:line="13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7"/>
          <w:szCs w:val="17"/>
          <w:color w:val="auto"/>
        </w:rPr>
        <w:t>We believe our existing cash and cash flows generated from operations, plus existing credit facilities, will be sufficient to cover the needs of our current and planned operations for at least the next 12 months. From time to time, we routinely evaluate strategic opportunities, including potential acquisitions, joint ventures or investments in complementary businesses. We may also access capital markets through the issuance of debt or equity, which we may use in connection with the acquisition of complementary businesses or other significant assets, or for other strategic opportunities, or general corporate purposes.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2024 and 2023</w:t>
      </w:r>
    </w:p>
    <w:p>
      <w:pPr>
        <w:spacing w:after="0" w:line="168"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condensed consolidated and combined statements of cash flows and the discussion of the cash flow activity. In summary, the Company's cash flows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80" w:type="dxa"/>
            <w:vAlign w:val="bottom"/>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23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5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1"/>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8" w:lineRule="exact"/>
        <w:rPr>
          <w:sz w:val="20"/>
          <w:szCs w:val="20"/>
          <w:color w:val="auto"/>
        </w:rPr>
      </w:pPr>
    </w:p>
    <w:p>
      <w:pPr>
        <w:ind w:right="280" w:firstLine="318"/>
        <w:spacing w:after="0" w:line="304" w:lineRule="auto"/>
        <w:rPr>
          <w:sz w:val="20"/>
          <w:szCs w:val="20"/>
          <w:color w:val="auto"/>
        </w:rPr>
      </w:pPr>
      <w:r>
        <w:rPr>
          <w:rFonts w:ascii="Times New Roman" w:cs="Times New Roman" w:eastAsia="Times New Roman" w:hAnsi="Times New Roman"/>
          <w:sz w:val="17"/>
          <w:szCs w:val="17"/>
          <w:color w:val="auto"/>
        </w:rPr>
        <w:t>Cash and cash equivalents at March 31, 2024 and 2023 totaled $92.8 and $118.2, respectively. Cash and cash equivalents consist of highly liquid instruments, such as commercial paper, time deposits and other money market instruments, which have maturities when purchased of three months or less.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68"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2024, the Company's operations used $25.6 of cash as compared to $2.0 of cash used for operations during the three months ended March 31, 2023. The decrease of $23.6 for the three months ended March 31, 2024 was due to a decrease in net income offset by an improvement in unbilled services and deferred revenue and lower cash used for accrued expenses.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68"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Net cash used for investing activities for the three months ended March 31, 2024 was $9.2 as compared to net cash used for investing activities of $16.2 for the three months ended March 31, 2023. The $7.0 decrease in net cash used for investing activities for the three months ended March 31, 2024, was primarily due to a year over year decrease in capital expenditures. Capital expenditures were $9.3 and $16.2 for the three months ended March 31, 2024 and 2023, respectively. Capital expenditures in 2024 were 1.4% of revenues, primarily in connection with projects to support growth in the Company's core businesses. The Company intends to continue to pursue selective investments in key therapeutic areas and geographies to drive growth and to improve efficiency of the Company's operations. Such expenditures are expected to be funded primarily by cash flow from operations.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$21.3 compared to cash provided by financing activities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$24.5 for the three months ended March 31, 2023. Cash provided by financing activities was related to net proceeds from the revolving credit facility offset by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on the term loan A and term loan B.</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8" w:lineRule="exact"/>
        <w:rPr>
          <w:sz w:val="20"/>
          <w:szCs w:val="20"/>
          <w:color w:val="auto"/>
        </w:rPr>
      </w:pPr>
    </w:p>
    <w:p>
      <w:pPr>
        <w:jc w:val="both"/>
        <w:ind w:right="40" w:firstLine="318"/>
        <w:spacing w:after="0" w:line="274" w:lineRule="auto"/>
        <w:rPr>
          <w:sz w:val="20"/>
          <w:szCs w:val="20"/>
          <w:color w:val="auto"/>
        </w:rPr>
      </w:pPr>
      <w:r>
        <w:rPr>
          <w:rFonts w:ascii="Times New Roman" w:cs="Times New Roman" w:eastAsia="Times New Roman" w:hAnsi="Times New Roman"/>
          <w:sz w:val="18"/>
          <w:szCs w:val="18"/>
          <w:color w:val="auto"/>
        </w:rPr>
        <w:t>The Company does not have transactions or relationships with “special purpose” entities, and the Company does not have any off-balance sheet financing other than normal operating leases and letters of credit.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right="40" w:firstLine="238"/>
        <w:spacing w:after="0" w:line="274" w:lineRule="auto"/>
        <w:rPr>
          <w:sz w:val="20"/>
          <w:szCs w:val="20"/>
          <w:color w:val="auto"/>
        </w:rPr>
      </w:pPr>
      <w:r>
        <w:rPr>
          <w:rFonts w:ascii="Times New Roman" w:cs="Times New Roman" w:eastAsia="Times New Roman" w:hAnsi="Times New Roman"/>
          <w:sz w:val="17"/>
          <w:szCs w:val="17"/>
          <w:color w:val="auto"/>
        </w:rPr>
        <w:t>We have chosen accounting policies that management believes are appropriate to accurately and fairly report our operating results and financial position in conformity with accounting principles generally accepted in the United States of America (“U.S. GAAP”). We apply these accounting policies in a consistent manner. Significant accounting policies are summarized in Note 2 to the combined financial statements included in the Annual Report on Form 10-K.</w:t>
      </w:r>
    </w:p>
    <w:p>
      <w:pPr>
        <w:spacing w:after="0" w:line="99"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The application of these accounting policies require that we make estimates and assumptions about future events and apply judgments that affect the reported amounts of assets, liabilities, revenues, expenses, contingent assets and liabilities, and related disclosures. These estimates, assumptions and judgments are based on historical experience, current trends and other factors believed to be reasonable under the circumstances. Management evaluates these estimates and assumptions on an ongoing basis. If actual results ultimately differ from previous estimates, the revisions are included in results of operations when the actual amounts become known.</w:t>
      </w:r>
    </w:p>
    <w:p>
      <w:pPr>
        <w:spacing w:after="0" w:line="132"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7"/>
          <w:szCs w:val="17"/>
          <w:color w:val="auto"/>
        </w:rPr>
        <w:t xml:space="preserve">The accounting policies that involve the most significant estimates, assumptions and management judgments used in preparation of the condensed consolidated and combined financial statements, or are the most sensitive to change due to outside factors, are discussed in Management's Discussion and Analysis in the Form 10-K. Except as disclosed in </w:t>
      </w:r>
      <w:r>
        <w:rPr>
          <w:rFonts w:ascii="Times New Roman" w:cs="Times New Roman" w:eastAsia="Times New Roman" w:hAnsi="Times New Roman"/>
          <w:sz w:val="17"/>
          <w:szCs w:val="17"/>
          <w:i w:val="1"/>
          <w:iCs w:val="1"/>
          <w:color w:val="auto"/>
        </w:rPr>
        <w:t>Note 1 - Basis of Financial Statement Presentation</w:t>
      </w:r>
      <w:r>
        <w:rPr>
          <w:rFonts w:ascii="Times New Roman" w:cs="Times New Roman" w:eastAsia="Times New Roman" w:hAnsi="Times New Roman"/>
          <w:sz w:val="17"/>
          <w:szCs w:val="17"/>
          <w:color w:val="auto"/>
        </w:rPr>
        <w:t xml:space="preserve"> to our condensed consolidated and combined financial statements in this Form 10-Q, pertaining to the adoption of new accounting pronouncements, there have been no material changes in these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 millions)</w:t>
      </w:r>
    </w:p>
    <w:p>
      <w:pPr>
        <w:spacing w:after="0" w:line="166" w:lineRule="exact"/>
        <w:rPr>
          <w:sz w:val="20"/>
          <w:szCs w:val="20"/>
          <w:color w:val="auto"/>
        </w:rPr>
      </w:pPr>
    </w:p>
    <w:p>
      <w:pPr>
        <w:ind w:firstLine="238"/>
        <w:spacing w:after="0" w:line="239" w:lineRule="auto"/>
        <w:rPr>
          <w:sz w:val="20"/>
          <w:szCs w:val="20"/>
          <w:color w:val="auto"/>
        </w:rPr>
      </w:pPr>
      <w:r>
        <w:rPr>
          <w:rFonts w:ascii="Times New Roman" w:cs="Times New Roman" w:eastAsia="Times New Roman" w:hAnsi="Times New Roman"/>
          <w:sz w:val="18"/>
          <w:szCs w:val="18"/>
          <w:color w:val="auto"/>
        </w:rPr>
        <w:t xml:space="preserve">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the market risks associated with changes in foreign currency exchange rates and interest rates, through a controlled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Refer to </w:t>
      </w:r>
      <w:r>
        <w:rPr>
          <w:rFonts w:ascii="Times New Roman" w:cs="Times New Roman" w:eastAsia="Times New Roman" w:hAnsi="Times New Roman"/>
          <w:sz w:val="18"/>
          <w:szCs w:val="18"/>
          <w:i w:val="1"/>
          <w:iCs w:val="1"/>
          <w:color w:val="auto"/>
        </w:rPr>
        <w:t>Note 8-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and Hedging </w:t>
      </w:r>
      <w:r>
        <w:rPr>
          <w:rFonts w:ascii="Times New Roman" w:cs="Times New Roman" w:eastAsia="Times New Roman" w:hAnsi="Times New Roman"/>
          <w:sz w:val="18"/>
          <w:szCs w:val="18"/>
          <w:color w:val="auto"/>
        </w:rPr>
        <w:t>to the condensed consolidated and combined financial statements above for information on how the Company utilizes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53" w:lineRule="exact"/>
        <w:rPr>
          <w:sz w:val="20"/>
          <w:szCs w:val="20"/>
          <w:color w:val="auto"/>
        </w:rPr>
      </w:pPr>
    </w:p>
    <w:p>
      <w:pPr>
        <w:ind w:firstLine="238"/>
        <w:spacing w:after="0" w:line="233" w:lineRule="auto"/>
        <w:rPr>
          <w:sz w:val="20"/>
          <w:szCs w:val="20"/>
          <w:color w:val="auto"/>
        </w:rPr>
      </w:pPr>
      <w:r>
        <w:rPr>
          <w:rFonts w:ascii="Times New Roman" w:cs="Times New Roman" w:eastAsia="Times New Roman" w:hAnsi="Times New Roman"/>
          <w:sz w:val="18"/>
          <w:szCs w:val="18"/>
          <w:color w:val="auto"/>
        </w:rPr>
        <w:t>Approximately 16.8% and 19.5% of our revenues for the three months ended March 31, 2024 and 2023,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condensed consolidated and combined financial results. In the first quarter of 2024 and the year ended December 31, 2023, the most significant currency exchange rate exposures were the Euro and British pound. Excluding the impacts from any outstanding or future hedging transactions, a hypothetical change of 10% in average exchange rates used to translate all foreign currencies to USD would have impacted income before income taxes for the three months ended March 31, 2024 by approximately $0.6. Gross accumulated currency translation adjustments recorded as a separate component of stockholders’ equity were $(27.7) and $19.1 at March 31, 2024 and March 31, 2023, respectively. We do not have significant operations in countries in which the economy is considered to be highly inflationary.</w:t>
      </w:r>
    </w:p>
    <w:p>
      <w:pPr>
        <w:spacing w:after="0" w:line="141" w:lineRule="exact"/>
        <w:rPr>
          <w:sz w:val="20"/>
          <w:szCs w:val="20"/>
          <w:color w:val="auto"/>
        </w:rPr>
      </w:pPr>
    </w:p>
    <w:p>
      <w:pPr>
        <w:ind w:right="40" w:firstLine="238"/>
        <w:spacing w:after="0" w:line="241" w:lineRule="auto"/>
        <w:rPr>
          <w:sz w:val="20"/>
          <w:szCs w:val="20"/>
          <w:color w:val="auto"/>
        </w:rPr>
      </w:pPr>
      <w:r>
        <w:rPr>
          <w:rFonts w:ascii="Times New Roman" w:cs="Times New Roman" w:eastAsia="Times New Roman" w:hAnsi="Times New Roman"/>
          <w:sz w:val="18"/>
          <w:szCs w:val="18"/>
          <w:color w:val="auto"/>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entered into foreign currency forward contracts with external counterparties to hedge certain foreign currency transactions with exposure predominantly to the Euro and British Pound. These contracts do not qualify for hedge accounting and the changes in fair value are recorded directly to earnings.</w:t>
      </w:r>
    </w:p>
    <w:p>
      <w:pPr>
        <w:spacing w:after="0" w:line="140" w:lineRule="exact"/>
        <w:rPr>
          <w:sz w:val="20"/>
          <w:szCs w:val="20"/>
          <w:color w:val="auto"/>
        </w:rPr>
      </w:pPr>
    </w:p>
    <w:p>
      <w:pPr>
        <w:ind w:right="60" w:firstLine="238"/>
        <w:spacing w:after="0" w:line="266" w:lineRule="auto"/>
        <w:rPr>
          <w:sz w:val="20"/>
          <w:szCs w:val="20"/>
          <w:color w:val="auto"/>
        </w:rPr>
      </w:pPr>
      <w:r>
        <w:rPr>
          <w:rFonts w:ascii="Times New Roman" w:cs="Times New Roman" w:eastAsia="Times New Roman" w:hAnsi="Times New Roman"/>
          <w:sz w:val="17"/>
          <w:szCs w:val="17"/>
          <w:color w:val="auto"/>
        </w:rPr>
        <w:t>Prior to the Spin, the Former Parent entered into foreign currency forward contracts with external counterparties to hedge certain foreign currency transactions with exposure predominantly to the Euro and British Pound. These contracts did not qualify for hedge accounting and the changes in fair value were recorded directly to earnings. Earnings related to these contracts were included in the combined statements of operations as part of corporate allocations.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6"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 level of our interest rate risk is dependent on our debt exposure and is sensitive to changes in the general level of interest rates. Historical fluctuations in interest rates have not been significant for us; however, this may vary in the future as we have incurred certain indebtedness concurrent with the Spin and will incur additional indebtedness in the future.</w:t>
      </w:r>
    </w:p>
    <w:p>
      <w:pPr>
        <w:spacing w:after="0" w:line="12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In particular, we face the market risks associated with interest rate movements on our variable rate debt. We are significantly leveraged and incurred approximately $1,640.0 of long-term debt in connection with the Spin. A majority of this debt bears interest at a variable rate, and we entered into a floating-to-fixed interest rate swap with respect to some of our floating rate debt in August 2023. At March 31, 2024, we had $1,076.0 outstanding related to our variable rate debt. Excluding the impacts from any outstanding or future floating-to-fixed interest rate swap transactions, a hypothetical 1.00% increase in interest rates would result in increased interest expenses of $10.8. We expect to manage our interest rate risk but expect to be exposed to an element of market risk from changes to interest rates, including on any refinancing of debt. We expect to regularly assess market risks and to establish policies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business practices to protect against the adverse effects of these exposures.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6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Disclosure controls and procedures (as that term is defined in Rules 13a-15(e) and 15d-15(e) under the Securities Exchange Act of 1934, as amended (the “Exchange Act”)), are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Internal controls over financial reporting, no matter how well designed, have inherent limitations, including the possibility of human error and the override of controls. Therefore, even those systems determined to be effective can provide only “reasonable assurance” with respect to the reliability of financial reporting and financial statement preparation and presentation. Further, because of changes in conditions, the effectiveness of our internal controls may vary over time.</w:t>
      </w:r>
    </w:p>
    <w:p>
      <w:pPr>
        <w:spacing w:after="0" w:line="14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chief financial officer, the effectiveness of our disclosure controls and procedures as of March 31, 2024. Based on this evaluation, our chief executive officer and our chief financial officer have concluded that, as of the end of the period covered by this report, our disclosure controls and procedures were not effective to accomplish their objectives at the reasonable assurance level due to the material weaknesses described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15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In the course of preparing our financial statements for the interim period ended March 31, 2024, management identified material weaknesses in our internal controls over financial reporting that existed because the company did not have sufficient resources which in turn led to an inability to effectively perform certain control activities and fulfill its internal control and accounting responsibilities.</w:t>
      </w:r>
    </w:p>
    <w:p>
      <w:pPr>
        <w:spacing w:after="0" w:line="123"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Management believes that the condensed consolidated and combined financial statements and related financial information included in this Form 10-Q fairly present, in all material respects, our balance sheets, statements of operations, comprehensive income and cash flows as of and for the periods presented.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 to Address a Material Weaknesses in Internal Control over Financial Reporting</w:t>
      </w:r>
    </w:p>
    <w:p>
      <w:pPr>
        <w:spacing w:after="0" w:line="14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We are actively developing and implementing a comprehensive remediation plan. We plan to hire, develop and retain incremental personnel with appropriate accounting and internal controls expertise and review and update (as appropriate) training programs on relevant internal controls over financial reporting matters. We have engaged a leading public accounting firm to support our remediation efforts.</w:t>
      </w:r>
    </w:p>
    <w:p>
      <w:pPr>
        <w:spacing w:after="0" w:line="13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To further remediate the material weaknesses identified herein, management, including our chief executive officer and chief financial officer, have reaffirmed and re-emphasized the importance of internal controls, control consciousness and a strong control environment. We are committed to maintaining a strong control environment and believe that these remediation efforts represent continued improvement in our control environment. We also expect to continue to review, optimize and enhance our financial reporting controls and procedures.</w:t>
      </w:r>
    </w:p>
    <w:p>
      <w:pPr>
        <w:spacing w:after="0" w:line="126"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management completes the remediation plan and keeps it in place for a sufficient period of time. The Company is committed to the improvement of its internal control over financial reporting and, together with its outside consultant(s), will continue to develop, refine and implement its remediation plan for the material weaknesses, including responding as necessary to other internal or external factors that may impact execution of the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is in the process of implementing certain changes in its internal controls to remediate the material weaknesses described above. There has been no change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quarter ended March 31, 2024 that has materially affected or is reasonably likely to materially affect its internal control over financial reporting (as defined in Rules 13a-15(f) and 15d-15(f) under the Exchange Act.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4"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9 - Commitments and Contingent Liabilities</w:t>
      </w:r>
      <w:r>
        <w:rPr>
          <w:rFonts w:ascii="Times New Roman" w:cs="Times New Roman" w:eastAsia="Times New Roman" w:hAnsi="Times New Roman"/>
          <w:sz w:val="18"/>
          <w:szCs w:val="18"/>
          <w:color w:val="auto"/>
        </w:rPr>
        <w:t xml:space="preserve"> to the condensed consolidated and combined financial statements, above, which is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3" w:lineRule="exact"/>
        <w:rPr>
          <w:sz w:val="20"/>
          <w:szCs w:val="20"/>
          <w:color w:val="auto"/>
        </w:rPr>
      </w:pPr>
    </w:p>
    <w:p>
      <w:pPr>
        <w:ind w:right="400"/>
        <w:spacing w:after="0" w:line="236" w:lineRule="auto"/>
        <w:rPr>
          <w:sz w:val="20"/>
          <w:szCs w:val="20"/>
          <w:color w:val="auto"/>
        </w:rPr>
      </w:pPr>
      <w:r>
        <w:rPr>
          <w:rFonts w:ascii="Times New Roman" w:cs="Times New Roman" w:eastAsia="Times New Roman" w:hAnsi="Times New Roman"/>
          <w:sz w:val="18"/>
          <w:szCs w:val="18"/>
          <w:color w:val="auto"/>
        </w:rPr>
        <w:t>Other than as set forth below, there have been no material changes to the risk factors described in our Annual Report on Form 10-K for the year ended December 31, 2023, as filed with the SEC on March 13, 2024. For a discussion of the risks relating to our business, see the “Risk Factors” section of our Annual Report on Form 10-K, the “Cautionary Statement Concerning Forward-Looking Statements” set forth in Part I, Item 2 of this Form 10-Q, and as updated by following.</w:t>
      </w:r>
    </w:p>
    <w:p>
      <w:pPr>
        <w:spacing w:after="0" w:line="123"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in accordance with Section 404 of the Sarbanes-Oxley Act could materially and adversely affect us.</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Dodd-Frank Wall Street Reform and Consumer Protection Act of 2010 and are required to prepare our financial statements according to the rules and regulations required by the SEC. In addition, the Exchange Act requires that we file annual, quarterly, and current reports. Our failure to prepare and disclose this information in a timely manner or to otherwise comply with applicable law could subject us to penalties under federal securities laws, expose us to lawsuits, and restrict our ability to access financing. In addition, the Sarbanes-Oxley Act requires that, among other things, we establish and maintain effective internal controls and procedures for financial reporting and disclosure purposes. Beginning with our second required Annual Report on Form 10-K, which will be filed in 2025, we intend to comply with the applicable sections of Section 404 of the Sarbanes-Oxley Act, which will require annual management assessments of the effectiveness of our internal control over financial reporting and a report by our independent registered public accounting firm on the effectiveness of internal control over financial reporting. Internal control over financial reporting is complex and may be revised over time to adapt to changes in our business, or changes in applicable accounting rules. We cannot provide assurance that our internal control over financial reporting will be effective in the future or that a material weakness will not be discovered with respect to a prior period for which we had previously believed that internal controls were effective. For example, in connection with preparing the financial statements as of and for the quarter ended March 31, 2024, management identified material weaknesses in our internal controls over financial reporting that existed because we did not have sufficient resources which resulted in an inability to fulfill our internal control and accounting responsibilities. These material weaknesses did not result in any identified material misstatements to our prior annual or interim financial statements. While we are taking actions to remediate the material weaknesses, if we are not able to successfully remediate and test the affected controls and/or we are not able to maintain or document effective internal control over financial reporting, our independent registered public accounting firm will not be able to certify as to the effectiveness of our internal control over financial reporting.</w:t>
      </w:r>
    </w:p>
    <w:p>
      <w:pPr>
        <w:spacing w:after="0" w:line="14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Matters affecting our internal controls may cause us to be unable to report our financial information on a timely basis or may cause us to restate previously issued financial information. As a result, we may face potential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Confidence in the reliability of our financial statements is also likely to suffer if we or our independent registered public accounting firm reports a material weakness in our internal control over financial reporting. This could have a material and adverse effect on us by, for example, leading to a decline in our share price and impairing our ability to raise additional capital.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officers (as defined in Rule 16a-1(f) of the Exchange Act) adopted or terminated any contract, instruction or written plan that was intended to satisfy the affirmative defense conditions of Rule 10b5-1(c) of the Exchange Act or any non-Rule 10b5-1 trading arrangement for the purchase or sale of our securities within the meaning of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7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exhibits below are filed or furnished as a part of this report and are incorporated herein by reference.</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EXHIBIT NO.</w:t>
            </w:r>
          </w:p>
        </w:tc>
        <w:tc>
          <w:tcPr>
            <w:tcW w:w="40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c>
          <w:tcPr>
            <w:tcW w:w="3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4060" w:type="dxa"/>
            <w:vAlign w:val="bottom"/>
            <w:gridSpan w:val="11"/>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FORM</w:t>
            </w: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No.</w:t>
            </w:r>
          </w:p>
        </w:tc>
        <w:tc>
          <w:tcPr>
            <w:tcW w:w="1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Exhibit</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Filing Date</w:t>
            </w:r>
          </w:p>
        </w:tc>
        <w:tc>
          <w:tcPr>
            <w:tcW w:w="0" w:type="dxa"/>
            <w:vAlign w:val="bottom"/>
          </w:tcPr>
          <w:p>
            <w:pPr>
              <w:spacing w:after="0"/>
              <w:rPr>
                <w:sz w:val="1"/>
                <w:szCs w:val="1"/>
                <w:color w:val="auto"/>
              </w:rPr>
            </w:pPr>
          </w:p>
        </w:tc>
      </w:tr>
      <w:tr>
        <w:trPr>
          <w:trHeight w:val="191"/>
        </w:trPr>
        <w:tc>
          <w:tcPr>
            <w:tcW w:w="12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60" w:type="dxa"/>
            <w:vAlign w:val="bottom"/>
            <w:gridSpan w:val="11"/>
          </w:tcPr>
          <w:p>
            <w:pPr>
              <w:spacing w:after="0" w:line="191" w:lineRule="exact"/>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2380" w:type="dxa"/>
            <w:vAlign w:val="bottom"/>
            <w:gridSpan w:val="2"/>
          </w:tcPr>
          <w:p>
            <w:pPr>
              <w:jc w:val="center"/>
              <w:ind w:right="932"/>
              <w:spacing w:after="0" w:line="191" w:lineRule="exact"/>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00" w:type="dxa"/>
            <w:vAlign w:val="bottom"/>
          </w:tcPr>
          <w:p>
            <w:pPr>
              <w:spacing w:after="0"/>
              <w:rPr>
                <w:sz w:val="13"/>
                <w:szCs w:val="13"/>
                <w:color w:val="auto"/>
              </w:rPr>
            </w:pPr>
          </w:p>
        </w:tc>
        <w:tc>
          <w:tcPr>
            <w:tcW w:w="3660" w:type="dxa"/>
            <w:vAlign w:val="bottom"/>
            <w:tcBorders>
              <w:top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7"/>
                <w:szCs w:val="17"/>
                <w:color w:val="0000FF"/>
              </w:rPr>
              <w:t>Exchange Act Rules 13a-14(a) and 15d-14(a), as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60" w:type="dxa"/>
            <w:vAlign w:val="bottom"/>
            <w:gridSpan w:val="11"/>
          </w:tcPr>
          <w:p>
            <w:pPr>
              <w:spacing w:after="0" w:line="165" w:lineRule="exact"/>
              <w:rPr>
                <w:sz w:val="20"/>
                <w:szCs w:val="20"/>
                <w:color w:val="auto"/>
              </w:rPr>
            </w:pPr>
            <w:r>
              <w:rPr>
                <w:rFonts w:ascii="Times New Roman" w:cs="Times New Roman" w:eastAsia="Times New Roman" w:hAnsi="Times New Roman"/>
                <w:sz w:val="18"/>
                <w:szCs w:val="18"/>
                <w:color w:val="0000FF"/>
              </w:rPr>
              <w:t>adopted pursuant to Section 302 of the Sarbanes-Oxley</w:t>
            </w: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Act of 2002 .</w:t>
            </w:r>
          </w:p>
        </w:tc>
        <w:tc>
          <w:tcPr>
            <w:tcW w:w="2960" w:type="dxa"/>
            <w:vAlign w:val="bottom"/>
            <w:tcBorders>
              <w:top w:val="single" w:sz="8" w:color="0000FF"/>
            </w:tcBorders>
            <w:gridSpan w:val="8"/>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6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2380" w:type="dxa"/>
            <w:vAlign w:val="bottom"/>
            <w:gridSpan w:val="2"/>
          </w:tcPr>
          <w:p>
            <w:pPr>
              <w:jc w:val="center"/>
              <w:ind w:right="932"/>
              <w:spacing w:after="0" w:line="205" w:lineRule="exact"/>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00" w:type="dxa"/>
            <w:vAlign w:val="bottom"/>
          </w:tcPr>
          <w:p>
            <w:pPr>
              <w:spacing w:after="0"/>
              <w:rPr>
                <w:sz w:val="13"/>
                <w:szCs w:val="13"/>
                <w:color w:val="auto"/>
              </w:rPr>
            </w:pPr>
          </w:p>
        </w:tc>
        <w:tc>
          <w:tcPr>
            <w:tcW w:w="3600" w:type="dxa"/>
            <w:vAlign w:val="bottom"/>
            <w:tcBorders>
              <w:top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7"/>
                <w:szCs w:val="17"/>
                <w:color w:val="0000FF"/>
              </w:rPr>
              <w:t>Exchange Act Rules 13a-14(a) and 15d-14(a), as</w:t>
            </w:r>
          </w:p>
        </w:tc>
        <w:tc>
          <w:tcPr>
            <w:tcW w:w="1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60" w:type="dxa"/>
            <w:vAlign w:val="bottom"/>
            <w:gridSpan w:val="11"/>
          </w:tcPr>
          <w:p>
            <w:pPr>
              <w:spacing w:after="0" w:line="165" w:lineRule="exact"/>
              <w:rPr>
                <w:sz w:val="20"/>
                <w:szCs w:val="20"/>
                <w:color w:val="auto"/>
              </w:rPr>
            </w:pPr>
            <w:r>
              <w:rPr>
                <w:rFonts w:ascii="Times New Roman" w:cs="Times New Roman" w:eastAsia="Times New Roman" w:hAnsi="Times New Roman"/>
                <w:sz w:val="18"/>
                <w:szCs w:val="18"/>
                <w:color w:val="0000FF"/>
              </w:rPr>
              <w:t>adopted pursuant to Section 302 of the Sarbanes-Oxley</w:t>
            </w: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Act of 2002.</w:t>
            </w:r>
          </w:p>
        </w:tc>
        <w:tc>
          <w:tcPr>
            <w:tcW w:w="3000" w:type="dxa"/>
            <w:vAlign w:val="bottom"/>
            <w:tcBorders>
              <w:top w:val="single" w:sz="8" w:color="0000FF"/>
            </w:tcBorders>
            <w:gridSpan w:val="9"/>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6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Executive Officer pursuant to 18</w:t>
            </w:r>
          </w:p>
        </w:tc>
        <w:tc>
          <w:tcPr>
            <w:tcW w:w="2380" w:type="dxa"/>
            <w:vAlign w:val="bottom"/>
            <w:gridSpan w:val="2"/>
          </w:tcPr>
          <w:p>
            <w:pPr>
              <w:jc w:val="center"/>
              <w:ind w:right="932"/>
              <w:spacing w:after="0" w:line="205" w:lineRule="exact"/>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00" w:type="dxa"/>
            <w:vAlign w:val="bottom"/>
          </w:tcPr>
          <w:p>
            <w:pPr>
              <w:spacing w:after="0"/>
              <w:rPr>
                <w:sz w:val="13"/>
                <w:szCs w:val="13"/>
                <w:color w:val="auto"/>
              </w:rPr>
            </w:pPr>
          </w:p>
        </w:tc>
        <w:tc>
          <w:tcPr>
            <w:tcW w:w="3880" w:type="dxa"/>
            <w:vAlign w:val="bottom"/>
            <w:tcBorders>
              <w:top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7"/>
                <w:szCs w:val="17"/>
                <w:color w:val="0000FF"/>
              </w:rPr>
              <w:t>U.S.C. Section 1350, as adopted pursuant to Section</w:t>
            </w:r>
          </w:p>
        </w:tc>
        <w:tc>
          <w:tcPr>
            <w:tcW w:w="18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700" w:type="dxa"/>
            <w:vAlign w:val="bottom"/>
            <w:tcBorders>
              <w:top w:val="single" w:sz="8" w:color="0000FF"/>
            </w:tcBorders>
            <w:gridSpan w:val="7"/>
          </w:tcPr>
          <w:p>
            <w:pPr>
              <w:spacing w:after="0" w:line="165"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6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Financial Officer pursuant to 18</w:t>
            </w:r>
          </w:p>
        </w:tc>
        <w:tc>
          <w:tcPr>
            <w:tcW w:w="2380" w:type="dxa"/>
            <w:vAlign w:val="bottom"/>
            <w:gridSpan w:val="2"/>
          </w:tcPr>
          <w:p>
            <w:pPr>
              <w:jc w:val="center"/>
              <w:ind w:right="932"/>
              <w:spacing w:after="0" w:line="205" w:lineRule="exact"/>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00" w:type="dxa"/>
            <w:vAlign w:val="bottom"/>
          </w:tcPr>
          <w:p>
            <w:pPr>
              <w:spacing w:after="0"/>
              <w:rPr>
                <w:sz w:val="13"/>
                <w:szCs w:val="13"/>
                <w:color w:val="auto"/>
              </w:rPr>
            </w:pPr>
          </w:p>
        </w:tc>
        <w:tc>
          <w:tcPr>
            <w:tcW w:w="3820" w:type="dxa"/>
            <w:vAlign w:val="bottom"/>
            <w:tcBorders>
              <w:top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7"/>
                <w:szCs w:val="17"/>
                <w:color w:val="0000FF"/>
              </w:rPr>
              <w:t>U.S.C. Section 1350, as adopted pursuant to Section</w:t>
            </w:r>
          </w:p>
        </w:tc>
        <w:tc>
          <w:tcPr>
            <w:tcW w:w="240" w:type="dxa"/>
            <w:vAlign w:val="bottom"/>
            <w:gridSpan w:val="3"/>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700" w:type="dxa"/>
            <w:vAlign w:val="bottom"/>
            <w:tcBorders>
              <w:top w:val="single" w:sz="8" w:color="0000FF"/>
            </w:tcBorders>
            <w:gridSpan w:val="7"/>
          </w:tcPr>
          <w:p>
            <w:pPr>
              <w:spacing w:after="0" w:line="165"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360" w:type="dxa"/>
            <w:vAlign w:val="bottom"/>
            <w:gridSpan w:val="4"/>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101.INS</w:t>
            </w:r>
          </w:p>
        </w:tc>
        <w:tc>
          <w:tcPr>
            <w:tcW w:w="4060" w:type="dxa"/>
            <w:vAlign w:val="bottom"/>
            <w:gridSpan w:val="11"/>
          </w:tcPr>
          <w:p>
            <w:pPr>
              <w:spacing w:after="0" w:line="192" w:lineRule="exact"/>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2380" w:type="dxa"/>
            <w:vAlign w:val="bottom"/>
            <w:gridSpan w:val="2"/>
          </w:tcPr>
          <w:p>
            <w:pPr>
              <w:jc w:val="center"/>
              <w:ind w:right="932"/>
              <w:spacing w:after="0" w:line="192" w:lineRule="exact"/>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6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60" w:type="dxa"/>
            <w:vAlign w:val="bottom"/>
            <w:gridSpan w:val="11"/>
          </w:tcPr>
          <w:p>
            <w:pPr>
              <w:spacing w:after="0" w:line="177" w:lineRule="exact"/>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380" w:type="dxa"/>
            <w:vAlign w:val="bottom"/>
            <w:gridSpan w:val="2"/>
          </w:tcPr>
          <w:p>
            <w:pPr>
              <w:jc w:val="center"/>
              <w:ind w:right="932"/>
              <w:spacing w:after="0"/>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101.CAL</w:t>
            </w:r>
          </w:p>
        </w:tc>
        <w:tc>
          <w:tcPr>
            <w:tcW w:w="4060" w:type="dxa"/>
            <w:vAlign w:val="bottom"/>
            <w:gridSpan w:val="11"/>
          </w:tcPr>
          <w:p>
            <w:pPr>
              <w:spacing w:after="0" w:line="177"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2380" w:type="dxa"/>
            <w:vAlign w:val="bottom"/>
            <w:gridSpan w:val="2"/>
          </w:tcPr>
          <w:p>
            <w:pPr>
              <w:jc w:val="center"/>
              <w:ind w:right="932"/>
              <w:spacing w:after="0" w:line="177" w:lineRule="exact"/>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2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101.DEF</w:t>
            </w:r>
          </w:p>
        </w:tc>
        <w:tc>
          <w:tcPr>
            <w:tcW w:w="4060" w:type="dxa"/>
            <w:vAlign w:val="bottom"/>
            <w:gridSpan w:val="11"/>
          </w:tcPr>
          <w:p>
            <w:pPr>
              <w:spacing w:after="0" w:line="179"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2380" w:type="dxa"/>
            <w:vAlign w:val="bottom"/>
            <w:gridSpan w:val="2"/>
          </w:tcPr>
          <w:p>
            <w:pPr>
              <w:jc w:val="center"/>
              <w:ind w:right="932"/>
              <w:spacing w:after="0" w:line="179" w:lineRule="exact"/>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2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101.LAB</w:t>
            </w:r>
          </w:p>
        </w:tc>
        <w:tc>
          <w:tcPr>
            <w:tcW w:w="4060" w:type="dxa"/>
            <w:vAlign w:val="bottom"/>
            <w:gridSpan w:val="11"/>
          </w:tcPr>
          <w:p>
            <w:pPr>
              <w:spacing w:after="0" w:line="179"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380" w:type="dxa"/>
            <w:vAlign w:val="bottom"/>
            <w:gridSpan w:val="2"/>
          </w:tcPr>
          <w:p>
            <w:pPr>
              <w:jc w:val="center"/>
              <w:ind w:right="932"/>
              <w:spacing w:after="0" w:line="179" w:lineRule="exact"/>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2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101.PRE</w:t>
            </w:r>
          </w:p>
        </w:tc>
        <w:tc>
          <w:tcPr>
            <w:tcW w:w="4060" w:type="dxa"/>
            <w:vAlign w:val="bottom"/>
            <w:gridSpan w:val="11"/>
          </w:tcPr>
          <w:p>
            <w:pPr>
              <w:spacing w:after="0" w:line="179"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380" w:type="dxa"/>
            <w:vAlign w:val="bottom"/>
            <w:gridSpan w:val="2"/>
          </w:tcPr>
          <w:p>
            <w:pPr>
              <w:jc w:val="center"/>
              <w:ind w:right="932"/>
              <w:spacing w:after="0" w:line="179" w:lineRule="exact"/>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15"/>
                <w:szCs w:val="15"/>
                <w:color w:val="auto"/>
              </w:rPr>
            </w:pPr>
          </w:p>
        </w:tc>
        <w:tc>
          <w:tcPr>
            <w:tcW w:w="4060" w:type="dxa"/>
            <w:vAlign w:val="bottom"/>
            <w:gridSpan w:val="11"/>
          </w:tcPr>
          <w:p>
            <w:pPr>
              <w:spacing w:after="0" w:line="179" w:lineRule="exact"/>
              <w:rPr>
                <w:sz w:val="20"/>
                <w:szCs w:val="20"/>
                <w:color w:val="auto"/>
              </w:rPr>
            </w:pPr>
            <w:r>
              <w:rPr>
                <w:rFonts w:ascii="Times New Roman" w:cs="Times New Roman" w:eastAsia="Times New Roman" w:hAnsi="Times New Roman"/>
                <w:sz w:val="18"/>
                <w:szCs w:val="18"/>
                <w:color w:val="auto"/>
              </w:rPr>
              <w:t>Cover Page Interactive Data File - the cover page</w:t>
            </w:r>
          </w:p>
        </w:tc>
        <w:tc>
          <w:tcPr>
            <w:tcW w:w="2380" w:type="dxa"/>
            <w:vAlign w:val="bottom"/>
            <w:gridSpan w:val="2"/>
          </w:tcPr>
          <w:p>
            <w:pPr>
              <w:jc w:val="center"/>
              <w:ind w:right="932"/>
              <w:spacing w:after="0" w:line="179" w:lineRule="exact"/>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60" w:type="dxa"/>
            <w:vAlign w:val="bottom"/>
            <w:gridSpan w:val="11"/>
          </w:tcPr>
          <w:p>
            <w:pPr>
              <w:spacing w:after="0" w:line="201" w:lineRule="exact"/>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240"/>
        <w:spacing w:after="0"/>
        <w:rPr>
          <w:sz w:val="20"/>
          <w:szCs w:val="20"/>
          <w:color w:val="auto"/>
        </w:rPr>
      </w:pPr>
      <w:r>
        <w:rPr>
          <w:rFonts w:ascii="Times New Roman" w:cs="Times New Roman" w:eastAsia="Times New Roman" w:hAnsi="Times New Roman"/>
          <w:sz w:val="18"/>
          <w:szCs w:val="18"/>
          <w:color w:val="auto"/>
        </w:rPr>
        <w:t>Instance document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9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0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33020</wp:posOffset>
            </wp:positionV>
            <wp:extent cx="23812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4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 Jill McConnell</w:t>
      </w:r>
    </w:p>
    <w:p>
      <w:pPr>
        <w:spacing w:after="0" w:line="5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4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Pike, certify that:</w:t>
      </w:r>
    </w:p>
    <w:p>
      <w:pPr>
        <w:spacing w:after="0" w:line="230"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Fortrea Holdings Inc. (the “registrant”);</w:t>
      </w:r>
    </w:p>
    <w:p>
      <w:pPr>
        <w:spacing w:after="0" w:line="150" w:lineRule="exact"/>
        <w:rPr>
          <w:rFonts w:ascii="Times New Roman" w:cs="Times New Roman" w:eastAsia="Times New Roman" w:hAnsi="Times New Roman"/>
          <w:sz w:val="18"/>
          <w:szCs w:val="18"/>
          <w:color w:val="auto"/>
        </w:rPr>
      </w:pPr>
    </w:p>
    <w:p>
      <w:pPr>
        <w:jc w:val="both"/>
        <w:ind w:left="640" w:right="320" w:hanging="316"/>
        <w:spacing w:after="0" w:line="244"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left="640" w:right="280" w:hanging="316"/>
        <w:spacing w:after="0" w:line="258"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8"/>
          <w:szCs w:val="18"/>
          <w:color w:val="auto"/>
        </w:rPr>
      </w:pPr>
    </w:p>
    <w:p>
      <w:pPr>
        <w:ind w:left="640" w:right="520" w:hanging="316"/>
        <w:spacing w:after="0" w:line="258"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4"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15d-14(a)];</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0" w:lineRule="exact"/>
        <w:rPr>
          <w:rFonts w:ascii="Times New Roman" w:cs="Times New Roman" w:eastAsia="Times New Roman" w:hAnsi="Times New Roman"/>
          <w:sz w:val="18"/>
          <w:szCs w:val="18"/>
          <w:color w:val="auto"/>
        </w:rPr>
      </w:pPr>
    </w:p>
    <w:p>
      <w:pPr>
        <w:ind w:left="640" w:right="220" w:hanging="316"/>
        <w:spacing w:after="0" w:line="258"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8"/>
          <w:szCs w:val="18"/>
          <w:color w:val="auto"/>
        </w:rPr>
      </w:pPr>
    </w:p>
    <w:p>
      <w:pPr>
        <w:ind w:left="1280" w:right="660" w:hanging="320"/>
        <w:spacing w:after="0" w:line="288" w:lineRule="auto"/>
        <w:tabs>
          <w:tab w:leader="none" w:pos="127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Thomas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4538980</wp:posOffset>
            </wp:positionH>
            <wp:positionV relativeFrom="paragraph">
              <wp:posOffset>31750</wp:posOffset>
            </wp:positionV>
            <wp:extent cx="2599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May 24, 2024</w:t>
      </w:r>
      <w:r>
        <w:rPr>
          <w:sz w:val="20"/>
          <w:szCs w:val="20"/>
          <w:color w:val="auto"/>
        </w:rPr>
        <w:tab/>
      </w:r>
      <w:r>
        <w:rPr>
          <w:rFonts w:ascii="Times New Roman" w:cs="Times New Roman" w:eastAsia="Times New Roman" w:hAnsi="Times New Roman"/>
          <w:sz w:val="17"/>
          <w:szCs w:val="17"/>
          <w:color w:val="auto"/>
        </w:rPr>
        <w:t>Thomas Pike</w:t>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4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58"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McConnell, certify that:</w:t>
      </w:r>
    </w:p>
    <w:p>
      <w:pPr>
        <w:spacing w:after="0" w:line="230"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Fortrea Holdings Inc. (the “registrant”);</w:t>
      </w:r>
    </w:p>
    <w:p>
      <w:pPr>
        <w:spacing w:after="0" w:line="150" w:lineRule="exact"/>
        <w:rPr>
          <w:rFonts w:ascii="Times New Roman" w:cs="Times New Roman" w:eastAsia="Times New Roman" w:hAnsi="Times New Roman"/>
          <w:sz w:val="18"/>
          <w:szCs w:val="18"/>
          <w:color w:val="auto"/>
        </w:rPr>
      </w:pPr>
    </w:p>
    <w:p>
      <w:pPr>
        <w:jc w:val="both"/>
        <w:ind w:left="640" w:right="320" w:hanging="316"/>
        <w:spacing w:after="0" w:line="244"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left="640" w:right="280" w:hanging="316"/>
        <w:spacing w:after="0" w:line="258"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8"/>
          <w:szCs w:val="18"/>
          <w:color w:val="auto"/>
        </w:rPr>
      </w:pPr>
    </w:p>
    <w:p>
      <w:pPr>
        <w:ind w:left="640" w:right="520" w:hanging="316"/>
        <w:spacing w:after="0" w:line="258"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4"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15d-14(a)];</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1280" w:hanging="320"/>
        <w:spacing w:after="0" w:line="259" w:lineRule="auto"/>
        <w:tabs>
          <w:tab w:leader="none" w:pos="12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0" w:lineRule="exact"/>
        <w:rPr>
          <w:rFonts w:ascii="Times New Roman" w:cs="Times New Roman" w:eastAsia="Times New Roman" w:hAnsi="Times New Roman"/>
          <w:sz w:val="18"/>
          <w:szCs w:val="18"/>
          <w:color w:val="auto"/>
        </w:rPr>
      </w:pPr>
    </w:p>
    <w:p>
      <w:pPr>
        <w:ind w:left="640" w:right="220" w:hanging="316"/>
        <w:spacing w:after="0" w:line="258"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8"/>
          <w:szCs w:val="18"/>
          <w:color w:val="auto"/>
        </w:rPr>
      </w:pPr>
    </w:p>
    <w:p>
      <w:pPr>
        <w:ind w:left="1280" w:right="660" w:hanging="320"/>
        <w:spacing w:after="0" w:line="288" w:lineRule="auto"/>
        <w:tabs>
          <w:tab w:leader="none" w:pos="1277"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4538980</wp:posOffset>
            </wp:positionH>
            <wp:positionV relativeFrom="paragraph">
              <wp:posOffset>31750</wp:posOffset>
            </wp:positionV>
            <wp:extent cx="259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May 24, 2024</w:t>
      </w:r>
      <w:r>
        <w:rPr>
          <w:sz w:val="20"/>
          <w:szCs w:val="20"/>
          <w:color w:val="auto"/>
        </w:rPr>
        <w:tab/>
      </w:r>
      <w:r>
        <w:rPr>
          <w:rFonts w:ascii="Times New Roman" w:cs="Times New Roman" w:eastAsia="Times New Roman" w:hAnsi="Times New Roman"/>
          <w:sz w:val="17"/>
          <w:szCs w:val="17"/>
          <w:color w:val="auto"/>
        </w:rPr>
        <w:t>Jill McConnell</w:t>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58"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jc w:val="center"/>
        <w:spacing w:after="0" w:line="237" w:lineRule="auto"/>
        <w:rPr>
          <w:sz w:val="20"/>
          <w:szCs w:val="20"/>
          <w:color w:val="auto"/>
        </w:rPr>
      </w:pPr>
      <w:r>
        <w:rPr>
          <w:rFonts w:ascii="Times New Roman" w:cs="Times New Roman" w:eastAsia="Times New Roman" w:hAnsi="Times New Roman"/>
          <w:sz w:val="21"/>
          <w:szCs w:val="21"/>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21"/>
          <w:szCs w:val="21"/>
          <w:b w:val="1"/>
          <w:bCs w:val="1"/>
          <w:color w:val="auto"/>
        </w:rPr>
        <w:t>OF THE SARBANES-OXLEY ACT OF 2002</w:t>
      </w:r>
    </w:p>
    <w:p>
      <w:pPr>
        <w:spacing w:after="0" w:line="200" w:lineRule="exact"/>
        <w:rPr>
          <w:sz w:val="20"/>
          <w:szCs w:val="20"/>
          <w:color w:val="auto"/>
        </w:rPr>
      </w:pPr>
    </w:p>
    <w:p>
      <w:pPr>
        <w:spacing w:after="0" w:line="2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 Thomas Pike, Chief Executive Officer of Fortrea Holdings Inc. (the “Company”), do hereby certify, pursuant to 18 U.S.C. Section 1350, as adopted pursuant to Section 906 of the Sarbanes-Oxley Act of 2002, that to the best of my knowledge:</w:t>
      </w:r>
    </w:p>
    <w:p>
      <w:pPr>
        <w:spacing w:after="0" w:line="231" w:lineRule="exact"/>
        <w:rPr>
          <w:sz w:val="20"/>
          <w:szCs w:val="20"/>
          <w:color w:val="auto"/>
        </w:rPr>
      </w:pPr>
    </w:p>
    <w:p>
      <w:pPr>
        <w:ind w:left="600" w:right="20" w:hanging="497"/>
        <w:spacing w:after="0" w:line="258"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2024 (the “Report”) fully complies with the requirements of Section 13(a) or 15(d) of the Securities Exchange Act of 1934; and</w:t>
      </w:r>
    </w:p>
    <w:p>
      <w:pPr>
        <w:spacing w:after="0" w:line="124" w:lineRule="exact"/>
        <w:rPr>
          <w:rFonts w:ascii="Times New Roman" w:cs="Times New Roman" w:eastAsia="Times New Roman" w:hAnsi="Times New Roman"/>
          <w:sz w:val="18"/>
          <w:szCs w:val="18"/>
          <w:color w:val="auto"/>
        </w:rPr>
      </w:pPr>
    </w:p>
    <w:p>
      <w:pPr>
        <w:ind w:left="740" w:right="20" w:hanging="584"/>
        <w:spacing w:after="0" w:line="258" w:lineRule="auto"/>
        <w:tabs>
          <w:tab w:leader="none" w:pos="7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36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Thomas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4538980</wp:posOffset>
            </wp:positionH>
            <wp:positionV relativeFrom="paragraph">
              <wp:posOffset>31750</wp:posOffset>
            </wp:positionV>
            <wp:extent cx="259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May 24, 2024</w:t>
      </w:r>
      <w:r>
        <w:rPr>
          <w:sz w:val="20"/>
          <w:szCs w:val="20"/>
          <w:color w:val="auto"/>
        </w:rPr>
        <w:tab/>
      </w:r>
      <w:r>
        <w:rPr>
          <w:rFonts w:ascii="Times New Roman" w:cs="Times New Roman" w:eastAsia="Times New Roman" w:hAnsi="Times New Roman"/>
          <w:sz w:val="17"/>
          <w:szCs w:val="17"/>
          <w:color w:val="auto"/>
        </w:rPr>
        <w:t>Thomas Pike</w:t>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4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58"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jc w:val="center"/>
        <w:spacing w:after="0" w:line="237" w:lineRule="auto"/>
        <w:rPr>
          <w:sz w:val="20"/>
          <w:szCs w:val="20"/>
          <w:color w:val="auto"/>
        </w:rPr>
      </w:pPr>
      <w:r>
        <w:rPr>
          <w:rFonts w:ascii="Times New Roman" w:cs="Times New Roman" w:eastAsia="Times New Roman" w:hAnsi="Times New Roman"/>
          <w:sz w:val="21"/>
          <w:szCs w:val="21"/>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21"/>
          <w:szCs w:val="21"/>
          <w:b w:val="1"/>
          <w:bCs w:val="1"/>
          <w:color w:val="auto"/>
        </w:rPr>
        <w:t>OF THE SARBANES-OXLEY ACT OF 2002</w:t>
      </w:r>
    </w:p>
    <w:p>
      <w:pPr>
        <w:spacing w:after="0" w:line="200" w:lineRule="exact"/>
        <w:rPr>
          <w:sz w:val="20"/>
          <w:szCs w:val="20"/>
          <w:color w:val="auto"/>
        </w:rPr>
      </w:pPr>
    </w:p>
    <w:p>
      <w:pPr>
        <w:spacing w:after="0" w:line="2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 Jill McConnell, Chief Financial Officer of Fortrea Holdings Inc. (the “Company”), do hereby certify, pursuant to 18 U.S.C. Section 1350, as adopted pursuant to Section 906 of the Sarbanes-Oxley Act of 2002, that to the best of my knowledge:</w:t>
      </w:r>
    </w:p>
    <w:p>
      <w:pPr>
        <w:spacing w:after="0" w:line="231" w:lineRule="exact"/>
        <w:rPr>
          <w:sz w:val="20"/>
          <w:szCs w:val="20"/>
          <w:color w:val="auto"/>
        </w:rPr>
      </w:pPr>
    </w:p>
    <w:p>
      <w:pPr>
        <w:ind w:left="600" w:right="20" w:hanging="497"/>
        <w:spacing w:after="0" w:line="258"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2024 (the “Report”) fully complies with the requirements of Section 13(a) or 15(d) of the Securities Exchange Act of 1934; and</w:t>
      </w:r>
    </w:p>
    <w:p>
      <w:pPr>
        <w:spacing w:after="0" w:line="124" w:lineRule="exact"/>
        <w:rPr>
          <w:rFonts w:ascii="Times New Roman" w:cs="Times New Roman" w:eastAsia="Times New Roman" w:hAnsi="Times New Roman"/>
          <w:sz w:val="18"/>
          <w:szCs w:val="18"/>
          <w:color w:val="auto"/>
        </w:rPr>
      </w:pPr>
    </w:p>
    <w:p>
      <w:pPr>
        <w:ind w:left="740" w:right="20" w:hanging="584"/>
        <w:spacing w:after="0" w:line="258" w:lineRule="auto"/>
        <w:tabs>
          <w:tab w:leader="none" w:pos="7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36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4538980</wp:posOffset>
            </wp:positionH>
            <wp:positionV relativeFrom="paragraph">
              <wp:posOffset>31750</wp:posOffset>
            </wp:positionV>
            <wp:extent cx="259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May 24, 2024</w:t>
      </w:r>
      <w:r>
        <w:rPr>
          <w:sz w:val="20"/>
          <w:szCs w:val="20"/>
          <w:color w:val="auto"/>
        </w:rPr>
        <w:tab/>
      </w:r>
      <w:r>
        <w:rPr>
          <w:rFonts w:ascii="Times New Roman" w:cs="Times New Roman" w:eastAsia="Times New Roman" w:hAnsi="Times New Roman"/>
          <w:sz w:val="17"/>
          <w:szCs w:val="17"/>
          <w:color w:val="auto"/>
        </w:rPr>
        <w:t>Jill McConnell</w:t>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5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8"/>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5"/>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decimal"/>
      <w:start w:val="2"/>
    </w:lvl>
  </w:abstractNum>
  <w:abstractNum w:abstractNumId="11">
    <w:nsid w:val="66EF438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2024-05-24T06:22:38Z</dcterms:created>
  <dcterms:modified xsi:type="dcterms:W3CDTF">2024-05-24T06:22:38Z</dcterms:modified>
</cp:coreProperties>
</file>