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f726e0c7af23418e9dce47e73d5d9f41_4">
        <w:r>
          <w:rPr>
            <w:rStyle w:val="InternetLink"/>
            <w:rFonts w:ascii="Times New Roman;sans-serif" w:hAnsi="Times New Roman;sans-serif"/>
            <w:b w:val="false"/>
            <w:color w:val="000080"/>
            <w:sz w:val="20"/>
            <w:u w:val="single"/>
          </w:rPr>
          <w:t>IND</w:t>
        </w:r>
      </w:hyperlink>
      <w:hyperlink w:anchor="if726e0c7af23418e9dce47e73d5d9f41_4">
        <w:r>
          <w:rPr>
            <w:rStyle w:val="InternetLink"/>
            <w:rFonts w:ascii="Times New Roman;sans-serif" w:hAnsi="Times New Roman;sans-serif"/>
            <w:b w:val="false"/>
            <w:color w:val="000080"/>
            <w:sz w:val="20"/>
            <w:u w:val="single"/>
          </w:rPr>
          <w:t>E</w:t>
        </w:r>
      </w:hyperlink>
      <w:hyperlink w:anchor="if726e0c7af23418e9dce47e73d5d9f41_4">
        <w:r>
          <w:rPr>
            <w:rStyle w:val="InternetLink"/>
            <w:rFonts w:ascii="Times New Roman;sans-serif" w:hAnsi="Times New Roman;sans-serif"/>
            <w:b w:val="false"/>
            <w:color w:val="000080"/>
            <w:sz w:val="20"/>
            <w:u w:val="single"/>
          </w:rPr>
          <w:t>X</w:t>
        </w:r>
      </w:hyperlink>
    </w:p>
    <w:p>
      <w:pPr>
        <w:pStyle w:val="TextBody"/>
        <w:bidi w:val="0"/>
        <w:spacing w:before="200" w:after="283"/>
        <w:jc w:val="left"/>
        <w:rPr/>
      </w:pPr>
      <w:r>
        <w:rPr/>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001-41704</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FORTREA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27709</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u w:val="single"/>
        </w:rPr>
        <w:t>(480)-295-7600</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FTRE</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f726e0c7af23418e9dce47e73d5d9f41_4">
        <w:r>
          <w:rPr>
            <w:rStyle w:val="InternetLink"/>
            <w:rFonts w:ascii="Times New Roman;sans-serif" w:hAnsi="Times New Roman;sans-serif"/>
            <w:b w:val="false"/>
            <w:color w:val="000080"/>
            <w:sz w:val="20"/>
            <w:u w:val="single"/>
          </w:rPr>
          <w:t>IND</w:t>
        </w:r>
      </w:hyperlink>
      <w:hyperlink w:anchor="if726e0c7af23418e9dce47e73d5d9f41_4">
        <w:r>
          <w:rPr>
            <w:rStyle w:val="InternetLink"/>
            <w:rFonts w:ascii="Times New Roman;sans-serif" w:hAnsi="Times New Roman;sans-serif"/>
            <w:b w:val="false"/>
            <w:color w:val="000080"/>
            <w:sz w:val="20"/>
            <w:u w:val="single"/>
          </w:rPr>
          <w:t>E</w:t>
        </w:r>
      </w:hyperlink>
      <w:hyperlink w:anchor="if726e0c7af23418e9dce47e73d5d9f41_4">
        <w:r>
          <w:rPr>
            <w:rStyle w:val="InternetLink"/>
            <w:rFonts w:ascii="Times New Roman;sans-serif" w:hAnsi="Times New Roman;sans-serif"/>
            <w:b w:val="false"/>
            <w:color w:val="000080"/>
            <w:sz w:val="20"/>
            <w:u w:val="single"/>
          </w:rPr>
          <w:t>X</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474" w:type="dxa"/>
        <w:jc w:val="left"/>
        <w:tblInd w:w="0" w:type="dxa"/>
        <w:tblLayout w:type="fixed"/>
        <w:tblCellMar>
          <w:top w:w="28" w:type="dxa"/>
          <w:left w:w="28" w:type="dxa"/>
          <w:bottom w:w="28" w:type="dxa"/>
          <w:right w:w="28" w:type="dxa"/>
        </w:tblCellMar>
      </w:tblPr>
      <w:tblGrid>
        <w:gridCol w:w="1119"/>
        <w:gridCol w:w="985"/>
        <w:gridCol w:w="986"/>
        <w:gridCol w:w="125"/>
        <w:gridCol w:w="125"/>
        <w:gridCol w:w="125"/>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88.8 million shares of common stock as of August 11,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f726e0c7af23418e9dce47e73d5d9f41_4">
        <w:r>
          <w:rPr>
            <w:rStyle w:val="InternetLink"/>
            <w:rFonts w:ascii="Times New Roman;sans-serif" w:hAnsi="Times New Roman;sans-serif"/>
            <w:b w:val="false"/>
            <w:color w:val="000080"/>
            <w:sz w:val="20"/>
            <w:u w:val="single"/>
          </w:rPr>
          <w:t>IND</w:t>
        </w:r>
      </w:hyperlink>
      <w:hyperlink w:anchor="if726e0c7af23418e9dce47e73d5d9f41_4">
        <w:r>
          <w:rPr>
            <w:rStyle w:val="InternetLink"/>
            <w:rFonts w:ascii="Times New Roman;sans-serif" w:hAnsi="Times New Roman;sans-serif"/>
            <w:b w:val="false"/>
            <w:color w:val="000080"/>
            <w:sz w:val="20"/>
            <w:u w:val="single"/>
          </w:rPr>
          <w:t>E</w:t>
        </w:r>
      </w:hyperlink>
      <w:hyperlink w:anchor="if726e0c7af23418e9dce47e73d5d9f41_4">
        <w:r>
          <w:rPr>
            <w:rStyle w:val="InternetLink"/>
            <w:rFonts w:ascii="Times New Roman;sans-serif" w:hAnsi="Times New Roman;sans-serif"/>
            <w:b w:val="false"/>
            <w:color w:val="000080"/>
            <w:sz w:val="20"/>
            <w:u w:val="single"/>
          </w:rPr>
          <w:t>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726e0c7af23418e9dce47e73d5d9f41_7">
              <w:r>
                <w:rPr>
                  <w:rStyle w:val="InternetLink"/>
                  <w:rFonts w:ascii="Times New Roman;sans-serif" w:hAnsi="Times New Roman;sans-serif"/>
                  <w:b/>
                  <w:color w:val="000080"/>
                  <w:sz w:val="20"/>
                </w:rPr>
                <w:t>PART I.</w:t>
              </w:r>
            </w:hyperlink>
            <w:r>
              <w:rPr>
                <w:rFonts w:ascii="Times New Roman;sans-serif" w:hAnsi="Times New Roman;sans-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0">
              <w:r>
                <w:rPr>
                  <w:rStyle w:val="InternetLink"/>
                  <w:rFonts w:ascii="Times New Roman;sans-serif" w:hAnsi="Times New Roman;sans-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3">
              <w:r>
                <w:rPr>
                  <w:rStyle w:val="InternetLink"/>
                  <w:rFonts w:ascii="Times New Roman;sans-serif" w:hAnsi="Times New Roman;sans-serif"/>
                  <w:b w:val="false"/>
                  <w:color w:val="000080"/>
                  <w:sz w:val="20"/>
                  <w:u w:val="single"/>
                </w:rPr>
                <w:t xml:space="preserve">Condensed </w:t>
              </w:r>
            </w:hyperlink>
            <w:hyperlink w:anchor="if726e0c7af23418e9dce47e73d5d9f41_13">
              <w:r>
                <w:rPr>
                  <w:rStyle w:val="InternetLink"/>
                  <w:rFonts w:ascii="Times New Roman;sans-serif" w:hAnsi="Times New Roman;sans-serif"/>
                  <w:b w:val="false"/>
                  <w:color w:val="000080"/>
                  <w:sz w:val="20"/>
                  <w:u w:val="single"/>
                </w:rPr>
                <w:t xml:space="preserve">Consolidated and </w:t>
              </w:r>
            </w:hyperlink>
            <w:hyperlink w:anchor="if726e0c7af23418e9dce47e73d5d9f41_13">
              <w:r>
                <w:rPr>
                  <w:rStyle w:val="InternetLink"/>
                  <w:rFonts w:ascii="Times New Roman;sans-serif" w:hAnsi="Times New Roman;sans-serif"/>
                  <w:b w:val="false"/>
                  <w:color w:val="000080"/>
                  <w:sz w:val="20"/>
                  <w:u w:val="single"/>
                </w:rPr>
                <w:t>Combined Balance Shee</w:t>
              </w:r>
            </w:hyperlink>
            <w:hyperlink w:anchor="if726e0c7af23418e9dce47e73d5d9f41_13">
              <w:r>
                <w:rPr>
                  <w:rStyle w:val="InternetLink"/>
                  <w:rFonts w:ascii="Times New Roman;sans-serif" w:hAnsi="Times New Roman;sans-serif"/>
                  <w:b w:val="false"/>
                  <w:color w:val="000080"/>
                  <w:sz w:val="20"/>
                  <w:u w:val="single"/>
                </w:rPr>
                <w:t>ts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 and December 31,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13">
              <w:r>
                <w:rPr>
                  <w:rStyle w:val="InternetLink"/>
                  <w:rFonts w:ascii="Times New Roman;sans-serif" w:hAnsi="Times New Roman;sans-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6">
              <w:r>
                <w:rPr>
                  <w:rStyle w:val="InternetLink"/>
                  <w:rFonts w:ascii="Times New Roman;sans-serif" w:hAnsi="Times New Roman;sans-serif"/>
                  <w:b w:val="false"/>
                  <w:color w:val="000080"/>
                  <w:sz w:val="20"/>
                  <w:u w:val="single"/>
                </w:rPr>
                <w:t>Condensed Consolidated and Combined Statement</w:t>
              </w:r>
            </w:hyperlink>
            <w:hyperlink w:anchor="if726e0c7af23418e9dce47e73d5d9f41_16">
              <w:r>
                <w:rPr>
                  <w:rStyle w:val="InternetLink"/>
                  <w:rFonts w:ascii="Times New Roman;sans-serif" w:hAnsi="Times New Roman;sans-serif"/>
                  <w:b w:val="false"/>
                  <w:color w:val="000080"/>
                  <w:sz w:val="20"/>
                  <w:u w:val="single"/>
                </w:rPr>
                <w:t>s</w:t>
              </w:r>
            </w:hyperlink>
            <w:hyperlink w:anchor="if726e0c7af23418e9dce47e73d5d9f41_16">
              <w:r>
                <w:rPr>
                  <w:rStyle w:val="InternetLink"/>
                  <w:rFonts w:ascii="Times New Roman;sans-serif" w:hAnsi="Times New Roman;sans-serif"/>
                  <w:b w:val="false"/>
                  <w:color w:val="000080"/>
                  <w:sz w:val="20"/>
                  <w:u w:val="single"/>
                </w:rPr>
                <w:t xml:space="preserve"> of Operations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June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16">
              <w:r>
                <w:rPr>
                  <w:rStyle w:val="InternetLink"/>
                  <w:rFonts w:ascii="Times New Roman;sans-serif" w:hAnsi="Times New Roman;sans-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9">
              <w:r>
                <w:rPr>
                  <w:rStyle w:val="InternetLink"/>
                  <w:rFonts w:ascii="Times New Roman;sans-serif" w:hAnsi="Times New Roman;sans-serif"/>
                  <w:b w:val="false"/>
                  <w:color w:val="000080"/>
                  <w:sz w:val="20"/>
                  <w:u w:val="single"/>
                </w:rPr>
                <w:t>Condensed Consolidated and Combined Statements of Comprehensive Income (</w:t>
              </w:r>
            </w:hyperlink>
            <w:hyperlink w:anchor="if726e0c7af23418e9dce47e73d5d9f41_19">
              <w:r>
                <w:rPr>
                  <w:rStyle w:val="InternetLink"/>
                  <w:rFonts w:ascii="Times New Roman;sans-serif" w:hAnsi="Times New Roman;sans-serif"/>
                  <w:b w:val="false"/>
                  <w:color w:val="000080"/>
                  <w:sz w:val="20"/>
                  <w:u w:val="single"/>
                </w:rPr>
                <w:t>L</w:t>
              </w:r>
            </w:hyperlink>
            <w:hyperlink w:anchor="if726e0c7af23418e9dce47e73d5d9f41_19">
              <w:r>
                <w:rPr>
                  <w:rStyle w:val="InternetLink"/>
                  <w:rFonts w:ascii="Times New Roman;sans-serif" w:hAnsi="Times New Roman;sans-serif"/>
                  <w:b w:val="false"/>
                  <w:color w:val="000080"/>
                  <w:sz w:val="20"/>
                  <w:u w:val="single"/>
                </w:rPr>
                <w:t>oss)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June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19">
              <w:r>
                <w:rPr>
                  <w:rStyle w:val="InternetLink"/>
                  <w:rFonts w:ascii="Times New Roman;sans-serif" w:hAnsi="Times New Roman;sans-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22">
              <w:r>
                <w:rPr>
                  <w:rStyle w:val="InternetLink"/>
                  <w:rFonts w:ascii="Times New Roman;sans-serif" w:hAnsi="Times New Roman;sans-serif"/>
                  <w:b w:val="false"/>
                  <w:color w:val="000080"/>
                  <w:sz w:val="20"/>
                  <w:u w:val="single"/>
                </w:rPr>
                <w:t xml:space="preserve">Condensed </w:t>
              </w:r>
            </w:hyperlink>
            <w:hyperlink w:anchor="if726e0c7af23418e9dce47e73d5d9f41_13">
              <w:r>
                <w:rPr>
                  <w:rStyle w:val="InternetLink"/>
                  <w:rFonts w:ascii="Times New Roman;sans-serif" w:hAnsi="Times New Roman;sans-serif"/>
                  <w:b w:val="false"/>
                  <w:color w:val="000080"/>
                  <w:sz w:val="20"/>
                  <w:u w:val="single"/>
                </w:rPr>
                <w:t xml:space="preserve">Consolidated and </w:t>
              </w:r>
            </w:hyperlink>
            <w:hyperlink w:anchor="if726e0c7af23418e9dce47e73d5d9f41_22">
              <w:r>
                <w:rPr>
                  <w:rStyle w:val="InternetLink"/>
                  <w:rFonts w:ascii="Times New Roman;sans-serif" w:hAnsi="Times New Roman;sans-serif"/>
                  <w:b w:val="false"/>
                  <w:color w:val="000080"/>
                  <w:sz w:val="20"/>
                  <w:u w:val="single"/>
                </w:rPr>
                <w:t>Combined Statements of Changes in</w:t>
              </w:r>
            </w:hyperlink>
            <w:hyperlink w:anchor="if726e0c7af23418e9dce47e73d5d9f41_22">
              <w:r>
                <w:rPr>
                  <w:rStyle w:val="InternetLink"/>
                  <w:rFonts w:ascii="Times New Roman;sans-serif" w:hAnsi="Times New Roman;sans-serif"/>
                  <w:b w:val="false"/>
                  <w:color w:val="000080"/>
                  <w:sz w:val="20"/>
                  <w:u w:val="single"/>
                </w:rPr>
                <w:t xml:space="preserve"> Equity</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June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22">
              <w:r>
                <w:rPr>
                  <w:rStyle w:val="InternetLink"/>
                  <w:rFonts w:ascii="Times New Roman;sans-serif" w:hAnsi="Times New Roman;sans-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25">
              <w:r>
                <w:rPr>
                  <w:rStyle w:val="InternetLink"/>
                  <w:rFonts w:ascii="Times New Roman;sans-serif" w:hAnsi="Times New Roman;sans-serif"/>
                  <w:b w:val="false"/>
                  <w:color w:val="000080"/>
                  <w:sz w:val="20"/>
                  <w:u w:val="single"/>
                </w:rPr>
                <w:t xml:space="preserve">Condensed </w:t>
              </w:r>
            </w:hyperlink>
            <w:hyperlink w:anchor="if726e0c7af23418e9dce47e73d5d9f41_13">
              <w:r>
                <w:rPr>
                  <w:rStyle w:val="InternetLink"/>
                  <w:rFonts w:ascii="Times New Roman;sans-serif" w:hAnsi="Times New Roman;sans-serif"/>
                  <w:b w:val="false"/>
                  <w:color w:val="000080"/>
                  <w:sz w:val="20"/>
                  <w:u w:val="single"/>
                </w:rPr>
                <w:t xml:space="preserve">Consolidated and </w:t>
              </w:r>
            </w:hyperlink>
            <w:hyperlink w:anchor="if726e0c7af23418e9dce47e73d5d9f41_25">
              <w:r>
                <w:rPr>
                  <w:rStyle w:val="InternetLink"/>
                  <w:rFonts w:ascii="Times New Roman;sans-serif" w:hAnsi="Times New Roman;sans-serif"/>
                  <w:b w:val="false"/>
                  <w:color w:val="000080"/>
                  <w:sz w:val="20"/>
                  <w:u w:val="single"/>
                </w:rPr>
                <w:t>Combined Statements of Cash Flows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25">
              <w:r>
                <w:rPr>
                  <w:rStyle w:val="InternetLink"/>
                  <w:rFonts w:ascii="Times New Roman;sans-serif" w:hAnsi="Times New Roman;sans-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28">
              <w:r>
                <w:rPr>
                  <w:rStyle w:val="InternetLink"/>
                  <w:rFonts w:ascii="Times New Roman;sans-serif" w:hAnsi="Times New Roman;sans-serif"/>
                  <w:b w:val="false"/>
                  <w:color w:val="000080"/>
                  <w:sz w:val="20"/>
                  <w:u w:val="single"/>
                </w:rPr>
                <w:t>Notes to Unaudited Condensed</w:t>
              </w:r>
            </w:hyperlink>
            <w:hyperlink w:anchor="if726e0c7af23418e9dce47e73d5d9f41_28">
              <w:r>
                <w:rPr>
                  <w:rStyle w:val="InternetLink"/>
                  <w:rFonts w:ascii="Times New Roman;sans-serif" w:hAnsi="Times New Roman;sans-serif"/>
                  <w:b w:val="false"/>
                  <w:color w:val="000080"/>
                  <w:sz w:val="20"/>
                  <w:u w:val="single"/>
                </w:rPr>
                <w:t xml:space="preserve"> Consolidated and</w:t>
              </w:r>
            </w:hyperlink>
            <w:hyperlink w:anchor="if726e0c7af23418e9dce47e73d5d9f41_28">
              <w:r>
                <w:rPr>
                  <w:rStyle w:val="InternetLink"/>
                  <w:rFonts w:ascii="Times New Roman;sans-serif" w:hAnsi="Times New Roman;sans-serif"/>
                  <w:b w:val="false"/>
                  <w:color w:val="000080"/>
                  <w:sz w:val="20"/>
                  <w:u w:val="single"/>
                </w:rPr>
                <w:t xml:space="preserve"> Combined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28">
              <w:r>
                <w:rPr>
                  <w:rStyle w:val="InternetLink"/>
                  <w:rFonts w:ascii="Times New Roman;sans-serif" w:hAnsi="Times New Roman;sans-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55">
              <w:r>
                <w:rPr>
                  <w:rStyle w:val="InternetLink"/>
                  <w:rFonts w:ascii="Times New Roman;sans-serif" w:hAnsi="Times New Roman;sans-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5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55">
              <w:r>
                <w:rPr>
                  <w:rStyle w:val="InternetLink"/>
                  <w:rFonts w:ascii="Times New Roman;sans-serif" w:hAnsi="Times New Roman;sans-serif"/>
                  <w:b w:val="false"/>
                  <w:color w:val="0000FF"/>
                  <w:sz w:val="20"/>
                  <w:u w:val="single"/>
                </w:rPr>
                <w:t>19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73">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73">
              <w:r>
                <w:rPr>
                  <w:rStyle w:val="InternetLink"/>
                  <w:rFonts w:ascii="Times New Roman;sans-serif" w:hAnsi="Times New Roman;sans-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73">
              <w:r>
                <w:rPr>
                  <w:rStyle w:val="InternetLink"/>
                  <w:rFonts w:ascii="Times New Roman;sans-serif" w:hAnsi="Times New Roman;sans-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76">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76">
              <w:r>
                <w:rPr>
                  <w:rStyle w:val="InternetLink"/>
                  <w:rFonts w:ascii="Times New Roman;sans-serif" w:hAnsi="Times New Roman;sans-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76">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726e0c7af23418e9dce47e73d5d9f41_79">
              <w:r>
                <w:rPr>
                  <w:rStyle w:val="InternetLink"/>
                  <w:rFonts w:ascii="Times New Roman;sans-serif" w:hAnsi="Times New Roman;sans-serif"/>
                  <w:b/>
                  <w:color w:val="000080"/>
                  <w:sz w:val="20"/>
                </w:rPr>
                <w:t>PART II.</w:t>
              </w:r>
            </w:hyperlink>
            <w:r>
              <w:rPr>
                <w:rFonts w:ascii="Times New Roman;sans-serif" w:hAnsi="Times New Roman;sans-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2">
              <w:r>
                <w:rPr>
                  <w:rStyle w:val="InternetLink"/>
                  <w:rFonts w:ascii="Times New Roman;sans-serif" w:hAnsi="Times New Roman;sans-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2">
              <w:r>
                <w:rPr>
                  <w:rStyle w:val="InternetLink"/>
                  <w:rFonts w:ascii="Times New Roman;sans-serif" w:hAnsi="Times New Roman;sans-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82">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5">
              <w:r>
                <w:rPr>
                  <w:rStyle w:val="InternetLink"/>
                  <w:rFonts w:ascii="Times New Roman;sans-serif" w:hAnsi="Times New Roman;sans-serif"/>
                  <w:b w:val="false"/>
                  <w:color w:val="000080"/>
                  <w:sz w:val="20"/>
                </w:rPr>
                <w:t xml:space="preserve">Item </w:t>
              </w:r>
            </w:hyperlink>
            <w:r>
              <w:rPr>
                <w:rFonts w:ascii="Times New Roman;sans-serif" w:hAnsi="Times New Roman;sans-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5">
              <w:r>
                <w:rPr>
                  <w:rStyle w:val="InternetLink"/>
                  <w:rFonts w:ascii="Times New Roman;sans-serif" w:hAnsi="Times New Roman;sans-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85">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8">
              <w:r>
                <w:rPr>
                  <w:rStyle w:val="InternetLink"/>
                  <w:rFonts w:ascii="Times New Roman;sans-serif" w:hAnsi="Times New Roman;sans-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88">
              <w:r>
                <w:rPr>
                  <w:rStyle w:val="InternetLink"/>
                  <w:rFonts w:ascii="Times New Roman;sans-serif" w:hAnsi="Times New Roman;sans-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88">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675">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675">
              <w:r>
                <w:rPr>
                  <w:rStyle w:val="InternetLink"/>
                  <w:rFonts w:ascii="Times New Roman;sans-serif" w:hAnsi="Times New Roman;sans-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675">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690">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690">
              <w:r>
                <w:rPr>
                  <w:rStyle w:val="InternetLink"/>
                  <w:rFonts w:ascii="Times New Roman;sans-serif" w:hAnsi="Times New Roman;sans-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690">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Other Information</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684">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00">
              <w:r>
                <w:rPr>
                  <w:rStyle w:val="InternetLink"/>
                  <w:rFonts w:ascii="Times New Roman;sans-serif" w:hAnsi="Times New Roman;sans-serif"/>
                  <w:b w:val="false"/>
                  <w:color w:val="000080"/>
                  <w:sz w:val="20"/>
                </w:rPr>
                <w:t xml:space="preserve">Item </w:t>
              </w:r>
            </w:hyperlink>
            <w:hyperlink w:anchor="if726e0c7af23418e9dce47e73d5d9f41_100">
              <w:r>
                <w:rPr>
                  <w:rStyle w:val="InternetLink"/>
                  <w:rFonts w:ascii="Times New Roman;sans-serif" w:hAnsi="Times New Roman;sans-serif"/>
                  <w:b w:val="false"/>
                  <w:color w:val="000080"/>
                  <w:sz w:val="20"/>
                </w:rPr>
                <w:t>6</w:t>
              </w:r>
            </w:hyperlink>
            <w:hyperlink w:anchor="if726e0c7af23418e9dce47e73d5d9f41_100">
              <w:r>
                <w:rPr>
                  <w:rStyle w:val="InternetLink"/>
                  <w:rFonts w:ascii="Times New Roman;sans-serif" w:hAnsi="Times New Roman;sans-serif"/>
                  <w:b w:val="false"/>
                  <w:color w:val="000080"/>
                  <w:sz w:val="20"/>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26e0c7af23418e9dce47e73d5d9f41_100">
              <w:r>
                <w:rPr>
                  <w:rStyle w:val="InternetLink"/>
                  <w:rFonts w:ascii="Times New Roman;sans-serif" w:hAnsi="Times New Roman;sans-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26e0c7af23418e9dce47e73d5d9f41_100">
              <w:r>
                <w:rPr>
                  <w:rStyle w:val="InternetLink"/>
                  <w:rFonts w:ascii="Times New Roman;sans-serif" w:hAnsi="Times New Roman;sans-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7"/>
        <w:gridCol w:w="2427"/>
        <w:gridCol w:w="2428"/>
        <w:gridCol w:w="211"/>
        <w:gridCol w:w="766"/>
        <w:gridCol w:w="109"/>
        <w:gridCol w:w="109"/>
        <w:gridCol w:w="109"/>
        <w:gridCol w:w="109"/>
        <w:gridCol w:w="211"/>
        <w:gridCol w:w="771"/>
        <w:gridCol w:w="158"/>
      </w:tblGrid>
      <w:tr>
        <w:trPr/>
        <w:tc>
          <w:tcPr>
            <w:tcW w:w="279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unbilled services,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6)</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parent investment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88.8 and 0.0 shares outstanding at June 30, 2023 and December 31,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38"/>
        <w:gridCol w:w="1535"/>
        <w:gridCol w:w="1546"/>
        <w:gridCol w:w="212"/>
        <w:gridCol w:w="620"/>
        <w:gridCol w:w="109"/>
        <w:gridCol w:w="109"/>
        <w:gridCol w:w="109"/>
        <w:gridCol w:w="109"/>
        <w:gridCol w:w="212"/>
        <w:gridCol w:w="620"/>
        <w:gridCol w:w="109"/>
        <w:gridCol w:w="109"/>
        <w:gridCol w:w="109"/>
        <w:gridCol w:w="109"/>
        <w:gridCol w:w="211"/>
        <w:gridCol w:w="766"/>
        <w:gridCol w:w="109"/>
        <w:gridCol w:w="109"/>
        <w:gridCol w:w="109"/>
        <w:gridCol w:w="109"/>
        <w:gridCol w:w="211"/>
        <w:gridCol w:w="766"/>
        <w:gridCol w:w="160"/>
      </w:tblGrid>
      <w:tr>
        <w:trPr/>
        <w:tc>
          <w:tcPr>
            <w:tcW w:w="203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exclusive of depreciation and amortization (including costs incurred from related parties of $27.0, $23.9, $48.8 and $44.1 during the three and six months ended June 30, 2023 and 2022, respectively)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exclusive of depreciation and amortization</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income taxes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33" w:type="dxa"/>
        <w:jc w:val="left"/>
        <w:tblInd w:w="0" w:type="dxa"/>
        <w:tblLayout w:type="fixed"/>
        <w:tblCellMar>
          <w:top w:w="28" w:type="dxa"/>
          <w:left w:w="28" w:type="dxa"/>
          <w:bottom w:w="28" w:type="dxa"/>
          <w:right w:w="28" w:type="dxa"/>
        </w:tblCellMar>
      </w:tblPr>
      <w:tblGrid>
        <w:gridCol w:w="1241"/>
        <w:gridCol w:w="1090"/>
        <w:gridCol w:w="1103"/>
        <w:gridCol w:w="231"/>
        <w:gridCol w:w="561"/>
        <w:gridCol w:w="119"/>
        <w:gridCol w:w="119"/>
        <w:gridCol w:w="119"/>
        <w:gridCol w:w="119"/>
        <w:gridCol w:w="231"/>
        <w:gridCol w:w="643"/>
        <w:gridCol w:w="119"/>
        <w:gridCol w:w="109"/>
        <w:gridCol w:w="109"/>
        <w:gridCol w:w="109"/>
        <w:gridCol w:w="211"/>
        <w:gridCol w:w="512"/>
        <w:gridCol w:w="109"/>
        <w:gridCol w:w="109"/>
        <w:gridCol w:w="109"/>
        <w:gridCol w:w="109"/>
        <w:gridCol w:w="211"/>
        <w:gridCol w:w="587"/>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benefit plan adjustments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7"/>
        <w:gridCol w:w="677"/>
        <w:gridCol w:w="679"/>
        <w:gridCol w:w="255"/>
        <w:gridCol w:w="256"/>
        <w:gridCol w:w="196"/>
        <w:gridCol w:w="237"/>
        <w:gridCol w:w="419"/>
        <w:gridCol w:w="112"/>
        <w:gridCol w:w="109"/>
        <w:gridCol w:w="109"/>
        <w:gridCol w:w="109"/>
        <w:gridCol w:w="252"/>
        <w:gridCol w:w="915"/>
        <w:gridCol w:w="130"/>
        <w:gridCol w:w="109"/>
        <w:gridCol w:w="109"/>
        <w:gridCol w:w="109"/>
        <w:gridCol w:w="252"/>
        <w:gridCol w:w="917"/>
        <w:gridCol w:w="130"/>
        <w:gridCol w:w="109"/>
        <w:gridCol w:w="109"/>
        <w:gridCol w:w="109"/>
        <w:gridCol w:w="269"/>
        <w:gridCol w:w="806"/>
        <w:gridCol w:w="141"/>
        <w:gridCol w:w="109"/>
        <w:gridCol w:w="109"/>
        <w:gridCol w:w="109"/>
        <w:gridCol w:w="211"/>
        <w:gridCol w:w="766"/>
        <w:gridCol w:w="160"/>
      </w:tblGrid>
      <w:tr>
        <w:trPr/>
        <w:tc>
          <w:tcPr>
            <w:tcW w:w="111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Former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from Parent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Former Parent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Former Parent investment to additional paid-in capital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from Parent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Parent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90" w:type="dxa"/>
        <w:jc w:val="left"/>
        <w:tblInd w:w="0" w:type="dxa"/>
        <w:tblLayout w:type="fixed"/>
        <w:tblCellMar>
          <w:top w:w="28" w:type="dxa"/>
          <w:left w:w="28" w:type="dxa"/>
          <w:bottom w:w="28" w:type="dxa"/>
          <w:right w:w="28" w:type="dxa"/>
        </w:tblCellMar>
      </w:tblPr>
      <w:tblGrid>
        <w:gridCol w:w="2730"/>
        <w:gridCol w:w="2397"/>
        <w:gridCol w:w="2402"/>
        <w:gridCol w:w="214"/>
        <w:gridCol w:w="626"/>
        <w:gridCol w:w="109"/>
        <w:gridCol w:w="109"/>
        <w:gridCol w:w="109"/>
        <w:gridCol w:w="109"/>
        <w:gridCol w:w="211"/>
        <w:gridCol w:w="511"/>
        <w:gridCol w:w="109"/>
        <w:gridCol w:w="154"/>
      </w:tblGrid>
      <w:tr>
        <w:trPr/>
        <w:tc>
          <w:tcPr>
            <w:tcW w:w="273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for) operating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receivable and unbilled services,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revenue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accrued expenses and other</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from Former Parent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financing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BASIS OF FINANCIAL STATEMENT PRESENTATION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Background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("Fortrea"), a Delaware corporation incorporated on January 31, 2023, is a leading global contract research organization (“CRO”) providing biopharmaceutical product and medical device development services, patient access solutions and other enabling services to pharmaceutical, biotechnology and medical device customers.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28, 2022, Laboratory Corporation of America Holdings (“Labcorp” or “Former Parent”) announced that its Board of Directors had authorized Labcorp to pursue a spin of its wholly owned Clinical Development and Commercialization Services business (“CDCS” the “Business”, the “Company”) to Labcorp’s shareholders. The CDCS business was transferred to Fortrea and its shares distributed to Labcorp stockholders.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Labcorp completed the spin-off (the “Spin” or the “Separation”) of Fortrea Holdings Inc. ("Fortrea" or the "Company") through a pro-rata distribution of one share of Fortrea common stock for every share of Labcorp common stock held at the close of business on the record date of June 20, 2023. Fortrea began to trade as a separate public company (NASDAQ: FTRE) on July 3, 2023.</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Agreements with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several agreements with Labcorp that govern the relationship of the parties following the Separation, including the Separation and Distribution Agreement, the Tax Matters Agreement, the Employee Matters Agreement, and the Transition Services Agreement,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 notably IT applications, network and security support and hosting as well as finance, human resources, marketing and other administrative support.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is a leading global CRO providing clinical development and patient access solutions to pharmaceutical, biotechnology and medical device customers. The Company offers customers highly flexible delivery models that include Full Service, Functional Service Provider, and Hybrid structures. The Company believes it is well positioned to leverage its global scale, access to clinical data-driven insights, industry network, and decades of experience to bring customers tailored solutions. Fortrea intends to capitalize on the global demand for clinical development services across a diverse set of more than 20 therapeutic areas.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team of approximately 19,000 employees conducts operations in more than 90 countries and delivers comprehensive phase I – IV clinical trial management, clinical pharmacology, differentiated technology enabled trial solutions and post-approval services for our customers. The Company’s offering is scaled to deliver focused and agile solutions to customers globally, streamlining the biopharmaceutical product and medical device development process. Additionally, Fortrea successfully utilizes enabling technologies to optimize processes and evolve with a dynamic marketplace.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business in two reportable segments - Clinical Services and Enabling Services. The Clinical Services segment provides services across the clinical pharmacology and clinical development spectrum. The Enabling Services segment provides patient access and clinical trial technology solutions to customers that streamline complex randomization and optimize the trial drug supply process, while minimizing operational costs and supporting timely and accurate patient dosing. For further financial information about these, see Note 12, Business Segment Information to the condensed consolidated and combined financial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access to all key markets worldwide through a strategic footprint of primary office locations in five countries worldwide (the United States, the United Kingdom, China, India and Singapore) with field operations in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Financial Statement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has historically existed and functioned as part of the consolidated business of Labcorp. The Company’s financial statements for periods through the Spin reflect the historical financial position, results of operations and cash flows of the Company, for the periods presented, prepared on a “carve-out” basis and have been derived from the condensed consolidated financial statements and accounting records of Labcorp using the historical results of operations and historical basis of assets and liabilities of the Company and reflect Labcorp’s net investment in the Company. The Company’s balance sheet as of June 30, 2023 is a consolidated balance sheet based on the financial position of Fortrea as a standalone company. Accordingly, the second quarter of 2023 includes condensed consolidated and combined financial statements, whereas all prior periods included combined financial statements. The Company’s unaudited condensed consolidated and combined financial statements for all periods presented are referred to throughout this document as “financial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and combined financial statements have been prepared in conformity with accounting principles generally accepted in the United States of America (“U.S. GAAP”). The condensed consolidated and combined financial statements do not necessarily reflect what the financial position, results of operations, and cash flows would have been had it operated as a standalone company during the periods presented.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and combined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and combined balance sheet data was derived from audited financial statements but does not include all disclosures required by U.S. GAAP. The condensed consolidated and combined financial statements and notes are presented in accordance with the rules and regulations of the Securities and Exchange Commission (“SEC”) and do not contain certain information included in the Company’s fiscal year 2022 reporting included within the Form 10. Therefore, these interim statements should be read in conjunction with the combined financial statements and notes thereto contained in the Form 10.</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combined statements of operations include all revenues and costs directly attributable to our business. The condensed combined statements of operations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These expenses were allocated to Fortrea based on direct usage when identifiable or, when not directly identifiable, on the basis of proportional net revenues or headcount or other reasonable driver, as applicable. Fortrea considers the basis on which the expenses have been allocated to reasonably reflect the utilization of services provided to, or the benefit received by, Fortrea during the periods presented. However, the allocations may not reflect the expenses Fortrea would have incurred as an independent company for the periods presented.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 as discussed within the</w:t>
      </w:r>
      <w:r>
        <w:rPr>
          <w:color w:val="000000"/>
        </w:rPr>
        <w:t xml:space="preserve"> </w:t>
      </w:r>
      <w:r>
        <w:rPr>
          <w:rFonts w:ascii="Times New Roman;sans-serif" w:hAnsi="Times New Roman;sans-serif"/>
          <w:b w:val="false"/>
          <w:i/>
          <w:color w:val="000000"/>
          <w:sz w:val="20"/>
        </w:rPr>
        <w:t>Agreements with Labcorp</w:t>
      </w:r>
      <w:r>
        <w:rPr>
          <w:color w:val="000000"/>
        </w:rPr>
        <w:t xml:space="preserve"> </w:t>
      </w:r>
      <w:r>
        <w:rPr>
          <w:rFonts w:ascii="Times New Roman;sans-serif" w:hAnsi="Times New Roman;sans-serif"/>
          <w:b w:val="false"/>
          <w:color w:val="000000"/>
          <w:sz w:val="20"/>
        </w:rPr>
        <w:t>section above.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Labcorp utilizes a centralized approach to cash management and financing of its operations. The cash and cash equivalents held by Labcorp at the corporate level are not specifically identifiable to Fortrea and therefore have not been reflected in the Company’s condensed combined balance sheet as of December 31, 2022. Cash and cash equivalents in the condensed consolidated and combined balance sheets represent cash and cash equivalents held by the Company.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condensed combined financial statements include certain assets and liabilities that have historically been held at the Labcorp corporate level but are specifically identifiable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attributable to Fortrea. Labcorp’s third-party long-term debt and the related interest expense have not been allocated to Fortrea for any of the periods presented because Fortrea was not the legal obligor of such debt.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 Former Parent investment is shown in lieu of common stock and retained earnings accounts in the condensed combined financial statements. The total net effect of the settlement of the transactions between the Company and Labcorp, exclusive of those historically settled in cash, is reflected in the condensed combined statements of cash flows in cash flows from financing activities as net transfers (to) from Former Parent and in the condensed consolidated and combined balance sheets as Former Parent investment.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All intercompany transactions within the Company have been eliminated. All transactions between the Company and Former Parent have been included in these condensed consolidated and combined financial statements. For those transactions between the Company and Former Parent that were historically settled in cash, the Company has reflected such balances in the condensed consolidated and combined balance sheets as due from related parties or due to related parties. The Former Parent investment and all due from or due to Former Parent were settled at the time of the Spin. Refer to </w:t>
      </w:r>
      <w:r>
        <w:rPr>
          <w:rFonts w:ascii="Times New Roman;sans-serif" w:hAnsi="Times New Roman;sans-serif"/>
          <w:b w:val="false"/>
          <w:i/>
          <w:color w:val="000000"/>
          <w:sz w:val="20"/>
        </w:rPr>
        <w:t>Note 10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Transactions with Former Parent</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the Company’s accounts receivable and unbilled services are with companies in the pharmaceutical, biotechnology and medical device industries. As of June 30, 2023, no customer accounted for more than 10% of the Company's combined gross accounts receivable and unbilled services. As of December 31, 2022, one pharmaceutical company accounted for approximately 10.5% of the Company's combined gross accounts receivable and unbilled services. Additionally, for the three months and six months ended June 30, 2023 and 2022, no customer accounted for more than 10%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REVENUES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by segment and geography for the three and six months ended June 30, 2023 and 2022 is as follows:</w:t>
      </w:r>
    </w:p>
    <w:tbl>
      <w:tblPr>
        <w:tblW w:w="10693" w:type="dxa"/>
        <w:jc w:val="left"/>
        <w:tblInd w:w="0" w:type="dxa"/>
        <w:tblLayout w:type="fixed"/>
        <w:tblCellMar>
          <w:top w:w="28" w:type="dxa"/>
          <w:left w:w="28" w:type="dxa"/>
          <w:bottom w:w="28" w:type="dxa"/>
          <w:right w:w="28" w:type="dxa"/>
        </w:tblCellMar>
      </w:tblPr>
      <w:tblGrid>
        <w:gridCol w:w="363"/>
        <w:gridCol w:w="253"/>
        <w:gridCol w:w="2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93" w:type="dxa"/>
        <w:jc w:val="left"/>
        <w:tblInd w:w="0" w:type="dxa"/>
        <w:tblLayout w:type="fixed"/>
        <w:tblCellMar>
          <w:top w:w="28" w:type="dxa"/>
          <w:left w:w="28" w:type="dxa"/>
          <w:bottom w:w="28" w:type="dxa"/>
          <w:right w:w="28" w:type="dxa"/>
        </w:tblCellMar>
      </w:tblPr>
      <w:tblGrid>
        <w:gridCol w:w="363"/>
        <w:gridCol w:w="253"/>
        <w:gridCol w:w="2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United States comprises substantially all revenue in North America.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 balances:</w:t>
      </w:r>
    </w:p>
    <w:tbl>
      <w:tblPr>
        <w:tblW w:w="5065" w:type="dxa"/>
        <w:jc w:val="left"/>
        <w:tblInd w:w="0" w:type="dxa"/>
        <w:tblLayout w:type="fixed"/>
        <w:tblCellMar>
          <w:top w:w="28" w:type="dxa"/>
          <w:left w:w="28" w:type="dxa"/>
          <w:bottom w:w="28" w:type="dxa"/>
          <w:right w:w="28" w:type="dxa"/>
        </w:tblCellMar>
      </w:tblPr>
      <w:tblGrid>
        <w:gridCol w:w="750"/>
        <w:gridCol w:w="659"/>
        <w:gridCol w:w="661"/>
        <w:gridCol w:w="285"/>
        <w:gridCol w:w="692"/>
        <w:gridCol w:w="147"/>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Amortization related to sales commission assets for the three months ended June 30, 2023 and 2022 was $3.4 and $3.1</w:t>
      </w:r>
      <w:r>
        <w:rPr>
          <w:rFonts w:ascii="Times New Roman;sans-serif" w:hAnsi="Times New Roman;sans-serif"/>
          <w:b w:val="false"/>
          <w:color w:val="000000"/>
          <w:sz w:val="20"/>
          <w:shd w:fill="FFFFFF" w:val="clear"/>
        </w:rPr>
        <w:t xml:space="preserve">, respectively, and for the </w:t>
      </w:r>
      <w:r>
        <w:rPr>
          <w:rFonts w:ascii="Times New Roman;sans-serif" w:hAnsi="Times New Roman;sans-serif"/>
          <w:b w:val="false"/>
          <w:color w:val="000000"/>
          <w:sz w:val="20"/>
        </w:rPr>
        <w:t xml:space="preserve">six months ended June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7.9</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6.5</w:t>
      </w:r>
      <w:r>
        <w:rPr>
          <w:rFonts w:ascii="Times New Roman;sans-serif" w:hAnsi="Times New Roman;sans-serif"/>
          <w:b w:val="false"/>
          <w:color w:val="000000"/>
          <w:sz w:val="20"/>
          <w:shd w:fill="FFFFFF" w:val="clear"/>
        </w:rPr>
        <w:t xml:space="preserve">, respectively. Amortization related to deferred contract costs </w:t>
      </w:r>
      <w:r>
        <w:rPr>
          <w:rFonts w:ascii="Times New Roman;sans-serif" w:hAnsi="Times New Roman;sans-serif"/>
          <w:b w:val="false"/>
          <w:color w:val="000000"/>
          <w:sz w:val="20"/>
        </w:rPr>
        <w:t xml:space="preserve">for the three months ended June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2.3</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2.9</w:t>
      </w:r>
      <w:r>
        <w:rPr>
          <w:rFonts w:ascii="Times New Roman;sans-serif" w:hAnsi="Times New Roman;sans-serif"/>
          <w:b w:val="false"/>
          <w:color w:val="000000"/>
          <w:sz w:val="20"/>
          <w:shd w:fill="FFFFFF" w:val="clear"/>
        </w:rPr>
        <w:t xml:space="preserve">, respectively, and for the </w:t>
      </w:r>
      <w:r>
        <w:rPr>
          <w:rFonts w:ascii="Times New Roman;sans-serif" w:hAnsi="Times New Roman;sans-serif"/>
          <w:b w:val="false"/>
          <w:color w:val="000000"/>
          <w:sz w:val="20"/>
        </w:rPr>
        <w:t xml:space="preserve">six months ended June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4.7</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6.0</w:t>
      </w:r>
      <w:r>
        <w:rPr>
          <w:rFonts w:ascii="Times New Roman;sans-serif" w:hAnsi="Times New Roman;sans-serif"/>
          <w:b w:val="false"/>
          <w:color w:val="000000"/>
          <w:sz w:val="20"/>
          <w:shd w:fill="FFFFFF" w:val="clear"/>
        </w:rPr>
        <w:t>, respectively. The Company does not recognize the effect of financing in its contracts with customers when the difference in timing of payment and performance is one year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 Unbilled Services and Unearned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unbilled services and unearned revenue from contracts with customers:</w:t>
      </w:r>
    </w:p>
    <w:tbl>
      <w:tblPr>
        <w:tblW w:w="5756" w:type="dxa"/>
        <w:jc w:val="left"/>
        <w:tblInd w:w="0" w:type="dxa"/>
        <w:tblLayout w:type="fixed"/>
        <w:tblCellMar>
          <w:top w:w="28" w:type="dxa"/>
          <w:left w:w="28" w:type="dxa"/>
          <w:bottom w:w="28" w:type="dxa"/>
          <w:right w:w="28" w:type="dxa"/>
        </w:tblCellMar>
      </w:tblPr>
      <w:tblGrid>
        <w:gridCol w:w="1000"/>
        <w:gridCol w:w="878"/>
        <w:gridCol w:w="881"/>
        <w:gridCol w:w="218"/>
        <w:gridCol w:w="794"/>
        <w:gridCol w:w="113"/>
        <w:gridCol w:w="109"/>
        <w:gridCol w:w="109"/>
        <w:gridCol w:w="109"/>
        <w:gridCol w:w="288"/>
        <w:gridCol w:w="1047"/>
        <w:gridCol w:w="21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unbilled services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Revenue recognized during the period included in the unearned revenue balance at the beginning of the peri</w:t>
      </w:r>
      <w:r>
        <w:rPr>
          <w:rFonts w:ascii="Times New Roman;sans-serif" w:hAnsi="Times New Roman;sans-serif"/>
          <w:b w:val="false"/>
          <w:color w:val="000000"/>
          <w:sz w:val="20"/>
          <w:shd w:fill="FFFFFF" w:val="clear"/>
        </w:rPr>
        <w:t xml:space="preserve">od was </w:t>
      </w:r>
      <w:r>
        <w:rPr>
          <w:rFonts w:ascii="Times New Roman;sans-serif" w:hAnsi="Times New Roman;sans-serif"/>
          <w:b w:val="false"/>
          <w:color w:val="000000"/>
          <w:sz w:val="20"/>
        </w:rPr>
        <w:t xml:space="preserve">$157.3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176.9</w:t>
      </w:r>
      <w:r>
        <w:rPr>
          <w:color w:val="000000"/>
          <w:shd w:fill="FFFFFF" w:val="clear"/>
        </w:rPr>
        <w:t xml:space="preserve"> </w:t>
      </w:r>
      <w:r>
        <w:rPr>
          <w:rFonts w:ascii="Times New Roman;sans-serif" w:hAnsi="Times New Roman;sans-serif"/>
          <w:b w:val="false"/>
          <w:color w:val="000000"/>
          <w:sz w:val="20"/>
          <w:shd w:fill="FFFFFF" w:val="clear"/>
        </w:rPr>
        <w:t xml:space="preserve">for the six months ended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Loss Rollforward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future expected losses on accounts receivable and unbilled services over the remaining collection period of the instrument.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for the allowance for credit losses for the six months ended June 30, 2023 is as follows:</w:t>
      </w:r>
    </w:p>
    <w:tbl>
      <w:tblPr>
        <w:tblW w:w="5969" w:type="dxa"/>
        <w:jc w:val="left"/>
        <w:tblInd w:w="0" w:type="dxa"/>
        <w:tblLayout w:type="fixed"/>
        <w:tblCellMar>
          <w:top w:w="28" w:type="dxa"/>
          <w:left w:w="28" w:type="dxa"/>
          <w:bottom w:w="28" w:type="dxa"/>
          <w:right w:w="28" w:type="dxa"/>
        </w:tblCellMar>
      </w:tblPr>
      <w:tblGrid>
        <w:gridCol w:w="1570"/>
        <w:gridCol w:w="1378"/>
        <w:gridCol w:w="1386"/>
        <w:gridCol w:w="394"/>
        <w:gridCol w:w="954"/>
        <w:gridCol w:w="287"/>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December 31, 2022</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June 30, 2023</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Obligations Under Long-Term Contracts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Long-term contracts at the Company consist primarily of fully managed clinical studies. The amount of existing performance obligations under such long-term contracts unsatisfied was </w:t>
      </w:r>
      <w:r>
        <w:rPr>
          <w:rFonts w:ascii="Times New Roman;sans-serif" w:hAnsi="Times New Roman;sans-serif"/>
          <w:b w:val="false"/>
          <w:color w:val="000000"/>
          <w:sz w:val="20"/>
        </w:rPr>
        <w:t>$4,332.9</w:t>
      </w:r>
      <w:r>
        <w:rPr>
          <w:color w:val="000000"/>
          <w:shd w:fill="FFFFFF" w:val="clear"/>
        </w:rPr>
        <w:t xml:space="preserve"> </w:t>
      </w:r>
      <w:r>
        <w:rPr>
          <w:rFonts w:ascii="Times New Roman;sans-serif" w:hAnsi="Times New Roman;sans-serif"/>
          <w:b w:val="false"/>
          <w:color w:val="000000"/>
          <w:sz w:val="20"/>
        </w:rPr>
        <w:t xml:space="preserve">as of June 30, 2023. </w:t>
      </w:r>
      <w:r>
        <w:rPr>
          <w:rFonts w:ascii="Times New Roman;sans-serif" w:hAnsi="Times New Roman;sans-serif"/>
          <w:b w:val="false"/>
          <w:color w:val="000000"/>
          <w:sz w:val="20"/>
          <w:shd w:fill="FFFFFF" w:val="clear"/>
        </w:rPr>
        <w:t xml:space="preserve">The Company expects to recognize approximately 30% of the existing performance obligations as of June 30, 2023 as revenue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pPr>
      <w:r>
        <w:rPr>
          <w:rFonts w:ascii="Times New Roman;sans-serif" w:hAnsi="Times New Roman;sans-serif"/>
          <w:b w:val="false"/>
          <w:color w:val="000000"/>
          <w:sz w:val="20"/>
          <w:shd w:fill="FFFFFF" w:val="clear"/>
        </w:rPr>
        <w:t>the next 12 months and the remaining balance thereafter. The Company's long-term contracts generally range from one to eight years</w:t>
      </w:r>
      <w:r>
        <w:rPr>
          <w:rFonts w:ascii="Times New Roman;sans-serif" w:hAnsi="Times New Roman;sans-serif"/>
          <w:b w:val="false"/>
          <w:color w:val="000000"/>
          <w:sz w:val="20"/>
        </w:rPr>
        <w:t>.</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The Company applies the practical expedient and does not disclose information about remaining performance obligations that have original expected durations of one year or less. Revenue of $(22.0) and $37.0 was recognized during the three months ended June 30, 2023 and 2022, respectively</w:t>
      </w:r>
      <w:r>
        <w:rPr>
          <w:rFonts w:ascii="Times New Roman;sans-serif" w:hAnsi="Times New Roman;sans-serif"/>
          <w:b w:val="false"/>
          <w:color w:val="000000"/>
          <w:sz w:val="20"/>
        </w:rPr>
        <w:t>, and revenues of $(32.9) and $67.9 were recognized during the six months ended June 30, 2023 and 2022, respectively,</w:t>
      </w:r>
      <w:r>
        <w:rPr>
          <w:color w:val="000000"/>
          <w:shd w:fill="FFFFFF" w:val="clear"/>
        </w:rPr>
        <w:t xml:space="preserve"> </w:t>
      </w:r>
      <w:r>
        <w:rPr>
          <w:rFonts w:ascii="Times New Roman;sans-serif" w:hAnsi="Times New Roman;sans-serif"/>
          <w:b w:val="false"/>
          <w:color w:val="000000"/>
          <w:sz w:val="20"/>
          <w:shd w:fill="FFFFFF" w:val="clear"/>
        </w:rPr>
        <w:t>from performance obligations that were partially satisfied in a previous period</w:t>
      </w:r>
      <w:r>
        <w:rPr>
          <w:rFonts w:ascii="Times New Roman;sans-serif" w:hAnsi="Times New Roman;sans-serif"/>
          <w:b w:val="false"/>
          <w:color w:val="000000"/>
          <w:sz w:val="20"/>
        </w:rPr>
        <w:t>. For the three and six months ended June 30, 2023 and 2022, such amounts were primarily related to changes in scope and, to a much lesser extent, changes in estimates.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 Purchase Program</w:t>
      </w:r>
    </w:p>
    <w:p>
      <w:pPr>
        <w:pStyle w:val="TextBody"/>
        <w:bidi w:val="0"/>
        <w:spacing w:lineRule="auto" w:line="268" w:before="0" w:after="180"/>
        <w:ind w:left="0" w:right="0" w:firstLine="360"/>
        <w:jc w:val="left"/>
        <w:rPr/>
      </w:pPr>
      <w:r>
        <w:rPr>
          <w:rFonts w:ascii="Times New Roman;sans-serif" w:hAnsi="Times New Roman;sans-serif"/>
          <w:b w:val="false"/>
          <w:color w:val="000000"/>
          <w:sz w:val="20"/>
        </w:rPr>
        <w:t>On June 23, 2023, Fortrea entered into an accounts receivable purchase program (“ARPP”) with a financial institution (</w:t>
      </w:r>
      <w:r>
        <w:rPr>
          <w:rFonts w:ascii="Times New Roman;sans-serif" w:hAnsi="Times New Roman;sans-serif"/>
          <w:b w:val="false"/>
          <w:color w:val="000000"/>
          <w:sz w:val="20"/>
          <w:shd w:fill="FFFFFF" w:val="clear"/>
        </w:rPr>
        <w:t>the "Financial Institution")</w:t>
      </w:r>
      <w:r>
        <w:rPr>
          <w:rFonts w:ascii="Times New Roman;sans-serif" w:hAnsi="Times New Roman;sans-serif"/>
          <w:b w:val="false"/>
          <w:color w:val="000000"/>
          <w:sz w:val="20"/>
        </w:rPr>
        <w:t xml:space="preserve">. The ARPP establishes a receivables factoring facility whereby the Company may sell up to $80.0 in customer receivables based on the availability of certain eligible receivables and the satisfaction of certain conditions. </w:t>
      </w:r>
      <w:r>
        <w:rPr>
          <w:rFonts w:ascii="Times New Roman;sans-serif" w:hAnsi="Times New Roman;sans-serif"/>
          <w:b w:val="false"/>
          <w:color w:val="000000"/>
          <w:sz w:val="20"/>
          <w:shd w:fill="FFFFFF" w:val="clear"/>
        </w:rPr>
        <w:t>Under the facility, the Company may sell eligible receivables and retains no interest in the transferred receivables other than collection and administrative functions for the Financial Institution.</w:t>
      </w:r>
    </w:p>
    <w:p>
      <w:pPr>
        <w:pStyle w:val="TextBody"/>
        <w:bidi w:val="0"/>
        <w:spacing w:lineRule="auto" w:line="268" w:before="0" w:after="180"/>
        <w:jc w:val="left"/>
        <w:rPr/>
      </w:pPr>
      <w:r>
        <w:rPr>
          <w:rFonts w:ascii="Times New Roman;sans-serif" w:hAnsi="Times New Roman;sans-serif"/>
          <w:b w:val="false"/>
          <w:color w:val="000000"/>
          <w:sz w:val="20"/>
        </w:rPr>
        <w:t>The Company accounts for these receivable transfers as sales and derecognizes the sold receivables from its balance sheets. The fair value of the sold receivables approximated their book value due to their short-term nature. The Company continues to service, administer and collect the receivables on behalf of the Financial Institution and does not receive a servicing fee as part of the arrangement. On June 28, 2023, $17.5 of receivables were sold with net proceeds of $17.3.</w:t>
      </w:r>
      <w:r>
        <w:rPr>
          <w:color w:val="000000"/>
          <w:shd w:fill="FFFFFF" w:val="clear"/>
        </w:rPr>
        <w:t xml:space="preserve">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the Separation from Labcorp was effected through a pro-rata distribution of one share of the Company's common stock for every share of Labcorp common stock held at the close of business on the record date of June 20, 2023. As a result, on June 30, 2023, the Company had 88.8 shares of common stock outstanding. This share amount is being utilized for the calculation of basic earnings per share for all periods presented through the Separation date. As of the Separation date, actual outstanding shares are used to calculate basic weighted average common shares outstanding. Basic earnings per share is computed by dividing net earnings attributable to the Company by the weighted average number of common shares outstanding. As of June 30, 2023, there are no dilutive instruments.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basic and diluted earnings per share. </w:t>
      </w:r>
    </w:p>
    <w:tbl>
      <w:tblPr>
        <w:tblW w:w="10205" w:type="dxa"/>
        <w:jc w:val="left"/>
        <w:tblInd w:w="0" w:type="dxa"/>
        <w:tblLayout w:type="fixed"/>
        <w:tblCellMar>
          <w:top w:w="28" w:type="dxa"/>
          <w:left w:w="28" w:type="dxa"/>
          <w:bottom w:w="28" w:type="dxa"/>
          <w:right w:w="28" w:type="dxa"/>
        </w:tblCellMar>
      </w:tblPr>
      <w:tblGrid>
        <w:gridCol w:w="802"/>
        <w:gridCol w:w="704"/>
        <w:gridCol w:w="706"/>
        <w:gridCol w:w="109"/>
        <w:gridCol w:w="109"/>
        <w:gridCol w:w="109"/>
        <w:gridCol w:w="211"/>
        <w:gridCol w:w="511"/>
        <w:gridCol w:w="109"/>
        <w:gridCol w:w="109"/>
        <w:gridCol w:w="109"/>
        <w:gridCol w:w="109"/>
        <w:gridCol w:w="255"/>
        <w:gridCol w:w="256"/>
        <w:gridCol w:w="211"/>
        <w:gridCol w:w="109"/>
        <w:gridCol w:w="109"/>
        <w:gridCol w:w="109"/>
        <w:gridCol w:w="324"/>
        <w:gridCol w:w="784"/>
        <w:gridCol w:w="167"/>
        <w:gridCol w:w="109"/>
        <w:gridCol w:w="109"/>
        <w:gridCol w:w="109"/>
        <w:gridCol w:w="211"/>
        <w:gridCol w:w="511"/>
        <w:gridCol w:w="109"/>
        <w:gridCol w:w="109"/>
        <w:gridCol w:w="109"/>
        <w:gridCol w:w="109"/>
        <w:gridCol w:w="255"/>
        <w:gridCol w:w="256"/>
        <w:gridCol w:w="211"/>
        <w:gridCol w:w="109"/>
        <w:gridCol w:w="109"/>
        <w:gridCol w:w="109"/>
        <w:gridCol w:w="324"/>
        <w:gridCol w:w="784"/>
        <w:gridCol w:w="167"/>
        <w:gridCol w:w="109"/>
        <w:gridCol w:w="109"/>
        <w:gridCol w:w="157"/>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 Share Amount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2"/>
        <w:gridCol w:w="704"/>
        <w:gridCol w:w="706"/>
        <w:gridCol w:w="109"/>
        <w:gridCol w:w="109"/>
        <w:gridCol w:w="109"/>
        <w:gridCol w:w="211"/>
        <w:gridCol w:w="511"/>
        <w:gridCol w:w="109"/>
        <w:gridCol w:w="109"/>
        <w:gridCol w:w="109"/>
        <w:gridCol w:w="109"/>
        <w:gridCol w:w="255"/>
        <w:gridCol w:w="256"/>
        <w:gridCol w:w="211"/>
        <w:gridCol w:w="109"/>
        <w:gridCol w:w="109"/>
        <w:gridCol w:w="109"/>
        <w:gridCol w:w="324"/>
        <w:gridCol w:w="784"/>
        <w:gridCol w:w="167"/>
        <w:gridCol w:w="109"/>
        <w:gridCol w:w="109"/>
        <w:gridCol w:w="109"/>
        <w:gridCol w:w="211"/>
        <w:gridCol w:w="511"/>
        <w:gridCol w:w="109"/>
        <w:gridCol w:w="109"/>
        <w:gridCol w:w="109"/>
        <w:gridCol w:w="109"/>
        <w:gridCol w:w="255"/>
        <w:gridCol w:w="256"/>
        <w:gridCol w:w="211"/>
        <w:gridCol w:w="109"/>
        <w:gridCol w:w="109"/>
        <w:gridCol w:w="109"/>
        <w:gridCol w:w="324"/>
        <w:gridCol w:w="784"/>
        <w:gridCol w:w="167"/>
        <w:gridCol w:w="109"/>
        <w:gridCol w:w="109"/>
        <w:gridCol w:w="157"/>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 Share Amount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and intangible assets are the result of historical acquisitions; primarily the acquisition of Covance in 2015 by Labcorp. Subsequent acquisitions of businesses were allocated to the CDCS business of Fortrea based on the inclusion of the business activities using valuations at the time of acquisition.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six months ended June 30, 2023 and 2022 are as follows:</w:t>
      </w:r>
    </w:p>
    <w:tbl>
      <w:tblPr>
        <w:tblW w:w="10205" w:type="dxa"/>
        <w:jc w:val="left"/>
        <w:tblInd w:w="0" w:type="dxa"/>
        <w:tblLayout w:type="fixed"/>
        <w:tblCellMar>
          <w:top w:w="28" w:type="dxa"/>
          <w:left w:w="28" w:type="dxa"/>
          <w:bottom w:w="28" w:type="dxa"/>
          <w:right w:w="28" w:type="dxa"/>
        </w:tblCellMar>
      </w:tblPr>
      <w:tblGrid>
        <w:gridCol w:w="737"/>
        <w:gridCol w:w="647"/>
        <w:gridCol w:w="651"/>
        <w:gridCol w:w="214"/>
        <w:gridCol w:w="780"/>
        <w:gridCol w:w="111"/>
        <w:gridCol w:w="109"/>
        <w:gridCol w:w="109"/>
        <w:gridCol w:w="109"/>
        <w:gridCol w:w="214"/>
        <w:gridCol w:w="780"/>
        <w:gridCol w:w="111"/>
        <w:gridCol w:w="109"/>
        <w:gridCol w:w="109"/>
        <w:gridCol w:w="109"/>
        <w:gridCol w:w="232"/>
        <w:gridCol w:w="679"/>
        <w:gridCol w:w="120"/>
        <w:gridCol w:w="109"/>
        <w:gridCol w:w="109"/>
        <w:gridCol w:w="109"/>
        <w:gridCol w:w="232"/>
        <w:gridCol w:w="679"/>
        <w:gridCol w:w="120"/>
        <w:gridCol w:w="109"/>
        <w:gridCol w:w="109"/>
        <w:gridCol w:w="109"/>
        <w:gridCol w:w="214"/>
        <w:gridCol w:w="780"/>
        <w:gridCol w:w="111"/>
        <w:gridCol w:w="109"/>
        <w:gridCol w:w="109"/>
        <w:gridCol w:w="109"/>
        <w:gridCol w:w="214"/>
        <w:gridCol w:w="779"/>
        <w:gridCol w:w="165"/>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Clinical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Enabling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impact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assesses goodwill for impairment at least annually or whenever events or changes in circumstances indicate that the carrying amount of goodwill may not be recoverable. The Company recognizes an impairment charge for the amount by which the reporting unit's carrying amount exceeds its fair value.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there can be no assurance that the estimates and assumptions made for the purposes of the goodwill impairment analysis will prove to be accurate predictions of future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identifiable intangible assets are as follows:</w:t>
      </w:r>
    </w:p>
    <w:tbl>
      <w:tblPr>
        <w:tblW w:w="10205" w:type="dxa"/>
        <w:jc w:val="left"/>
        <w:tblInd w:w="0" w:type="dxa"/>
        <w:tblLayout w:type="fixed"/>
        <w:tblCellMar>
          <w:top w:w="28" w:type="dxa"/>
          <w:left w:w="28" w:type="dxa"/>
          <w:bottom w:w="28" w:type="dxa"/>
          <w:right w:w="28" w:type="dxa"/>
        </w:tblCellMar>
      </w:tblPr>
      <w:tblGrid>
        <w:gridCol w:w="481"/>
        <w:gridCol w:w="423"/>
        <w:gridCol w:w="424"/>
        <w:gridCol w:w="240"/>
        <w:gridCol w:w="873"/>
        <w:gridCol w:w="124"/>
        <w:gridCol w:w="109"/>
        <w:gridCol w:w="109"/>
        <w:gridCol w:w="109"/>
        <w:gridCol w:w="281"/>
        <w:gridCol w:w="844"/>
        <w:gridCol w:w="147"/>
        <w:gridCol w:w="109"/>
        <w:gridCol w:w="109"/>
        <w:gridCol w:w="109"/>
        <w:gridCol w:w="244"/>
        <w:gridCol w:w="714"/>
        <w:gridCol w:w="126"/>
        <w:gridCol w:w="109"/>
        <w:gridCol w:w="109"/>
        <w:gridCol w:w="109"/>
        <w:gridCol w:w="240"/>
        <w:gridCol w:w="873"/>
        <w:gridCol w:w="124"/>
        <w:gridCol w:w="109"/>
        <w:gridCol w:w="109"/>
        <w:gridCol w:w="109"/>
        <w:gridCol w:w="281"/>
        <w:gridCol w:w="844"/>
        <w:gridCol w:w="147"/>
        <w:gridCol w:w="109"/>
        <w:gridCol w:w="109"/>
        <w:gridCol w:w="109"/>
        <w:gridCol w:w="243"/>
        <w:gridCol w:w="710"/>
        <w:gridCol w:w="187"/>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Amortization of intangible assets </w:t>
      </w:r>
      <w:r>
        <w:rPr>
          <w:rFonts w:ascii="Times New Roman;sans-serif" w:hAnsi="Times New Roman;sans-serif"/>
          <w:b w:val="false"/>
          <w:color w:val="000000"/>
          <w:sz w:val="20"/>
        </w:rPr>
        <w:t>for the three and six 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 xml:space="preserve">$16.0 and </w:t>
      </w:r>
      <w:r>
        <w:rPr>
          <w:rFonts w:ascii="Times New Roman;sans-serif" w:hAnsi="Times New Roman;sans-serif"/>
          <w:b w:val="false"/>
          <w:color w:val="000000"/>
          <w:sz w:val="20"/>
          <w:shd w:fill="FFFFFF" w:val="clear"/>
        </w:rPr>
        <w:t>$31.9</w:t>
      </w:r>
      <w:r>
        <w:rPr>
          <w:rFonts w:ascii="Times New Roman;sans-serif" w:hAnsi="Times New Roman;sans-serif"/>
          <w:b w:val="false"/>
          <w:color w:val="000000"/>
          <w:sz w:val="20"/>
        </w:rPr>
        <w:t xml:space="preserve">, respectively. For </w:t>
      </w:r>
      <w:r>
        <w:rPr>
          <w:rFonts w:ascii="Times New Roman;sans-serif" w:hAnsi="Times New Roman;sans-serif"/>
          <w:b w:val="false"/>
          <w:color w:val="000000"/>
          <w:sz w:val="20"/>
          <w:shd w:fill="FFFFFF" w:val="clear"/>
        </w:rPr>
        <w:t>the three and six months ended June 30, 2022, amortization was $16.6 and $33.5, respectively. Amortization expense of intangible assets is estimated to be $32.1 for the remainder of 2023, $63.8 in 2024, $60.9 in 2025, $60.1 in 2026, $60.1 in 2027 and $524.5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 these debt transactions to make a cash distribution to Labcorp as consideration for the assets that were contributed to the Company in connection with the Spin.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at June 30, 2023 and December 31, 2022 consisted of the following:</w:t>
      </w:r>
    </w:p>
    <w:tbl>
      <w:tblPr>
        <w:tblW w:w="8816" w:type="dxa"/>
        <w:jc w:val="left"/>
        <w:tblInd w:w="0" w:type="dxa"/>
        <w:tblLayout w:type="fixed"/>
        <w:tblCellMar>
          <w:top w:w="28" w:type="dxa"/>
          <w:left w:w="28" w:type="dxa"/>
          <w:bottom w:w="28" w:type="dxa"/>
          <w:right w:w="28" w:type="dxa"/>
        </w:tblCellMar>
      </w:tblPr>
      <w:tblGrid>
        <w:gridCol w:w="1968"/>
        <w:gridCol w:w="1731"/>
        <w:gridCol w:w="1746"/>
        <w:gridCol w:w="323"/>
        <w:gridCol w:w="784"/>
        <w:gridCol w:w="167"/>
        <w:gridCol w:w="109"/>
        <w:gridCol w:w="109"/>
        <w:gridCol w:w="109"/>
        <w:gridCol w:w="484"/>
        <w:gridCol w:w="931"/>
        <w:gridCol w:w="355"/>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senior secured term loan A facility due 2028</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senior secured term loan B facility due 2030</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issuance discount and fees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short-term borrowings and current portion of long-term debt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at June 30, 2023 and December 31, 2022 consisted of the following:</w:t>
      </w:r>
    </w:p>
    <w:tbl>
      <w:tblPr>
        <w:tblW w:w="6477" w:type="dxa"/>
        <w:jc w:val="left"/>
        <w:tblInd w:w="0" w:type="dxa"/>
        <w:tblLayout w:type="fixed"/>
        <w:tblCellMar>
          <w:top w:w="28" w:type="dxa"/>
          <w:left w:w="28" w:type="dxa"/>
          <w:bottom w:w="28" w:type="dxa"/>
          <w:right w:w="28" w:type="dxa"/>
        </w:tblCellMar>
      </w:tblPr>
      <w:tblGrid>
        <w:gridCol w:w="1123"/>
        <w:gridCol w:w="988"/>
        <w:gridCol w:w="994"/>
        <w:gridCol w:w="247"/>
        <w:gridCol w:w="900"/>
        <w:gridCol w:w="128"/>
        <w:gridCol w:w="109"/>
        <w:gridCol w:w="109"/>
        <w:gridCol w:w="109"/>
        <w:gridCol w:w="484"/>
        <w:gridCol w:w="931"/>
        <w:gridCol w:w="355"/>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 senior notes due 2030</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A due 2028</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B due 2030</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discount and fees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6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Fortrea entered into a credit agreement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drew on the term A and term B loans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June 30, 2023, the effective interest rate on the term A loan and term B loan was 7.49% and 8.99%, respectively.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is permitted to be used for general corporate purposes, including working capital and capital expenditures. There were no balances outstanding on the Company's current revolving credit facility as of June 30, 2023 and December 31, 2022. As of June 30, 2023, the effective interest rate on the revolving credit facility, assuming a standard three month borrowing, was 7.49%. There is a commitment fee associated with the revolving credit facility of 0.35% (per annum and paid quarterly) and an annual $0.1 agency fee (paid in quarterly installments). The credit facility expires on June 30,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revolving credit facility, the Company is subject to negative covenants limiting subsidiary indebtedness and certain other covenants typical for similarly rated borrowers, and the Company is required to maintain certain leverage and interest coverage ratios. The Company was in compliance with all covenants in the revolving credit facility at June 30, 2023.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outstanding letters of credit under the Credit Agreement as of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6.    COMMITMENTS AND CONTINGENT LIABILITIES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PREFERRED STOCK AND COMMON SHAREHOLDERS’ EQUITY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June 30, 2023 and December 31, 2022.</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are as follows:</w:t>
      </w:r>
    </w:p>
    <w:tbl>
      <w:tblPr>
        <w:tblW w:w="10205" w:type="dxa"/>
        <w:jc w:val="left"/>
        <w:tblInd w:w="0" w:type="dxa"/>
        <w:tblLayout w:type="fixed"/>
        <w:tblCellMar>
          <w:top w:w="28" w:type="dxa"/>
          <w:left w:w="28" w:type="dxa"/>
          <w:bottom w:w="28" w:type="dxa"/>
          <w:right w:w="28" w:type="dxa"/>
        </w:tblCellMar>
      </w:tblPr>
      <w:tblGrid>
        <w:gridCol w:w="830"/>
        <w:gridCol w:w="638"/>
        <w:gridCol w:w="643"/>
        <w:gridCol w:w="526"/>
        <w:gridCol w:w="1722"/>
        <w:gridCol w:w="271"/>
        <w:gridCol w:w="109"/>
        <w:gridCol w:w="109"/>
        <w:gridCol w:w="109"/>
        <w:gridCol w:w="522"/>
        <w:gridCol w:w="1044"/>
        <w:gridCol w:w="272"/>
        <w:gridCol w:w="109"/>
        <w:gridCol w:w="109"/>
        <w:gridCol w:w="109"/>
        <w:gridCol w:w="646"/>
        <w:gridCol w:w="1938"/>
        <w:gridCol w:w="339"/>
        <w:gridCol w:w="160"/>
      </w:tblGrid>
      <w:tr>
        <w:trPr/>
        <w:tc>
          <w:tcPr>
            <w:tcW w:w="8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quarter adjustments</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Former Parent</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quarter adjustments</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adjustments</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Former Parent</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adjustments</w:t>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w:t>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our operations were historically included in Labcorp’s U.S. combined federal and certain state and local and foreign income tax returns. The income tax provision included in these combined financial statements has been calculated using the separate return basis as if the Company had filed separate tax returns. The Company believes the assumptions supporting its allocation and presentation of income taxes on a separate return basis are reasonable. The Company’s tax results, as presented in the combined financial statements, do not necessarily reflect what the financial position results of operations and cash flows would have been had it operated as a standalone company during the periods presented. For the periods prior to the Separation, the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5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expense and deferred tax balances that are presented in these financial statements were calculated on a carve-out basis, which applied the accounting guidance as if the Company filed its own tax returns in each jurisdiction and included tax losses and tax credits that may not reflect tax positions taken by Labcorp. </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 xml:space="preserve">Applicable accounting standards provide that the Company may estimate an annual effective tax rate (“AETR method”) and apply that forecasted tax rate to year-to-date income for each interim period. However, the AETR method resulted in an unreliable estimate of the Company’s annual effective tax rate due to changes in the Company’s post spin-off operational forecast as well as the impact of certain components of the forecast which are not inherent in the Company’s results of operations for the six months ended June 30, 2023 as determined on a carve-out basis. Therefore, the Company recorded its interim income tax provision through June 30, 2023 using the discrete method, as allowed under ASC 740-270, </w:t>
      </w:r>
      <w:r>
        <w:rPr>
          <w:rFonts w:ascii="Times New Roman;sans-serif" w:hAnsi="Times New Roman;sans-serif"/>
          <w:b w:val="false"/>
          <w:i/>
          <w:color w:val="000000"/>
          <w:sz w:val="20"/>
        </w:rPr>
        <w:t>Income Taxes – Interim Reporting</w:t>
      </w:r>
      <w:r>
        <w:rPr>
          <w:rFonts w:ascii="Times New Roman;sans-serif" w:hAnsi="Times New Roman;sans-serif"/>
          <w:b w:val="false"/>
          <w:color w:val="000000"/>
          <w:sz w:val="20"/>
        </w:rPr>
        <w:t xml:space="preserve">. Using the discrete method, the Company determined income tax expense as if the six months ended June 30, 2023 were an annual period. </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For the three months ended June 30, 2023, the Company’s effective tax rate</w:t>
      </w:r>
      <w:r>
        <w:rPr>
          <w:color w:val="000000"/>
          <w:shd w:fill="FFFFFF" w:val="clear"/>
        </w:rPr>
        <w:t xml:space="preserve"> </w:t>
      </w:r>
      <w:r>
        <w:rPr>
          <w:rFonts w:ascii="Times New Roman;sans-serif" w:hAnsi="Times New Roman;sans-serif"/>
          <w:b w:val="false"/>
          <w:color w:val="000000"/>
          <w:sz w:val="20"/>
          <w:shd w:fill="FFFFFF" w:val="clear"/>
        </w:rPr>
        <w:t xml:space="preserve">was 27.2% compared to 20.6% for the three months ended June 30, 2022. The effective tax rate for the three months ended June 30, 2023 was </w:t>
      </w:r>
      <w:r>
        <w:rPr>
          <w:rFonts w:ascii="Times New Roman;sans-serif" w:hAnsi="Times New Roman;sans-serif"/>
          <w:b w:val="false"/>
          <w:color w:val="000000"/>
          <w:sz w:val="20"/>
        </w:rPr>
        <w:t>higher than the Company’s statutory tax rate primarily due to earnings mix and foreign withholding taxes, partially offset by U.S. taxes on foreign earnings. The effective tax rate for the three months ended June 30, 2022 was lower than the Company’s statutory tax rate primarily due to U.S. taxes on foreign earnings and domestic tax credits, partially offset by state taxes.</w:t>
      </w:r>
    </w:p>
    <w:p>
      <w:pPr>
        <w:pStyle w:val="TextBody"/>
        <w:bidi w:val="0"/>
        <w:spacing w:lineRule="auto" w:line="256" w:before="0" w:after="180"/>
        <w:ind w:left="0" w:right="0" w:firstLine="360"/>
        <w:jc w:val="left"/>
        <w:rPr/>
      </w:pPr>
      <w:r>
        <w:rPr>
          <w:rFonts w:ascii="Times New Roman;sans-serif" w:hAnsi="Times New Roman;sans-serif"/>
          <w:b w:val="false"/>
          <w:color w:val="000000"/>
          <w:sz w:val="20"/>
          <w:shd w:fill="FFFFFF" w:val="clear"/>
        </w:rPr>
        <w:t xml:space="preserve">The effective income tax rate for the six months ended June 30, 2023 was 23.8% compared to 18.3% for the six months ended June 30,2022. The effective tax rate for the six months ended June 30, 2023 </w:t>
      </w:r>
      <w:r>
        <w:rPr>
          <w:rFonts w:ascii="Times New Roman;sans-serif" w:hAnsi="Times New Roman;sans-serif"/>
          <w:b w:val="false"/>
          <w:color w:val="000000"/>
          <w:sz w:val="20"/>
        </w:rPr>
        <w:t>was higher than the statutory tax rate primarily due to earnings mix and foreign withholding taxes, partially offset by U.S. taxes on foreign earnings. The effective tax rate for the six months ended June 30, 2022 was lower than the statutory tax rate primarily due to U.S. taxes on foreign earnings and domestic tax credits, partially offset by state taxes.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file a consolidated U.S. federal income tax return, as well as separate and combined income tax returns in numerous state and international jurisdictions. The Company has not filed its initial consolidated U.S. federal income tax return and therefore there are no open IRS examinations. However, the Company is currently subject to examination by various U.S. state and international tax authorities where existing legal entities were transferred to the Company as part of the Separation. Management regularly assesses the potential outcomes of both ongoing and future examinations for the current and prior years and has concluded that the Company’s provision for income taxes is adequate. Management does not anticipate that ongoing audits or negotiations will conclude during the next 12 months.</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During the six months ended June 2023, the amount of net unrecognized tax positions decreased by $0.4. M</w:t>
      </w:r>
      <w:r>
        <w:rPr>
          <w:rFonts w:ascii="Times New Roman;sans-serif" w:hAnsi="Times New Roman;sans-serif"/>
          <w:b w:val="false"/>
          <w:color w:val="000000"/>
          <w:sz w:val="20"/>
          <w:shd w:fill="FFFFFF" w:val="clear"/>
        </w:rPr>
        <w:t>anagement believes that it is reasonably possible that the amount of unrecognized income tax benefits and interest may decrease during the next 12 months by approximately $1.0.</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STOCK COMPENSATION PLANS</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 xml:space="preserve">Prior to the Separation, certain Company employees were covered by the Former Parent-sponsored stock compensation arrangements. The stock compensation expense for the period prior to the Separation has been derived from the equity awards granted by Labcorp to the Company’s employees who are specifically identified in the plans, as well as an allocation of expense related to corporate employees of Labcorp. The Former Parent-sponsored stock compensation arrangements are approved under the Laboratory Corporation of America Holdings 2016 Omnibus Incentive Plan (the Labcorp Plan). In June of 2023, Fortrea’s Board of Directors approved Fortrea’s Omnibus Incentive Plan and Employee Stock Purchase Plan (the Plans) </w:t>
      </w:r>
      <w:r>
        <w:rPr>
          <w:rFonts w:ascii="Times New Roman;sans-serif" w:hAnsi="Times New Roman;sans-serif"/>
          <w:b w:val="false"/>
          <w:color w:val="000000"/>
          <w:sz w:val="20"/>
          <w:shd w:fill="FFFFFF" w:val="clear"/>
        </w:rPr>
        <w:t>and the current Board of Directors of Fortrea ratified the Plans by a unanimous written consent dated July 3, 2023</w:t>
      </w:r>
      <w:r>
        <w:rPr>
          <w:rFonts w:ascii="Times New Roman;sans-serif" w:hAnsi="Times New Roman;sans-serif"/>
          <w:b w:val="false"/>
          <w:color w:val="000000"/>
          <w:sz w:val="20"/>
        </w:rPr>
        <w:t xml:space="preserve">. </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As of</w:t>
      </w:r>
      <w:r>
        <w:rPr>
          <w:color w:val="000000"/>
        </w:rPr>
        <w:t xml:space="preserve"> </w:t>
      </w:r>
      <w:r>
        <w:rPr>
          <w:rFonts w:ascii="Times New Roman;sans-serif" w:hAnsi="Times New Roman;sans-serif"/>
          <w:b w:val="false"/>
          <w:color w:val="000000"/>
          <w:sz w:val="20"/>
        </w:rPr>
        <w:t>June 30, 2023, 11.0 and 1.8 shares were authorized for future grants under Fortrea’s Omnibus Incentive Plan and Employee Stock Purchase Plan, respectively. On July 18, 2023, all Labcorp equity incentive awards held by Fortrea employees that were outstanding on the distribution date were converted to 2.6 shares of Fortrea restricted stock units. Unamortized expense for these awards was approximately $72.1 million at the separation date and will be amortized over the remaining vesting periods of the awards.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TRANSACTIONS WITH FORMER PARENT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condensed consolidated and combined financial statements were prepared on a standalone basis and were derived from the condensed consolidated financial statements and accounting records of Labcorp. The following discussion summarizes activity between the Company and Labcorp.</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Allocation of General Corporate and Other Expenses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condensed consolidated and combined statements of operations include expenses for certain centralized functions and other programs provided and administered by Labcorp that are charged directly to the Company. In addition, for purposes of preparing these condensed consolidated and combined financial statements on a carve-out basis, a portion of Labcorp’s total corporate expenses has been allocated to the Company. See </w:t>
      </w:r>
      <w:r>
        <w:rPr>
          <w:rFonts w:ascii="Times New Roman;sans-serif" w:hAnsi="Times New Roman;sans-serif"/>
          <w:b w:val="false"/>
          <w:i/>
          <w:color w:val="000000"/>
          <w:sz w:val="20"/>
        </w:rPr>
        <w:t>Note 1, Basis of Financial Statement Presentation</w:t>
      </w:r>
      <w:r>
        <w:rPr>
          <w:color w:val="000000"/>
        </w:rPr>
        <w:t xml:space="preserve"> </w:t>
      </w:r>
      <w:r>
        <w:rPr>
          <w:rFonts w:ascii="Times New Roman;sans-serif" w:hAnsi="Times New Roman;sans-serif"/>
          <w:b w:val="false"/>
          <w:color w:val="000000"/>
          <w:sz w:val="20"/>
        </w:rPr>
        <w:t>for a discussion of the methodology used to allocate corporate-related costs for purposes of preparing these financial statements on a carve-out basis.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corporate and other allocations for the three and six months ended June 30, 2023 and 2022:</w:t>
      </w:r>
    </w:p>
    <w:tbl>
      <w:tblPr>
        <w:tblW w:w="8565" w:type="dxa"/>
        <w:jc w:val="left"/>
        <w:tblInd w:w="0" w:type="dxa"/>
        <w:tblLayout w:type="fixed"/>
        <w:tblCellMar>
          <w:top w:w="28" w:type="dxa"/>
          <w:left w:w="28" w:type="dxa"/>
          <w:bottom w:w="28" w:type="dxa"/>
          <w:right w:w="28" w:type="dxa"/>
        </w:tblCellMar>
      </w:tblPr>
      <w:tblGrid>
        <w:gridCol w:w="1351"/>
        <w:gridCol w:w="1186"/>
        <w:gridCol w:w="1198"/>
        <w:gridCol w:w="228"/>
        <w:gridCol w:w="666"/>
        <w:gridCol w:w="117"/>
        <w:gridCol w:w="117"/>
        <w:gridCol w:w="117"/>
        <w:gridCol w:w="117"/>
        <w:gridCol w:w="228"/>
        <w:gridCol w:w="552"/>
        <w:gridCol w:w="117"/>
        <w:gridCol w:w="109"/>
        <w:gridCol w:w="109"/>
        <w:gridCol w:w="109"/>
        <w:gridCol w:w="211"/>
        <w:gridCol w:w="616"/>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allocations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Included in the aforementioned amou</w:t>
      </w:r>
      <w:r>
        <w:rPr>
          <w:rFonts w:ascii="Times New Roman;sans-serif" w:hAnsi="Times New Roman;sans-serif"/>
          <w:b w:val="false"/>
          <w:color w:val="000000"/>
          <w:sz w:val="20"/>
          <w:shd w:fill="FFFFFF" w:val="clear"/>
        </w:rPr>
        <w:t xml:space="preserve">nts are </w:t>
      </w:r>
      <w:r>
        <w:rPr>
          <w:rFonts w:ascii="Times New Roman;sans-serif" w:hAnsi="Times New Roman;sans-serif"/>
          <w:b w:val="false"/>
          <w:color w:val="000000"/>
          <w:sz w:val="20"/>
        </w:rPr>
        <w:t>$74.2</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67.1</w:t>
      </w:r>
      <w:r>
        <w:rPr>
          <w:color w:val="000000"/>
          <w:shd w:fill="FFFFFF" w:val="clear"/>
        </w:rPr>
        <w:t xml:space="preserve"> </w:t>
      </w:r>
      <w:r>
        <w:rPr>
          <w:rFonts w:ascii="Times New Roman;sans-serif" w:hAnsi="Times New Roman;sans-serif"/>
          <w:b w:val="false"/>
          <w:color w:val="000000"/>
          <w:sz w:val="20"/>
          <w:shd w:fill="FFFFFF" w:val="clear"/>
        </w:rPr>
        <w:t xml:space="preserve">related to costs for certain centralized functions and programs provided and administered by Labcorp that are charged directly to the Company </w:t>
      </w:r>
      <w:r>
        <w:rPr>
          <w:rFonts w:ascii="Times New Roman;sans-serif" w:hAnsi="Times New Roman;sans-serif"/>
          <w:b w:val="false"/>
          <w:color w:val="000000"/>
          <w:sz w:val="20"/>
        </w:rPr>
        <w:t>for the three months ended June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$147.6</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142.8</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2023 and 2022</w:t>
      </w:r>
      <w:r>
        <w:rPr>
          <w:rFonts w:ascii="Times New Roman;sans-serif" w:hAnsi="Times New Roman;sans-serif"/>
          <w:b w:val="false"/>
          <w:color w:val="000000"/>
          <w:sz w:val="20"/>
          <w:shd w:fill="FFFFFF" w:val="clear"/>
        </w:rPr>
        <w:t xml:space="preserve">, respectively. In addition, a portion of Labcorp’s total corporate expenses has been allocated to the Company for services from Labcorp. These costs were $29.8 and $31.4 </w:t>
      </w:r>
      <w:r>
        <w:rPr>
          <w:rFonts w:ascii="Times New Roman;sans-serif" w:hAnsi="Times New Roman;sans-serif"/>
          <w:b w:val="false"/>
          <w:color w:val="000000"/>
          <w:sz w:val="20"/>
        </w:rPr>
        <w:t>for the three months ended June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$46.4</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52.5</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2023 and 2022</w:t>
      </w:r>
      <w:r>
        <w:rPr>
          <w:rFonts w:ascii="Times New Roman;sans-serif" w:hAnsi="Times New Roman;sans-serif"/>
          <w:b w:val="false"/>
          <w:color w:val="000000"/>
          <w:sz w:val="20"/>
          <w:shd w:fill="FFFFFF" w:val="clear"/>
        </w:rPr>
        <w:t>, respectively. The allocations of foreign exchange gain (loss) represent the allocation of the results of hedging activities performed by Labcorp on behalf of the Company.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Company has arrangements with third parties where the services are subcontracted to Labcorp (and its affiliates that were not part of the transaction). The Company’s direct costs include services purchased from Labcorp for commercial contracts totaling $27.0 and $23.9 </w:t>
      </w:r>
      <w:r>
        <w:rPr>
          <w:rFonts w:ascii="Times New Roman;sans-serif" w:hAnsi="Times New Roman;sans-serif"/>
          <w:b w:val="false"/>
          <w:color w:val="000000"/>
          <w:sz w:val="20"/>
        </w:rPr>
        <w:t>for the three months ended June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$48.8</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44.1</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2023 and 2022, respectively.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Hedging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not entered into any derivative contracts with external counterparties. However, foreign currency forward contracts with external counterparties are utilized to hedge certain foreign currency transactions with exposure predominantly to the Euro and British Pound. These contracts do not qualify for hedge accounting and the changes in fair value are recorded directly to earnings. Earnings related to these contracts were included in the condensed consolidated and combined statements of operations as part of corporate allocations.</w:t>
      </w:r>
    </w:p>
    <w:p>
      <w:pPr>
        <w:pStyle w:val="TextBody"/>
        <w:bidi w:val="0"/>
        <w:spacing w:lineRule="auto" w:line="288" w:before="0" w:after="180"/>
        <w:ind w:left="0" w:right="0" w:firstLine="270"/>
        <w:jc w:val="left"/>
        <w:rPr/>
      </w:pPr>
      <w:r>
        <w:rPr>
          <w:rFonts w:ascii="Times New Roman;sans-serif" w:hAnsi="Times New Roman;sans-serif"/>
          <w:b w:val="false"/>
          <w:color w:val="000000"/>
          <w:sz w:val="20"/>
          <w:shd w:fill="FFFFFF" w:val="clear"/>
        </w:rPr>
        <w:t>In August 2023</w:t>
      </w:r>
      <w:r>
        <w:rPr>
          <w:rFonts w:ascii="Times New Roman;sans-serif" w:hAnsi="Times New Roman;sans-serif"/>
          <w:b w:val="false"/>
          <w:color w:val="000000"/>
          <w:sz w:val="20"/>
        </w:rPr>
        <w:t xml:space="preserve">, the Company executed two interest rate swaps on its $500.0 term A loan with an aggregate notional amount of $150.0.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Transfers To and From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and from Labcorp are included within Former Parent company investment on the condensed consolidated and combined statements of changes in equity. The components of the transfers to and from Labcorp during the three and six months ended June 30, 2023 and 2022 were as follows:</w:t>
      </w:r>
    </w:p>
    <w:tbl>
      <w:tblPr>
        <w:tblW w:w="6260" w:type="dxa"/>
        <w:jc w:val="left"/>
        <w:tblInd w:w="0" w:type="dxa"/>
        <w:tblLayout w:type="fixed"/>
        <w:tblCellMar>
          <w:top w:w="28" w:type="dxa"/>
          <w:left w:w="28" w:type="dxa"/>
          <w:bottom w:w="28" w:type="dxa"/>
          <w:right w:w="28" w:type="dxa"/>
        </w:tblCellMar>
      </w:tblPr>
      <w:tblGrid>
        <w:gridCol w:w="1265"/>
        <w:gridCol w:w="1112"/>
        <w:gridCol w:w="1117"/>
        <w:gridCol w:w="109"/>
        <w:gridCol w:w="109"/>
        <w:gridCol w:w="109"/>
        <w:gridCol w:w="211"/>
        <w:gridCol w:w="841"/>
        <w:gridCol w:w="109"/>
        <w:gridCol w:w="109"/>
        <w:gridCol w:w="109"/>
        <w:gridCol w:w="109"/>
        <w:gridCol w:w="211"/>
        <w:gridCol w:w="58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transfers (to) from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85" w:type="dxa"/>
        <w:jc w:val="left"/>
        <w:tblInd w:w="0" w:type="dxa"/>
        <w:tblLayout w:type="fixed"/>
        <w:tblCellMar>
          <w:top w:w="28" w:type="dxa"/>
          <w:left w:w="28" w:type="dxa"/>
          <w:bottom w:w="28" w:type="dxa"/>
          <w:right w:w="28" w:type="dxa"/>
        </w:tblCellMar>
      </w:tblPr>
      <w:tblGrid>
        <w:gridCol w:w="1265"/>
        <w:gridCol w:w="1112"/>
        <w:gridCol w:w="1117"/>
        <w:gridCol w:w="109"/>
        <w:gridCol w:w="109"/>
        <w:gridCol w:w="109"/>
        <w:gridCol w:w="211"/>
        <w:gridCol w:w="841"/>
        <w:gridCol w:w="109"/>
        <w:gridCol w:w="109"/>
        <w:gridCol w:w="109"/>
        <w:gridCol w:w="109"/>
        <w:gridCol w:w="211"/>
        <w:gridCol w:w="51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transfers (to) from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SUPPLEMENTAL CASH FLOW INFORMATION</w:t>
      </w:r>
    </w:p>
    <w:tbl>
      <w:tblPr>
        <w:tblW w:w="6774" w:type="dxa"/>
        <w:jc w:val="left"/>
        <w:tblInd w:w="0" w:type="dxa"/>
        <w:tblLayout w:type="fixed"/>
        <w:tblCellMar>
          <w:top w:w="28" w:type="dxa"/>
          <w:left w:w="28" w:type="dxa"/>
          <w:bottom w:w="28" w:type="dxa"/>
          <w:right w:w="28" w:type="dxa"/>
        </w:tblCellMar>
      </w:tblPr>
      <w:tblGrid>
        <w:gridCol w:w="1688"/>
        <w:gridCol w:w="1486"/>
        <w:gridCol w:w="1490"/>
        <w:gridCol w:w="244"/>
        <w:gridCol w:w="470"/>
        <w:gridCol w:w="126"/>
        <w:gridCol w:w="126"/>
        <w:gridCol w:w="126"/>
        <w:gridCol w:w="126"/>
        <w:gridCol w:w="244"/>
        <w:gridCol w:w="470"/>
        <w:gridCol w:w="178"/>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schedule of cash flow information:</w:t>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period for:</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non-cash investing activities:</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accrued property, plant and equipment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non-cash transfers to (from) Former Parent:</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right-of-use lease assets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property, plant and equipment,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BUSINESS SEGMENT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are a summary of segment information for the three and six months ended June 30, 2023 and 2022.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allocates resources and assesses performance based on the underlying businesses which determines the Company's operating segments. The Company reports its business in two reportable segments; Clinical Services, which provides phase I-IV clinical trials, including clinical pharmacology and comprehensive clinical development capabilities, and Enabling Services, which provides post-approval patient access services and technology enabled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firstLine="360"/>
        <w:jc w:val="left"/>
        <w:rPr/>
      </w:pPr>
      <w:hyperlink w:anchor="if726e0c7af23418e9dce47e73d5d9f41_4">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solutions to support clinical trials. When determining the reportable segments, the Company aggregated operating segments based on their similar economic and operating characteristics. The CODM evaluates performance using revenue and segment operating income. Segment asset information is not presented because it is not used by the CODM at the segment level.</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 by reportable segment were as follows:</w:t>
      </w:r>
    </w:p>
    <w:tbl>
      <w:tblPr>
        <w:tblW w:w="8492" w:type="dxa"/>
        <w:jc w:val="left"/>
        <w:tblInd w:w="0" w:type="dxa"/>
        <w:tblLayout w:type="fixed"/>
        <w:tblCellMar>
          <w:top w:w="28" w:type="dxa"/>
          <w:left w:w="28" w:type="dxa"/>
          <w:bottom w:w="28" w:type="dxa"/>
          <w:right w:w="28" w:type="dxa"/>
        </w:tblCellMar>
      </w:tblPr>
      <w:tblGrid>
        <w:gridCol w:w="1215"/>
        <w:gridCol w:w="1070"/>
        <w:gridCol w:w="1074"/>
        <w:gridCol w:w="217"/>
        <w:gridCol w:w="634"/>
        <w:gridCol w:w="112"/>
        <w:gridCol w:w="112"/>
        <w:gridCol w:w="112"/>
        <w:gridCol w:w="112"/>
        <w:gridCol w:w="217"/>
        <w:gridCol w:w="634"/>
        <w:gridCol w:w="112"/>
        <w:gridCol w:w="109"/>
        <w:gridCol w:w="109"/>
        <w:gridCol w:w="109"/>
        <w:gridCol w:w="211"/>
        <w:gridCol w:w="766"/>
        <w:gridCol w:w="109"/>
        <w:gridCol w:w="109"/>
        <w:gridCol w:w="109"/>
        <w:gridCol w:w="109"/>
        <w:gridCol w:w="211"/>
        <w:gridCol w:w="7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from external customers: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external customers: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which are eliminated in consolidation, were as follows:</w:t>
      </w:r>
    </w:p>
    <w:tbl>
      <w:tblPr>
        <w:tblW w:w="7172" w:type="dxa"/>
        <w:jc w:val="left"/>
        <w:tblInd w:w="0" w:type="dxa"/>
        <w:tblLayout w:type="fixed"/>
        <w:tblCellMar>
          <w:top w:w="28" w:type="dxa"/>
          <w:left w:w="28" w:type="dxa"/>
          <w:bottom w:w="28" w:type="dxa"/>
          <w:right w:w="28" w:type="dxa"/>
        </w:tblCellMar>
      </w:tblPr>
      <w:tblGrid>
        <w:gridCol w:w="897"/>
        <w:gridCol w:w="788"/>
        <w:gridCol w:w="790"/>
        <w:gridCol w:w="268"/>
        <w:gridCol w:w="517"/>
        <w:gridCol w:w="138"/>
        <w:gridCol w:w="138"/>
        <w:gridCol w:w="138"/>
        <w:gridCol w:w="138"/>
        <w:gridCol w:w="268"/>
        <w:gridCol w:w="517"/>
        <w:gridCol w:w="138"/>
        <w:gridCol w:w="109"/>
        <w:gridCol w:w="109"/>
        <w:gridCol w:w="109"/>
        <w:gridCol w:w="244"/>
        <w:gridCol w:w="470"/>
        <w:gridCol w:w="126"/>
        <w:gridCol w:w="126"/>
        <w:gridCol w:w="126"/>
        <w:gridCol w:w="126"/>
        <w:gridCol w:w="244"/>
        <w:gridCol w:w="470"/>
        <w:gridCol w:w="178"/>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Spin, the condensed combined statements of operations include costs for certain centralized functions and programs provided and administered by Labcorp that are charged directly to the Company. These centralized functions and programs include, but are not limited to legal, tax, treasury, risk management, sales expenses, information technology, human resources, finance, supply chain, executive leadership and stock-based compensation. These additional allocations were reported as “corporate costs not allocated to segments” in the table below. Operating income of each segment represents revenues less directly identifiable expenses to arrive at operating income for the segment. </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by reportable segment was as follows:</w:t>
      </w:r>
    </w:p>
    <w:tbl>
      <w:tblPr>
        <w:tblW w:w="8324" w:type="dxa"/>
        <w:jc w:val="left"/>
        <w:tblInd w:w="0" w:type="dxa"/>
        <w:tblLayout w:type="fixed"/>
        <w:tblCellMar>
          <w:top w:w="28" w:type="dxa"/>
          <w:left w:w="28" w:type="dxa"/>
          <w:bottom w:w="28" w:type="dxa"/>
          <w:right w:w="28" w:type="dxa"/>
        </w:tblCellMar>
      </w:tblPr>
      <w:tblGrid>
        <w:gridCol w:w="1266"/>
        <w:gridCol w:w="1110"/>
        <w:gridCol w:w="1118"/>
        <w:gridCol w:w="228"/>
        <w:gridCol w:w="552"/>
        <w:gridCol w:w="117"/>
        <w:gridCol w:w="117"/>
        <w:gridCol w:w="117"/>
        <w:gridCol w:w="117"/>
        <w:gridCol w:w="228"/>
        <w:gridCol w:w="666"/>
        <w:gridCol w:w="117"/>
        <w:gridCol w:w="109"/>
        <w:gridCol w:w="109"/>
        <w:gridCol w:w="109"/>
        <w:gridCol w:w="211"/>
        <w:gridCol w:w="616"/>
        <w:gridCol w:w="109"/>
        <w:gridCol w:w="109"/>
        <w:gridCol w:w="109"/>
        <w:gridCol w:w="109"/>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not allocated to segments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 (loss):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(in millions)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is intended to provide a summary of significant factors relevant to the financial performance and condition of Fortrea Holdings Inc., which we refer to in this discussion and analysis as “Fortrea,” the “Company,” “our” and “we”. Fortrea has historically existed and functioned as part of Laboratory Corporation of America Holdings, which we refer to in this discussion and analysis as “Labcorp” or “Former Parent.” The following discussion and analysis of our financial condition and results of operations should be read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conjunction with our audited combined financial statements and corresponding notes and our unaudited condensed consolidated and combined financial statements and corresponding notes in Item 1. “Financial Statements.”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“Risk Factors” Section of our Information Statement filed with our Registration Statement on Form 10, as amended (the “Form 10”), as filed with the SEC. Factors that could cause actual results to differ from those reflected in forward-looking statements relating to our operations and business include, among other things: the risk that we may not realize some or all of the benefits expected to result from the Spin, or if such benefits are delayed; risks and consequences that are a result of the Spin; the impacts of becoming an independent public company; our reliance on Labcorp to provide financial reporting and other financial and accounting information for periods prior to the Spin through the end of the relevant transition agreements, as well as IT, accounting, finance, legal, human resources, and other services critical to our businesses; our dependence on third parties generally to provide services critical to our businesses throughout the transition period and beyond; the establishment of our accounting, enterprise resource planning, and other management systems post the transition period could cost more or take longer than anticipated; the impact of the rebranding of the Company; our ability to successfully implement our business strategies and execute our long-term value creation strategy; risks and expenses associated with our international operations and currency fluctuations; our customer or therapeutic area concentrations; any further deterioration in the macroeconomic environment, which could lead to defaults or cancellations by our customers; the risk that our backlog and net new business may not rebound after the Spin to the extent or over the time period we anticipate, that such measures may not be indicative of our future revenues and that we might not realize all of the anticipated future revenue reflected in our backlog; our ability to generate sufficient net new business awards, or if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 and from time to time in documents that we file with the SEC.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Information Statement filed with our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is a leading global contract research organization (“CRO”) providing clinical development and patient access solutions to pharmaceutical, biotechnology and medical device customers. We offer customers highly flexible delivery models that include Full Service, Functional Service Provider (“FSP”), and Hybrid structures. We believe we are well positioned to leverage our global scale, access to clinical data-driven insights, industry network, and decades of experience to bring customers tailored solutions. Fortrea intends to capitalize on the global demand for clinical development services across a diverse set of more than 20 therapeutic areas.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team of approximately 19,000 employees conducts operations in more than 90 countries and delivers comprehensive phase I – IV clinical trial management, clinical pharmacology, differentiated technology enabled trial solutions and post-approval services for our customers. Our offering is scaled to deliver focused and agile solutions to customers globally, streamlining the biopharmaceutical product and medical device development process. Additionally, we successfully utilize enabling technologies to optimize processes and evolve with a dynamic marketplace.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business in two reportable segments - Clinical Services and Enabling Services. The Clinical Services segment comprises services across the clinical pharmacology and clinical development spectrum. The Enabling Services segment provides patient access and clinical trial technology solutions.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Separation from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Labcorp completed the Spin of Fortrea through a pro-rata distribution of one share of Fortrea common stock for every share of Labcorp common stock held at the close of business on the record date of June 20, 2023. Fortrea began to trade as a separate public company (NASDAQ: FTRE) on July 3, 2023.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Incremental Independent Public Company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and combined statements of operations include costs for certain centralized functions and programs provided and administered by Labcorp that were allocated to Fortrea in the periods presented prior to the Separation. These centralized functions and programs include, but are not limited to, legal, tax, treasury, risk management, sales expenses, IT, human resources, finance, supply chain, executive leadership and stock-based compensation.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expenses were allocated to the Company based on direct usage when identifiable or, when not directly identifiable, on the basis of proportional net revenues or headcount or other reasonable driver, as applicable. The Company considers the basis on which the expenses have been allocated to reasonably reflect the utilization of services provided to, or the benefit received by, the Company during the periods presented. However, the allocations may not reflect the expenses the Company would have incurred as an independent company for the periods presented. Actual costs that may have been incurred if the Company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will be provided by Labcorp under transition services agreements.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costs of services represented by these allocations may vary significantly from the amounts allocated to the Company in the accompanying financial statements.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with Three Months Ended June 30, 2022 </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5076" w:type="dxa"/>
        <w:jc w:val="left"/>
        <w:tblInd w:w="0" w:type="dxa"/>
        <w:tblLayout w:type="fixed"/>
        <w:tblCellMar>
          <w:top w:w="28" w:type="dxa"/>
          <w:left w:w="28" w:type="dxa"/>
          <w:bottom w:w="28" w:type="dxa"/>
          <w:right w:w="28" w:type="dxa"/>
        </w:tblCellMar>
      </w:tblPr>
      <w:tblGrid>
        <w:gridCol w:w="575"/>
        <w:gridCol w:w="505"/>
        <w:gridCol w:w="509"/>
        <w:gridCol w:w="217"/>
        <w:gridCol w:w="634"/>
        <w:gridCol w:w="112"/>
        <w:gridCol w:w="112"/>
        <w:gridCol w:w="112"/>
        <w:gridCol w:w="112"/>
        <w:gridCol w:w="217"/>
        <w:gridCol w:w="634"/>
        <w:gridCol w:w="112"/>
        <w:gridCol w:w="109"/>
        <w:gridCol w:w="109"/>
        <w:gridCol w:w="109"/>
        <w:gridCol w:w="239"/>
        <w:gridCol w:w="241"/>
        <w:gridCol w:w="41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for the three months ended June 30, 2023 were $793.0, essentially flat over revenues of $793.1 in the corresponding period in 2022. The change in revenues was due to an increase in organic revenues of 0.1% and unfavorable foreign currency translation of 0.1%. The Company defines organic growth or decline as the increase or decrease in revenues excluding the year over year impact of acquisitions, divestitures and currency. The 0.1% increase in organic revenues was primarily driven by an increase in pass through revenues offset by lower service revenues driven by the impact of a prior year FSP cancellation, a customer concession and the mix and quantity of recent new business wins.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Services segment’s revenues for the three months ended June 30, 2023 were $726.1, an increase of 0.4% compared to revenues of $723.3 in the corresponding period in 2022. The increase in revenues was driven by an increase in pass through revenues offset by lower service revenues driven by the impact of a prior year FSP cancellation, a customer concession and the mix and quantity of recent new business wins.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Enabling Services segment’s revenues for the three months ended June 30, 2023 were $66.9, a decrease of (4.2)% compared to revenues of $69.8 in the corresponding period in 2022. The decrease in revenues was due to customer cancellations.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 Costs, Exclusive of Depreciation and Amortization</w:t>
      </w:r>
    </w:p>
    <w:tbl>
      <w:tblPr>
        <w:tblW w:w="6269" w:type="dxa"/>
        <w:jc w:val="left"/>
        <w:tblInd w:w="0" w:type="dxa"/>
        <w:tblLayout w:type="fixed"/>
        <w:tblCellMar>
          <w:top w:w="28" w:type="dxa"/>
          <w:left w:w="28" w:type="dxa"/>
          <w:bottom w:w="28" w:type="dxa"/>
          <w:right w:w="28" w:type="dxa"/>
        </w:tblCellMar>
      </w:tblPr>
      <w:tblGrid>
        <w:gridCol w:w="939"/>
        <w:gridCol w:w="827"/>
        <w:gridCol w:w="829"/>
        <w:gridCol w:w="211"/>
        <w:gridCol w:w="616"/>
        <w:gridCol w:w="271"/>
        <w:gridCol w:w="109"/>
        <w:gridCol w:w="109"/>
        <w:gridCol w:w="109"/>
        <w:gridCol w:w="211"/>
        <w:gridCol w:w="616"/>
        <w:gridCol w:w="271"/>
        <w:gridCol w:w="109"/>
        <w:gridCol w:w="109"/>
        <w:gridCol w:w="109"/>
        <w:gridCol w:w="203"/>
        <w:gridCol w:w="203"/>
        <w:gridCol w:w="418"/>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as a % of revenues</w:t>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increased 5.7% during the three months ended June 30, 2023 as compared with the corresponding period in 2022. Direct costs increased as a percentage of revenues to 81.9% during the three months ended June 30, 2023 as compared to 77.5% in the corresponding period in 2022. This increase in direct costs was primarily due to higher pass through costs partially offset by a decrease in personnel costs. Pass through costs are paid by the customer resulting in revenue fully offset by these direct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Exclusive of Depreciation and Amortization</w:t>
      </w:r>
    </w:p>
    <w:tbl>
      <w:tblPr>
        <w:tblW w:w="7255" w:type="dxa"/>
        <w:jc w:val="left"/>
        <w:tblInd w:w="0" w:type="dxa"/>
        <w:tblLayout w:type="fixed"/>
        <w:tblCellMar>
          <w:top w:w="28" w:type="dxa"/>
          <w:left w:w="28" w:type="dxa"/>
          <w:bottom w:w="28" w:type="dxa"/>
          <w:right w:w="28" w:type="dxa"/>
        </w:tblCellMar>
      </w:tblPr>
      <w:tblGrid>
        <w:gridCol w:w="1354"/>
        <w:gridCol w:w="1189"/>
        <w:gridCol w:w="1192"/>
        <w:gridCol w:w="240"/>
        <w:gridCol w:w="582"/>
        <w:gridCol w:w="124"/>
        <w:gridCol w:w="124"/>
        <w:gridCol w:w="124"/>
        <w:gridCol w:w="124"/>
        <w:gridCol w:w="240"/>
        <w:gridCol w:w="582"/>
        <w:gridCol w:w="124"/>
        <w:gridCol w:w="109"/>
        <w:gridCol w:w="109"/>
        <w:gridCol w:w="109"/>
        <w:gridCol w:w="255"/>
        <w:gridCol w:w="256"/>
        <w:gridCol w:w="418"/>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administrative payroll and related benefit charges, advertising and promotional expenses, administrative travel, an allocation of facility charges and IT costs, and corporate allocations. Selling, general and administrative expenses increased by 13.5% during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ended June 30, 2023 as compared with the corresponding period in 2022. The increase in selling, general and administrative expenses was primarily due to an increase in indirect labor, credit loss provisions and an adjustment of $5.4 additional one-time costs from Former Parent.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Expense</w:t>
      </w:r>
    </w:p>
    <w:tbl>
      <w:tblPr>
        <w:tblW w:w="5391" w:type="dxa"/>
        <w:jc w:val="left"/>
        <w:tblInd w:w="0" w:type="dxa"/>
        <w:tblLayout w:type="fixed"/>
        <w:tblCellMar>
          <w:top w:w="28" w:type="dxa"/>
          <w:left w:w="28" w:type="dxa"/>
          <w:bottom w:w="28" w:type="dxa"/>
          <w:right w:w="28" w:type="dxa"/>
        </w:tblCellMar>
      </w:tblPr>
      <w:tblGrid>
        <w:gridCol w:w="679"/>
        <w:gridCol w:w="597"/>
        <w:gridCol w:w="599"/>
        <w:gridCol w:w="268"/>
        <w:gridCol w:w="517"/>
        <w:gridCol w:w="138"/>
        <w:gridCol w:w="138"/>
        <w:gridCol w:w="138"/>
        <w:gridCol w:w="138"/>
        <w:gridCol w:w="268"/>
        <w:gridCol w:w="517"/>
        <w:gridCol w:w="138"/>
        <w:gridCol w:w="109"/>
        <w:gridCol w:w="109"/>
        <w:gridCol w:w="109"/>
        <w:gridCol w:w="255"/>
        <w:gridCol w:w="256"/>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expense for the three months ended June 30, 2023 as compared to the three months ended June 30, 2022, was due to the increase of property, plant and equipment as compared to the prior year.</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Expense</w:t>
      </w:r>
    </w:p>
    <w:tbl>
      <w:tblPr>
        <w:tblW w:w="7178" w:type="dxa"/>
        <w:jc w:val="left"/>
        <w:tblInd w:w="0" w:type="dxa"/>
        <w:tblLayout w:type="fixed"/>
        <w:tblCellMar>
          <w:top w:w="28" w:type="dxa"/>
          <w:left w:w="28" w:type="dxa"/>
          <w:bottom w:w="28" w:type="dxa"/>
          <w:right w:w="28" w:type="dxa"/>
        </w:tblCellMar>
      </w:tblPr>
      <w:tblGrid>
        <w:gridCol w:w="1336"/>
        <w:gridCol w:w="1173"/>
        <w:gridCol w:w="1180"/>
        <w:gridCol w:w="240"/>
        <w:gridCol w:w="582"/>
        <w:gridCol w:w="124"/>
        <w:gridCol w:w="124"/>
        <w:gridCol w:w="124"/>
        <w:gridCol w:w="124"/>
        <w:gridCol w:w="240"/>
        <w:gridCol w:w="582"/>
        <w:gridCol w:w="124"/>
        <w:gridCol w:w="109"/>
        <w:gridCol w:w="109"/>
        <w:gridCol w:w="109"/>
        <w:gridCol w:w="239"/>
        <w:gridCol w:w="241"/>
        <w:gridCol w:w="418"/>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and other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decrease in amortization of intangibles and other assets during the three months ended June 30, 2023, as compared to the corresponding period in 2022, was not significant.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 Charges</w:t>
      </w:r>
    </w:p>
    <w:tbl>
      <w:tblPr>
        <w:tblW w:w="6294" w:type="dxa"/>
        <w:jc w:val="left"/>
        <w:tblInd w:w="0" w:type="dxa"/>
        <w:tblLayout w:type="fixed"/>
        <w:tblCellMar>
          <w:top w:w="28" w:type="dxa"/>
          <w:left w:w="28" w:type="dxa"/>
          <w:bottom w:w="28" w:type="dxa"/>
          <w:right w:w="28" w:type="dxa"/>
        </w:tblCellMar>
      </w:tblPr>
      <w:tblGrid>
        <w:gridCol w:w="978"/>
        <w:gridCol w:w="860"/>
        <w:gridCol w:w="862"/>
        <w:gridCol w:w="253"/>
        <w:gridCol w:w="488"/>
        <w:gridCol w:w="131"/>
        <w:gridCol w:w="131"/>
        <w:gridCol w:w="131"/>
        <w:gridCol w:w="131"/>
        <w:gridCol w:w="253"/>
        <w:gridCol w:w="614"/>
        <w:gridCol w:w="131"/>
        <w:gridCol w:w="109"/>
        <w:gridCol w:w="109"/>
        <w:gridCol w:w="109"/>
        <w:gridCol w:w="293"/>
        <w:gridCol w:w="293"/>
        <w:gridCol w:w="418"/>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the Company recorded net restructuring charges of $3.9, which is reflected within restructuring and other charges in the condensed consolidated and combined statements of operations. The charges comprised of $2.2 in severance and other personnel costs and $1.7 in lease and other facility-related costs associated with general cost improvement and headcount reduction initiatives at various locations around the world.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2022, the Company recorded net restructuring charges of $13.0, which is reflected within Restructuring and other charges in the condensed consolidated and combined statements of operations. The charges comprised of $10.5 in severance and other personnel costs and $2.5 in lease and other facility-related costs associated with general cost improvement and headcount reduction initiatives at various locations around the world.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Gain (Loss)</w:t>
      </w:r>
    </w:p>
    <w:tbl>
      <w:tblPr>
        <w:tblW w:w="6053" w:type="dxa"/>
        <w:jc w:val="left"/>
        <w:tblInd w:w="0" w:type="dxa"/>
        <w:tblLayout w:type="fixed"/>
        <w:tblCellMar>
          <w:top w:w="28" w:type="dxa"/>
          <w:left w:w="28" w:type="dxa"/>
          <w:bottom w:w="28" w:type="dxa"/>
          <w:right w:w="28" w:type="dxa"/>
        </w:tblCellMar>
      </w:tblPr>
      <w:tblGrid>
        <w:gridCol w:w="890"/>
        <w:gridCol w:w="783"/>
        <w:gridCol w:w="786"/>
        <w:gridCol w:w="253"/>
        <w:gridCol w:w="488"/>
        <w:gridCol w:w="131"/>
        <w:gridCol w:w="131"/>
        <w:gridCol w:w="131"/>
        <w:gridCol w:w="131"/>
        <w:gridCol w:w="253"/>
        <w:gridCol w:w="614"/>
        <w:gridCol w:w="131"/>
        <w:gridCol w:w="109"/>
        <w:gridCol w:w="109"/>
        <w:gridCol w:w="109"/>
        <w:gridCol w:w="293"/>
        <w:gridCol w:w="293"/>
        <w:gridCol w:w="418"/>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foreign exchange gain (loss) for the three months ended June 30, 2023, as compared to the three months ended June 30, 2022, was primarily due to the relative strengthening of the U.S. Dollar against the British Pound resulting in $8.6 in foreign exchange gains offset by $3.2 of allocated hedging losses from the Labcorp hedging program for 2023. For the three months ended June 30, 2022, foreign exchange gains were $18.9 offset by $6.9 of allocated hedging losses from the Labcorp hedging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6348" w:type="dxa"/>
        <w:jc w:val="left"/>
        <w:tblInd w:w="0" w:type="dxa"/>
        <w:tblLayout w:type="fixed"/>
        <w:tblCellMar>
          <w:top w:w="28" w:type="dxa"/>
          <w:left w:w="28" w:type="dxa"/>
          <w:bottom w:w="28" w:type="dxa"/>
          <w:right w:w="28" w:type="dxa"/>
        </w:tblCellMar>
      </w:tblPr>
      <w:tblGrid>
        <w:gridCol w:w="1446"/>
        <w:gridCol w:w="1267"/>
        <w:gridCol w:w="1277"/>
        <w:gridCol w:w="211"/>
        <w:gridCol w:w="511"/>
        <w:gridCol w:w="271"/>
        <w:gridCol w:w="109"/>
        <w:gridCol w:w="109"/>
        <w:gridCol w:w="109"/>
        <w:gridCol w:w="211"/>
        <w:gridCol w:w="511"/>
        <w:gridCol w:w="316"/>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as a % of income before tax</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Company's effective tax rate was 27.2% compared to the 2022 tax rate of 20.6%. This fluctuation was primarily due to earnings mix.</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Results by Segment</w:t>
      </w:r>
    </w:p>
    <w:tbl>
      <w:tblPr>
        <w:tblW w:w="6650" w:type="dxa"/>
        <w:jc w:val="left"/>
        <w:tblInd w:w="0" w:type="dxa"/>
        <w:tblLayout w:type="fixed"/>
        <w:tblCellMar>
          <w:top w:w="28" w:type="dxa"/>
          <w:left w:w="28" w:type="dxa"/>
          <w:bottom w:w="28" w:type="dxa"/>
          <w:right w:w="28" w:type="dxa"/>
        </w:tblCellMar>
      </w:tblPr>
      <w:tblGrid>
        <w:gridCol w:w="1107"/>
        <w:gridCol w:w="975"/>
        <w:gridCol w:w="978"/>
        <w:gridCol w:w="228"/>
        <w:gridCol w:w="552"/>
        <w:gridCol w:w="117"/>
        <w:gridCol w:w="117"/>
        <w:gridCol w:w="117"/>
        <w:gridCol w:w="117"/>
        <w:gridCol w:w="228"/>
        <w:gridCol w:w="666"/>
        <w:gridCol w:w="117"/>
        <w:gridCol w:w="109"/>
        <w:gridCol w:w="109"/>
        <w:gridCol w:w="109"/>
        <w:gridCol w:w="293"/>
        <w:gridCol w:w="293"/>
        <w:gridCol w:w="41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Services operating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 operating income was $74.1 for the three months ended June 30, 2023, a decrease of 36.1% from operating income of $116.0 in the corresponding period of 2022. The decrease in operating income was primarily due to lower service revenues driven by the impact of a prior year FSP cancellation, a customer concession, the mix and quantity of recent new business wins and an increased provision for credit losses. This was partially offset by decreased personnel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 was $1.2 for the three months ended June 30, 2023, a decrease of 89.0% from operating income of $10.9 in the corresponding period of 2022. The decrease was driven by lower revenues combined with investments in resources related to servicing a recent new award.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2023 compared with six months ended June 30, 2022</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5313" w:type="dxa"/>
        <w:jc w:val="left"/>
        <w:tblInd w:w="0" w:type="dxa"/>
        <w:tblLayout w:type="fixed"/>
        <w:tblCellMar>
          <w:top w:w="28" w:type="dxa"/>
          <w:left w:w="28" w:type="dxa"/>
          <w:bottom w:w="28" w:type="dxa"/>
          <w:right w:w="28" w:type="dxa"/>
        </w:tblCellMar>
      </w:tblPr>
      <w:tblGrid>
        <w:gridCol w:w="575"/>
        <w:gridCol w:w="505"/>
        <w:gridCol w:w="509"/>
        <w:gridCol w:w="211"/>
        <w:gridCol w:w="766"/>
        <w:gridCol w:w="109"/>
        <w:gridCol w:w="109"/>
        <w:gridCol w:w="109"/>
        <w:gridCol w:w="109"/>
        <w:gridCol w:w="211"/>
        <w:gridCol w:w="766"/>
        <w:gridCol w:w="109"/>
        <w:gridCol w:w="109"/>
        <w:gridCol w:w="109"/>
        <w:gridCol w:w="109"/>
        <w:gridCol w:w="239"/>
        <w:gridCol w:w="241"/>
        <w:gridCol w:w="41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for the six months ended June 30, 2023, were $1,557.2, a decrease of 0.9% over revenues of $1,572.1 in the corresponding period in 2022. The decrease in revenues was due to a decline in organic revenues of 0.2% and unfavorable foreign currency translation of 0.7%. The Company defines organic growth or decline as the increase or decrease in revenues excluding the year over year impact of acquisitions, divestitures and currency. The 0.2% decrease in organic revenues was primarily driven by an increase in pass through revenues offset by lower service revenues driven by the impact of a prior year FSP cancellation, a customer concession and the mix and quantity of recent new business wins.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Services segment’s revenues for the six months ended June 30, 2023 were $1,418.1, a decrease of 0.9% compared to revenues of $1,430.4 in the corresponding period in 2022. The decrease in revenues was driven by an increase in pass through revenues offset by lower service revenues driven by the impact of a prior year FSP cancellation, a customer concession and the mix and quantity of recent new business wins.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Enabling Services segment’s revenues for the six months ended June 30, 2023 were $139.1, a decrease of 1.8% compared to revenues of $141.7 in the corresponding period in 2022. The decrease in revenues was due to customer cancellations.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 Costs, Exclusive of Depreciation and Amortization</w:t>
      </w:r>
    </w:p>
    <w:tbl>
      <w:tblPr>
        <w:tblW w:w="6569" w:type="dxa"/>
        <w:jc w:val="left"/>
        <w:tblInd w:w="0" w:type="dxa"/>
        <w:tblLayout w:type="fixed"/>
        <w:tblCellMar>
          <w:top w:w="28" w:type="dxa"/>
          <w:left w:w="28" w:type="dxa"/>
          <w:bottom w:w="28" w:type="dxa"/>
          <w:right w:w="28" w:type="dxa"/>
        </w:tblCellMar>
      </w:tblPr>
      <w:tblGrid>
        <w:gridCol w:w="939"/>
        <w:gridCol w:w="827"/>
        <w:gridCol w:w="829"/>
        <w:gridCol w:w="211"/>
        <w:gridCol w:w="766"/>
        <w:gridCol w:w="271"/>
        <w:gridCol w:w="109"/>
        <w:gridCol w:w="109"/>
        <w:gridCol w:w="109"/>
        <w:gridCol w:w="211"/>
        <w:gridCol w:w="766"/>
        <w:gridCol w:w="271"/>
        <w:gridCol w:w="109"/>
        <w:gridCol w:w="109"/>
        <w:gridCol w:w="109"/>
        <w:gridCol w:w="203"/>
        <w:gridCol w:w="203"/>
        <w:gridCol w:w="418"/>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as a % of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increased 2.6% during the six months ended June 30, 2023 as compared with the corresponding period in 2022. Direct costs increased as a percentage of revenues to 82.6% during the six months ended June 30, 2023 as compared to 79.7% in the corresponding period in 2022. This increase in direct costs was primarily due to higher pass through costs partially offset by a decrease in personnel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Exclusive of Depreciation and Amortization</w:t>
      </w:r>
    </w:p>
    <w:tbl>
      <w:tblPr>
        <w:tblW w:w="7085" w:type="dxa"/>
        <w:jc w:val="left"/>
        <w:tblInd w:w="0" w:type="dxa"/>
        <w:tblLayout w:type="fixed"/>
        <w:tblCellMar>
          <w:top w:w="28" w:type="dxa"/>
          <w:left w:w="28" w:type="dxa"/>
          <w:bottom w:w="28" w:type="dxa"/>
          <w:right w:w="28" w:type="dxa"/>
        </w:tblCellMar>
      </w:tblPr>
      <w:tblGrid>
        <w:gridCol w:w="1354"/>
        <w:gridCol w:w="1189"/>
        <w:gridCol w:w="1192"/>
        <w:gridCol w:w="211"/>
        <w:gridCol w:w="616"/>
        <w:gridCol w:w="109"/>
        <w:gridCol w:w="109"/>
        <w:gridCol w:w="109"/>
        <w:gridCol w:w="109"/>
        <w:gridCol w:w="211"/>
        <w:gridCol w:w="616"/>
        <w:gridCol w:w="109"/>
        <w:gridCol w:w="109"/>
        <w:gridCol w:w="109"/>
        <w:gridCol w:w="109"/>
        <w:gridCol w:w="203"/>
        <w:gridCol w:w="203"/>
        <w:gridCol w:w="418"/>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administrative payroll and related benefit charges, advertising and promotional expenses, administrative travel, an allocation of facility charges and IT costs, and corporate allocations. Selling, general and administrative expenses increased 8.9% during the six months ended June 30, 2023 as compared with the corresponding period in 2022. The change in selling, general and administrative expenses was primarily due to an increase in indirect labor and credit loss provisions.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Expense</w:t>
      </w:r>
    </w:p>
    <w:tbl>
      <w:tblPr>
        <w:tblW w:w="5243" w:type="dxa"/>
        <w:jc w:val="left"/>
        <w:tblInd w:w="0" w:type="dxa"/>
        <w:tblLayout w:type="fixed"/>
        <w:tblCellMar>
          <w:top w:w="28" w:type="dxa"/>
          <w:left w:w="28" w:type="dxa"/>
          <w:bottom w:w="28" w:type="dxa"/>
          <w:right w:w="28" w:type="dxa"/>
        </w:tblCellMar>
      </w:tblPr>
      <w:tblGrid>
        <w:gridCol w:w="679"/>
        <w:gridCol w:w="597"/>
        <w:gridCol w:w="599"/>
        <w:gridCol w:w="219"/>
        <w:gridCol w:w="532"/>
        <w:gridCol w:w="113"/>
        <w:gridCol w:w="113"/>
        <w:gridCol w:w="113"/>
        <w:gridCol w:w="113"/>
        <w:gridCol w:w="219"/>
        <w:gridCol w:w="532"/>
        <w:gridCol w:w="113"/>
        <w:gridCol w:w="109"/>
        <w:gridCol w:w="109"/>
        <w:gridCol w:w="109"/>
        <w:gridCol w:w="255"/>
        <w:gridCol w:w="256"/>
        <w:gridCol w:w="463"/>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expense for the six months ended June 30, 2023, as compared to the six months ended June 30, 2022, was primarily due to the increase of property, plant and equipment as part of the Spin.</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Expense</w:t>
      </w:r>
    </w:p>
    <w:tbl>
      <w:tblPr>
        <w:tblW w:w="6981" w:type="dxa"/>
        <w:jc w:val="left"/>
        <w:tblInd w:w="0" w:type="dxa"/>
        <w:tblLayout w:type="fixed"/>
        <w:tblCellMar>
          <w:top w:w="28" w:type="dxa"/>
          <w:left w:w="28" w:type="dxa"/>
          <w:bottom w:w="28" w:type="dxa"/>
          <w:right w:w="28" w:type="dxa"/>
        </w:tblCellMar>
      </w:tblPr>
      <w:tblGrid>
        <w:gridCol w:w="1336"/>
        <w:gridCol w:w="1173"/>
        <w:gridCol w:w="1180"/>
        <w:gridCol w:w="219"/>
        <w:gridCol w:w="532"/>
        <w:gridCol w:w="113"/>
        <w:gridCol w:w="113"/>
        <w:gridCol w:w="113"/>
        <w:gridCol w:w="113"/>
        <w:gridCol w:w="219"/>
        <w:gridCol w:w="532"/>
        <w:gridCol w:w="113"/>
        <w:gridCol w:w="109"/>
        <w:gridCol w:w="109"/>
        <w:gridCol w:w="109"/>
        <w:gridCol w:w="239"/>
        <w:gridCol w:w="241"/>
        <w:gridCol w:w="418"/>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and other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amortization of intangibles and other assets during the six months ended June 30, 2023, as compared to the corresponding period in 2022, is primarily the result of the impairment of technology assets that occurred in the fourth quarter of 2022.</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 Charges</w:t>
      </w:r>
    </w:p>
    <w:tbl>
      <w:tblPr>
        <w:tblW w:w="6095" w:type="dxa"/>
        <w:jc w:val="left"/>
        <w:tblInd w:w="0" w:type="dxa"/>
        <w:tblLayout w:type="fixed"/>
        <w:tblCellMar>
          <w:top w:w="28" w:type="dxa"/>
          <w:left w:w="28" w:type="dxa"/>
          <w:bottom w:w="28" w:type="dxa"/>
          <w:right w:w="28" w:type="dxa"/>
        </w:tblCellMar>
      </w:tblPr>
      <w:tblGrid>
        <w:gridCol w:w="978"/>
        <w:gridCol w:w="860"/>
        <w:gridCol w:w="862"/>
        <w:gridCol w:w="231"/>
        <w:gridCol w:w="446"/>
        <w:gridCol w:w="119"/>
        <w:gridCol w:w="119"/>
        <w:gridCol w:w="119"/>
        <w:gridCol w:w="119"/>
        <w:gridCol w:w="231"/>
        <w:gridCol w:w="561"/>
        <w:gridCol w:w="119"/>
        <w:gridCol w:w="109"/>
        <w:gridCol w:w="109"/>
        <w:gridCol w:w="109"/>
        <w:gridCol w:w="293"/>
        <w:gridCol w:w="293"/>
        <w:gridCol w:w="418"/>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recorded net restructuring charges of $5.1, which is reflected within restructuring and other charges in the condensed consolidated and combined statements of operations. The charges comprised of $3.0 in severance and other personnel costs and $2.1 in lease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facility-related costs associated with general cost improvement and headcount reduction initiatives at various locations around the world.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the Company recorded net restructuring charges of $22.6, which is reflected within restructuring and other charges in the condensed consolidated and combined statements of operations. The charges comprised of $13.1 in severance and other personnel costs and $9.5 in lease and other facility-related costs associated with general cost improvement and headcount reduction initiatives at various locations around the world.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Gain (Loss)</w:t>
      </w:r>
    </w:p>
    <w:tbl>
      <w:tblPr>
        <w:tblW w:w="5963" w:type="dxa"/>
        <w:jc w:val="left"/>
        <w:tblInd w:w="0" w:type="dxa"/>
        <w:tblLayout w:type="fixed"/>
        <w:tblCellMar>
          <w:top w:w="28" w:type="dxa"/>
          <w:left w:w="28" w:type="dxa"/>
          <w:bottom w:w="28" w:type="dxa"/>
          <w:right w:w="28" w:type="dxa"/>
        </w:tblCellMar>
      </w:tblPr>
      <w:tblGrid>
        <w:gridCol w:w="890"/>
        <w:gridCol w:w="783"/>
        <w:gridCol w:w="786"/>
        <w:gridCol w:w="223"/>
        <w:gridCol w:w="508"/>
        <w:gridCol w:w="115"/>
        <w:gridCol w:w="115"/>
        <w:gridCol w:w="115"/>
        <w:gridCol w:w="115"/>
        <w:gridCol w:w="223"/>
        <w:gridCol w:w="540"/>
        <w:gridCol w:w="115"/>
        <w:gridCol w:w="109"/>
        <w:gridCol w:w="109"/>
        <w:gridCol w:w="109"/>
        <w:gridCol w:w="344"/>
        <w:gridCol w:w="346"/>
        <w:gridCol w:w="418"/>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foreign exchange gain (loss) for the six months ended June 30, 2023, as compared to the six months ended June 30, 2022, was primarily due to the relative strengthening of the U.S. Dollar against most major foreign currencies resulting in $2.1 in foreign exchange gains offset by $2.2 of allocated hedging losses from the Labcorp hedging program for 2023. For the six months ended June 30, 2022, foreign exchange gains of $24.2 were offset by $7.9 of allocated hedging losses from the Labcorp hedging program.</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6348" w:type="dxa"/>
        <w:jc w:val="left"/>
        <w:tblInd w:w="0" w:type="dxa"/>
        <w:tblLayout w:type="fixed"/>
        <w:tblCellMar>
          <w:top w:w="28" w:type="dxa"/>
          <w:left w:w="28" w:type="dxa"/>
          <w:bottom w:w="28" w:type="dxa"/>
          <w:right w:w="28" w:type="dxa"/>
        </w:tblCellMar>
      </w:tblPr>
      <w:tblGrid>
        <w:gridCol w:w="1446"/>
        <w:gridCol w:w="1267"/>
        <w:gridCol w:w="1277"/>
        <w:gridCol w:w="211"/>
        <w:gridCol w:w="511"/>
        <w:gridCol w:w="271"/>
        <w:gridCol w:w="109"/>
        <w:gridCol w:w="109"/>
        <w:gridCol w:w="109"/>
        <w:gridCol w:w="211"/>
        <w:gridCol w:w="511"/>
        <w:gridCol w:w="316"/>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as a % of income before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Company's effective tax rate was 23.8% compared to the 2022 tax rate of 18.3%. This change was primarily due to earnings mix.</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Results by Segment</w:t>
      </w:r>
    </w:p>
    <w:tbl>
      <w:tblPr>
        <w:tblW w:w="6590" w:type="dxa"/>
        <w:jc w:val="left"/>
        <w:tblInd w:w="0" w:type="dxa"/>
        <w:tblLayout w:type="fixed"/>
        <w:tblCellMar>
          <w:top w:w="28" w:type="dxa"/>
          <w:left w:w="28" w:type="dxa"/>
          <w:bottom w:w="28" w:type="dxa"/>
          <w:right w:w="28" w:type="dxa"/>
        </w:tblCellMar>
      </w:tblPr>
      <w:tblGrid>
        <w:gridCol w:w="1107"/>
        <w:gridCol w:w="975"/>
        <w:gridCol w:w="978"/>
        <w:gridCol w:w="211"/>
        <w:gridCol w:w="616"/>
        <w:gridCol w:w="109"/>
        <w:gridCol w:w="109"/>
        <w:gridCol w:w="109"/>
        <w:gridCol w:w="109"/>
        <w:gridCol w:w="211"/>
        <w:gridCol w:w="616"/>
        <w:gridCol w:w="109"/>
        <w:gridCol w:w="109"/>
        <w:gridCol w:w="109"/>
        <w:gridCol w:w="109"/>
        <w:gridCol w:w="293"/>
        <w:gridCol w:w="293"/>
        <w:gridCol w:w="41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Services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 operating income was $132.5 for the six months ended June 30, 2023, a decrease of 30.7% from operating income of $191.3 in the corresponding period of 2022. The decrease in operating income was primarily due to lower service revenues driven by the impact of a prior year FSP cancellation, a customer concession, the mix and quantity of recent new business wins and an increased provision for credit losses. This was partially offset by decreased personnel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 was $3.7 for the six months ended June 30, 2023 a decrease of 76.3% from operating income of $15.6 in the corresponding period of 2022. The decrease was driven by lower revenues combined with investments in resources related to servicing a recent new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Financial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business has generated positive cash flows from operations, and a significant majority of such cash flows was transferred to Labcorp. We participated in Labcorp’s cash pooling arrangements to manage liquidity and fund operations, the effect of which is presented as Former Parent investment in our condensed consolidated and combined financial statements included elsewhere in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After the Spin, the Company has ceased participation in Labcorp’s cash pooling arrangements and our cash and cash equivalents are held and used solely for our own operations. Our capital structure, long-term commitments, and sources of liquidity changed significantly from our historical practices. In connection with the Spin, we have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5</w:t>
      </w:r>
      <w:r>
        <w:rPr>
          <w:color w:val="000000"/>
        </w:rPr>
        <w:t xml:space="preserve"> </w:t>
      </w:r>
      <w:r>
        <w:rPr>
          <w:rFonts w:ascii="Times New Roman;sans-serif" w:hAnsi="Times New Roman;sans-serif"/>
          <w:b w:val="false"/>
          <w:color w:val="000000"/>
          <w:sz w:val="20"/>
        </w:rPr>
        <w:t>(Debt). We have also entered into an accounts receivable purchase program (“ARPP”), which establishes a receivables factoring facility that permits the Company to sell up to $80.0 in customer receivables to a financial institution based on the availability of certain eligible receivables and the satisfaction of certain conditions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On June 28, 2023, Labcorp sold $17.5 of the Company’s receivables for $17.3 in cash proceeds.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applied proceeds from these debt and other financing transactions to make a $1,595.0 cash distribution to Labcorp as consideration for the assets that have been contributed to us in connection with the Spin. After giving effect to such payment and approximately $35.0 of associated fees and expenses incurred in connection with the entry into the above, we started operating as an independent company with a cash balance of $114.3.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flows generated from operations as well as funds available under the facilities we entered into in connection with the Spin will be sufficient to cover the needs of our current and planned operations for at least the next 12 months in addition to the one-time cash flow impacts from the Spin.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intend to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for the six months ended June 30, 2023 and 2022</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summary the Company's cash flows were as follows:</w:t>
      </w:r>
    </w:p>
    <w:tbl>
      <w:tblPr>
        <w:tblW w:w="7508" w:type="dxa"/>
        <w:jc w:val="left"/>
        <w:tblInd w:w="0" w:type="dxa"/>
        <w:tblLayout w:type="fixed"/>
        <w:tblCellMar>
          <w:top w:w="28" w:type="dxa"/>
          <w:left w:w="28" w:type="dxa"/>
          <w:bottom w:w="28" w:type="dxa"/>
          <w:right w:w="28" w:type="dxa"/>
        </w:tblCellMar>
      </w:tblPr>
      <w:tblGrid>
        <w:gridCol w:w="1915"/>
        <w:gridCol w:w="1683"/>
        <w:gridCol w:w="1696"/>
        <w:gridCol w:w="211"/>
        <w:gridCol w:w="616"/>
        <w:gridCol w:w="109"/>
        <w:gridCol w:w="109"/>
        <w:gridCol w:w="109"/>
        <w:gridCol w:w="109"/>
        <w:gridCol w:w="211"/>
        <w:gridCol w:w="58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changes in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June 30, 2023 and 2022 totaled $114.3 and $95.5,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Company's operations provided $154.2 of cash as compared to $(21.7) of cash during the six months ended June 30, 2022. Net cash provided by operating activities increased by $175.9 for the six months ended June 30, 2023 as compared to the six months ended June 30, 2022. Cash flows from operating activities benefited from higher collections of accounts receivable and cash used for accrued expenses offset by a decrease in net income.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investing activities for the six months ended June 30, 2023 was $(25.5) as compared to net cash used for investing activities of $(18.7) for the six months ended June 30, 2022. The $(6.8) increase in net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used for investing activities for the six months ended June 30, 2023, was primarily due to a year over year increase in capital expenditures. Capital expenditures were $25.8 and $19.0 for the six months ended June 30, 2023 and 2022, respectively. Capital expenditures in 2023 were 1.7%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by cash flow from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six months ended June 30, 2023 was $(126.7) compared to cash provided by financing activities of $46.1 for the six months ended June 30, 2022. Cash provided by financing activities related to proceeds from term loans and senior note offerings offset by the net transfers to Former Parent.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transactions or relationships with “special purpose” entities, and the Company does not have any off-balance sheet financing other than normal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chosen accounting policies that management believes are appropriate to accurately and fairly report our operating results and financial position in conformity with accounting principles generally accepted in the United States of America (“U.S. GAAP”). We apply these accounting policies in a consistent manner. Significant accounting policies are summarized in Note 2 to the combined financial statements included in the Form 10.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these accounting policies require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that involve the most significant estimates, assumptions and management judgments used in preparation of the condensed consolidated and combined financial statements, or are the most sensitive to change due to outside factors, are discussed in Management's Discussion and Analysis in the Form 10. Except as disclosed in Note 1 to our condensed consolidated and combined financial statements in this Form 10-Q, pertaining to the adoption of new accounting pronouncements, there have been no material changes in these policies.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(in millions)</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Foreign Currency Exchange Rates</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16.1% and 18.8% of our revenues for the six months ended June 30, 2023 and 2022,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and combined financial results. In the second quarter of 2023 and the year ended December 31, 2022, the most significant currency exchange rate exposures were the Euro and British pound. Excluding the impacts from any outstanding or future hedging transactions, a hypothetical change of 10% in average exchange rates used to translate all foreign currencies to USD would have impacted income before income taxes for the six months ended June 30, 2023 by approximately $1.2 and for the year ended December 31, 2022 by approximately $4.3. Gross accumulated currency translation adjustments recorded as a separate component of stockholders’ equity were $48.4 and $(120.2) at June 30, 2023 and June 30, 2022, respectively. We do not have significant operations in countries in which the economy is considered to be highly inflationary.</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do not enter into any derivative contracts with external counterparties. However, Labcorp enters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 Earnings related to these contracts were included in the combined statements of operations as part of corporate allocations.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will incur additional indebtedness in the future.</w:t>
      </w:r>
    </w:p>
    <w:p>
      <w:pPr>
        <w:pStyle w:val="TextBody"/>
        <w:bidi w:val="0"/>
        <w:spacing w:lineRule="auto" w:line="288" w:before="0" w:after="180"/>
        <w:jc w:val="left"/>
        <w:rPr/>
      </w:pPr>
      <w:r>
        <w:rPr>
          <w:rFonts w:ascii="Times New Roman;sans-serif" w:hAnsi="Times New Roman;sans-serif"/>
          <w:b w:val="false"/>
          <w:color w:val="000000"/>
          <w:sz w:val="20"/>
        </w:rPr>
        <w:t xml:space="preserve">In particular, we face the market risks associated with interest rate movements on our variable rate debt. Following the Spin, we are significantly leveraged. We incurred approximately </w:t>
      </w:r>
      <w:r>
        <w:rPr>
          <w:rFonts w:ascii="Times New Roman;sans-serif" w:hAnsi="Times New Roman;sans-serif"/>
          <w:b w:val="false"/>
          <w:color w:val="000000"/>
          <w:sz w:val="20"/>
          <w:shd w:fill="FFFFFF" w:val="clear"/>
        </w:rPr>
        <w:t>$1,640</w:t>
      </w:r>
      <w:r>
        <w:rPr>
          <w:color w:val="000000"/>
        </w:rPr>
        <w:t xml:space="preserve"> </w:t>
      </w:r>
      <w:r>
        <w:rPr>
          <w:rFonts w:ascii="Times New Roman;sans-serif" w:hAnsi="Times New Roman;sans-serif"/>
          <w:b w:val="false"/>
          <w:color w:val="000000"/>
          <w:sz w:val="20"/>
        </w:rPr>
        <w:t>of long-term debt in connection with the Spin. A majority of this debt bears interest at a variable rate, and we will consider entering into a floating-to-fixed interest rate swap with respect to some of our floating rate debt. At June 30, 2023, we had $1,070 outstanding related to our variable rate debt. Excluding the impacts from any outstanding or future floating-to-fixed interest rate swap transactions, a hypothetical 1.00% increase in interest rates would result in increased interest expenses of $10.7. We expect to manage our interest rate risk, but expect to be exposed to an element of market risk from changes to interest rates, including on any refinancing of debt. We expect to regularly assess market risks and to establish policies and business practices to protect against the adverse effects of these exposures. See “Description of Certain Indebtedness and Other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with the participation of its Chief Executive Officer ("CEO") and Chief Financial Officer ("CFO"), has evaluated the effectiveness of the design and operation of the Company’s disclosure controls and procedures as of the period ending June 30, 2023. Based upon our evaluation, our CEO and our CFO have concluded that, as of the period ending June 30, 2023, our disclosure controls and procedures were effective and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and our CFO, as appropriate, to allow timely decisions regarding required disclosure.</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quarter ended June 30, 2023, Fortrea relied on certain material processes and internal controls over financial reporting performed by Labcorp.</w:t>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changes in our internal controls over financial reporting during the quarter ended June 30, 2023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(Commitments and Contingencies) to the Company’s condensed consolidated and combined financial statements, above,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the risks relating to our business, see the “Risk Factors” section of our Form 10 and the “Cautionary Statement Concerning Forward-Looking Statements” set forth in Part I, Item 2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46"/>
        <w:gridCol w:w="304"/>
        <w:gridCol w:w="305"/>
        <w:gridCol w:w="109"/>
        <w:gridCol w:w="109"/>
        <w:gridCol w:w="109"/>
        <w:gridCol w:w="1158"/>
        <w:gridCol w:w="1158"/>
        <w:gridCol w:w="1160"/>
        <w:gridCol w:w="109"/>
        <w:gridCol w:w="109"/>
        <w:gridCol w:w="109"/>
        <w:gridCol w:w="310"/>
        <w:gridCol w:w="310"/>
        <w:gridCol w:w="311"/>
        <w:gridCol w:w="109"/>
        <w:gridCol w:w="109"/>
        <w:gridCol w:w="109"/>
        <w:gridCol w:w="220"/>
        <w:gridCol w:w="220"/>
        <w:gridCol w:w="221"/>
        <w:gridCol w:w="116"/>
        <w:gridCol w:w="116"/>
        <w:gridCol w:w="116"/>
        <w:gridCol w:w="266"/>
        <w:gridCol w:w="266"/>
        <w:gridCol w:w="171"/>
        <w:gridCol w:w="116"/>
        <w:gridCol w:w="116"/>
        <w:gridCol w:w="116"/>
        <w:gridCol w:w="240"/>
        <w:gridCol w:w="240"/>
        <w:gridCol w:w="241"/>
        <w:gridCol w:w="116"/>
        <w:gridCol w:w="116"/>
        <w:gridCol w:w="116"/>
        <w:gridCol w:w="212"/>
        <w:gridCol w:w="212"/>
        <w:gridCol w:w="30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Separation and Distribution Agreement, dated June 29, 2023, by and between Laboratory Corporation of America Holdings and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1824"/>
        <w:gridCol w:w="1810"/>
        <w:gridCol w:w="1814"/>
        <w:gridCol w:w="109"/>
        <w:gridCol w:w="109"/>
        <w:gridCol w:w="109"/>
        <w:gridCol w:w="109"/>
        <w:gridCol w:w="109"/>
        <w:gridCol w:w="109"/>
        <w:gridCol w:w="109"/>
        <w:gridCol w:w="109"/>
        <w:gridCol w:w="109"/>
        <w:gridCol w:w="110"/>
        <w:gridCol w:w="110"/>
        <w:gridCol w:w="110"/>
        <w:gridCol w:w="109"/>
        <w:gridCol w:w="109"/>
        <w:gridCol w:w="109"/>
        <w:gridCol w:w="218"/>
        <w:gridCol w:w="218"/>
        <w:gridCol w:w="219"/>
        <w:gridCol w:w="109"/>
        <w:gridCol w:w="109"/>
        <w:gridCol w:w="109"/>
        <w:gridCol w:w="154"/>
        <w:gridCol w:w="154"/>
        <w:gridCol w:w="158"/>
        <w:gridCol w:w="109"/>
        <w:gridCol w:w="109"/>
        <w:gridCol w:w="109"/>
        <w:gridCol w:w="184"/>
        <w:gridCol w:w="142"/>
        <w:gridCol w:w="21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Indenture, dated June 27, 2023, among Fortrea Holdings Inc., as issuer, U.S. Bank Trust Company, National Association, as trustee and U.S. Bank Trust Company, National Association, as collateral agent, relating to Fortrea Holding Inc.’s 7.500% Senior Secured Notes due 2030.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30-Jun-23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7.500% Senior Secured Notes due 2030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30-Jun-23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Supplemental Indenture, dated June 30, 2023, among Fortrea Holdings Inc., as issuer, the Initial Subsidiary Guarantors (as defined in the Indenture), as guarantors, U.S. Bank Trust Company, National Association, as trustee and U.S. Bank Trust Company, National Association, as collateral agent, relating to Fortrea Holding Inc.’s 7.500% Senior Secured Notes due 2030.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Credit Agreement, dated June 30, 2023, among Fortrea Holdings Inc., as the Parent Borrower, Fortrea UK Holdings Limited, as the Initial English Borrower, certain Subsidiaries (as defined in the Credit Agreement) of the Parent Borrower party thereto pursuant to Section 1.15 of the Credit Agreement, Goldman Sachs Bank USA, as Agent for the several financial institutions from time to time party thereto (collectively, the “Lenders” and individually each a “Lender”) and other Secured Parties (as defined in the Credit Agreement) and for itself as a Lender (including as Swingline Lender (as defined in the Credit Agreement)) and as an L/C Issuer (as defined in the Credit Agreement), and the other Lenders and L/C Issuers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30-Jun-23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Tax Matters Agreement, dated June 29, 2023, by and between Laboratory Corporation of America Holdings and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Employee Matters Agreement, dated June 29, 2023, by and between Laboratory Corporation of America Holdings and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Transition Services Agreement, dated June 29, 2023, by and between Laboratory Corporation of America Holdings and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38"/>
        <w:gridCol w:w="210"/>
        <w:gridCol w:w="213"/>
        <w:gridCol w:w="109"/>
        <w:gridCol w:w="109"/>
        <w:gridCol w:w="109"/>
        <w:gridCol w:w="1699"/>
        <w:gridCol w:w="1567"/>
        <w:gridCol w:w="1571"/>
        <w:gridCol w:w="109"/>
        <w:gridCol w:w="109"/>
        <w:gridCol w:w="109"/>
        <w:gridCol w:w="109"/>
        <w:gridCol w:w="109"/>
        <w:gridCol w:w="109"/>
        <w:gridCol w:w="109"/>
        <w:gridCol w:w="109"/>
        <w:gridCol w:w="109"/>
        <w:gridCol w:w="206"/>
        <w:gridCol w:w="206"/>
        <w:gridCol w:w="207"/>
        <w:gridCol w:w="109"/>
        <w:gridCol w:w="109"/>
        <w:gridCol w:w="109"/>
        <w:gridCol w:w="243"/>
        <w:gridCol w:w="243"/>
        <w:gridCol w:w="244"/>
        <w:gridCol w:w="109"/>
        <w:gridCol w:w="109"/>
        <w:gridCol w:w="109"/>
        <w:gridCol w:w="155"/>
        <w:gridCol w:w="155"/>
        <w:gridCol w:w="156"/>
        <w:gridCol w:w="109"/>
        <w:gridCol w:w="109"/>
        <w:gridCol w:w="109"/>
        <w:gridCol w:w="174"/>
        <w:gridCol w:w="174"/>
        <w:gridCol w:w="25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Clinical Development and Laboratory Services Agreement, dated June 29, 2023, by and between Laboratory Corporation of America Holdings and Fortrea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2-Jun-23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Fortrea Holdings Inc. 2023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Fortrea Holdings Inc.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Form of Option Agreement</w:t>
              </w:r>
            </w:hyperlink>
            <w:hyperlink r:id="rId3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80"/>
                  <w:sz w:val="20"/>
                  <w:u w:val="single"/>
                </w:rPr>
                <w:t>Form of 2023 Time Vesting Restricted Stock Unit Award (1 year)</w:t>
              </w:r>
            </w:hyperlink>
            <w:hyperlink r:id="rId3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20"/>
                  <w:u w:val="single"/>
                </w:rPr>
                <w:t>Form of 2023 Time Vesting Restricted Stock Unit Award (3 year ratable)</w:t>
              </w:r>
            </w:hyperlink>
            <w:hyperlink r:id="rId3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3-Jul-23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Executive Employment Agreement by and between Thomas H. Pike and Laboratory Corporation of America dated January 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2-Jun-23</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6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Principal Financial Officer)</w:t>
            </w:r>
          </w:p>
        </w:tc>
      </w:tr>
    </w:tbl>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Thomas Pike,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(b)[Omitted pursuant to Exchange Act Rules 13a-14(a) and 15d-14(a)];</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190" w:type="dxa"/>
        <w:jc w:val="left"/>
        <w:tblInd w:w="0" w:type="dxa"/>
        <w:tblLayout w:type="fixed"/>
        <w:tblCellMar>
          <w:top w:w="28" w:type="dxa"/>
          <w:left w:w="28" w:type="dxa"/>
          <w:bottom w:w="28" w:type="dxa"/>
          <w:right w:w="28" w:type="dxa"/>
        </w:tblCellMar>
      </w:tblPr>
      <w:tblGrid>
        <w:gridCol w:w="705"/>
        <w:gridCol w:w="621"/>
        <w:gridCol w:w="624"/>
        <w:gridCol w:w="945"/>
        <w:gridCol w:w="945"/>
        <w:gridCol w:w="135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(b)[Omitted pursuant to Exchange Act Rules 13a-14(a) and 15d-14(a)];</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365" w:type="dxa"/>
        <w:jc w:val="left"/>
        <w:tblInd w:w="0" w:type="dxa"/>
        <w:tblLayout w:type="fixed"/>
        <w:tblCellMar>
          <w:top w:w="28" w:type="dxa"/>
          <w:left w:w="28" w:type="dxa"/>
          <w:bottom w:w="28" w:type="dxa"/>
          <w:right w:w="28" w:type="dxa"/>
        </w:tblCellMar>
      </w:tblPr>
      <w:tblGrid>
        <w:gridCol w:w="705"/>
        <w:gridCol w:w="621"/>
        <w:gridCol w:w="624"/>
        <w:gridCol w:w="706"/>
        <w:gridCol w:w="706"/>
        <w:gridCol w:w="100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Thomas Pike,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June 30, 2023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5190" w:type="dxa"/>
        <w:jc w:val="left"/>
        <w:tblInd w:w="0" w:type="dxa"/>
        <w:tblLayout w:type="fixed"/>
        <w:tblCellMar>
          <w:top w:w="28" w:type="dxa"/>
          <w:left w:w="28" w:type="dxa"/>
          <w:bottom w:w="28" w:type="dxa"/>
          <w:right w:w="28" w:type="dxa"/>
        </w:tblCellMar>
      </w:tblPr>
      <w:tblGrid>
        <w:gridCol w:w="705"/>
        <w:gridCol w:w="621"/>
        <w:gridCol w:w="624"/>
        <w:gridCol w:w="945"/>
        <w:gridCol w:w="945"/>
        <w:gridCol w:w="135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June 30, 2023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365" w:type="dxa"/>
        <w:jc w:val="left"/>
        <w:tblInd w:w="0" w:type="dxa"/>
        <w:tblLayout w:type="fixed"/>
        <w:tblCellMar>
          <w:top w:w="28" w:type="dxa"/>
          <w:left w:w="28" w:type="dxa"/>
          <w:bottom w:w="28" w:type="dxa"/>
          <w:right w:w="28" w:type="dxa"/>
        </w:tblCellMar>
      </w:tblPr>
      <w:tblGrid>
        <w:gridCol w:w="705"/>
        <w:gridCol w:w="621"/>
        <w:gridCol w:w="624"/>
        <w:gridCol w:w="706"/>
        <w:gridCol w:w="706"/>
        <w:gridCol w:w="100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19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5040/000196504023000021/a21-separationanddistribut.htm" TargetMode="External"/><Relationship Id="rId3" Type="http://schemas.openxmlformats.org/officeDocument/2006/relationships/hyperlink" Target="http://www.sec.gov/Archives/edgar/data/1965040/000196504023000021/a21-separationanddistribut.htm" TargetMode="External"/><Relationship Id="rId4" Type="http://schemas.openxmlformats.org/officeDocument/2006/relationships/hyperlink" Target="http://www.sec.gov/Archives/edgar/data/1965040/000196504023000021/a31-amendedandrestatedcert.htm" TargetMode="External"/><Relationship Id="rId5" Type="http://schemas.openxmlformats.org/officeDocument/2006/relationships/hyperlink" Target="http://www.sec.gov/Archives/edgar/data/1965040/000196504023000021/a31-amendedandrestatedcert.htm" TargetMode="External"/><Relationship Id="rId6" Type="http://schemas.openxmlformats.org/officeDocument/2006/relationships/hyperlink" Target="http://www.sec.gov/Archives/edgar/data/1965040/000196504023000021/a32-amendedandrestatedbyla.htm" TargetMode="External"/><Relationship Id="rId7" Type="http://schemas.openxmlformats.org/officeDocument/2006/relationships/hyperlink" Target="http://www.sec.gov/Archives/edgar/data/1965040/000196504023000021/a32-amendedandrestatedbyla.htm" TargetMode="External"/><Relationship Id="rId8" Type="http://schemas.openxmlformats.org/officeDocument/2006/relationships/hyperlink" Target="http://www.sec.gov/Archives/edgar/data/1965040/000196504023000015/exhibit41-8xk630.htm" TargetMode="External"/><Relationship Id="rId9" Type="http://schemas.openxmlformats.org/officeDocument/2006/relationships/hyperlink" Target="http://www.sec.gov/Archives/edgar/data/1965040/000196504023000015/exhibit41-8xk630.htm" TargetMode="External"/><Relationship Id="rId10" Type="http://schemas.openxmlformats.org/officeDocument/2006/relationships/hyperlink" Target="http://www.sec.gov/Archives/edgar/data/1965040/000196504023000015/exhibit41-8xk630.htm" TargetMode="External"/><Relationship Id="rId11" Type="http://schemas.openxmlformats.org/officeDocument/2006/relationships/hyperlink" Target="http://www.sec.gov/Archives/edgar/data/1965040/000196504023000015/exhibit41-8xk630.htm" TargetMode="External"/><Relationship Id="rId12" Type="http://schemas.openxmlformats.org/officeDocument/2006/relationships/hyperlink" Target="http://www.sec.gov/Archives/edgar/data/1965040/000196504023000021/a41-suppindenture.htm" TargetMode="External"/><Relationship Id="rId13" Type="http://schemas.openxmlformats.org/officeDocument/2006/relationships/hyperlink" Target="http://www.sec.gov/Archives/edgar/data/1965040/000196504023000021/a41-suppindenture.htm" TargetMode="External"/><Relationship Id="rId14" Type="http://schemas.openxmlformats.org/officeDocument/2006/relationships/hyperlink" Target="http://www.sec.gov/Archives/edgar/data/1965040/000196504023000015/exhibit101-8xk630.htm" TargetMode="External"/><Relationship Id="rId15" Type="http://schemas.openxmlformats.org/officeDocument/2006/relationships/hyperlink" Target="http://www.sec.gov/Archives/edgar/data/1965040/000196504023000015/exhibit101-8xk630.htm" TargetMode="External"/><Relationship Id="rId16" Type="http://schemas.openxmlformats.org/officeDocument/2006/relationships/hyperlink" Target="http://www.sec.gov/Archives/edgar/data/1965040/000196504023000021/a101-taxmattersagreement.htm" TargetMode="External"/><Relationship Id="rId17" Type="http://schemas.openxmlformats.org/officeDocument/2006/relationships/hyperlink" Target="http://www.sec.gov/Archives/edgar/data/1965040/000196504023000021/a101-taxmattersagreement.htm" TargetMode="External"/><Relationship Id="rId18" Type="http://schemas.openxmlformats.org/officeDocument/2006/relationships/hyperlink" Target="http://www.sec.gov/Archives/edgar/data/1965040/000196504023000021/a102-employeemattersagreem.htm" TargetMode="External"/><Relationship Id="rId19" Type="http://schemas.openxmlformats.org/officeDocument/2006/relationships/hyperlink" Target="http://www.sec.gov/Archives/edgar/data/1965040/000196504023000021/a102-employeemattersagreem.htm" TargetMode="External"/><Relationship Id="rId20" Type="http://schemas.openxmlformats.org/officeDocument/2006/relationships/hyperlink" Target="http://www.sec.gov/Archives/edgar/data/1965040/000196504023000021/a103-transitionservicesagr.htm" TargetMode="External"/><Relationship Id="rId21" Type="http://schemas.openxmlformats.org/officeDocument/2006/relationships/hyperlink" Target="http://www.sec.gov/Archives/edgar/data/1965040/000196504023000021/a103-transitionservicesagr.htm" TargetMode="External"/><Relationship Id="rId22" Type="http://schemas.openxmlformats.org/officeDocument/2006/relationships/hyperlink" Target="http://www.sec.gov/Archives/edgar/data/1965040/000162828023018115/exhibit104-10x12b.htm" TargetMode="External"/><Relationship Id="rId23" Type="http://schemas.openxmlformats.org/officeDocument/2006/relationships/hyperlink" Target="http://www.sec.gov/Archives/edgar/data/1965040/000162828023018115/exhibit104-10x12b.htm" TargetMode="External"/><Relationship Id="rId24" Type="http://schemas.openxmlformats.org/officeDocument/2006/relationships/hyperlink" Target="http://www.sec.gov/Archives/edgar/data/1965040/000196504023000021/a104-fortreaholdingsinc202.htm" TargetMode="External"/><Relationship Id="rId25" Type="http://schemas.openxmlformats.org/officeDocument/2006/relationships/hyperlink" Target="http://www.sec.gov/Archives/edgar/data/1965040/000196504023000021/a104-fortreaholdingsinc202.htm" TargetMode="External"/><Relationship Id="rId26" Type="http://schemas.openxmlformats.org/officeDocument/2006/relationships/hyperlink" Target="http://www.sec.gov/Archives/edgar/data/1965040/000196504023000021/a105-fortreaholdingsincemp.htm" TargetMode="External"/><Relationship Id="rId27" Type="http://schemas.openxmlformats.org/officeDocument/2006/relationships/hyperlink" Target="http://www.sec.gov/Archives/edgar/data/1965040/000196504023000021/a105-fortreaholdingsincemp.htm" TargetMode="External"/><Relationship Id="rId28" Type="http://schemas.openxmlformats.org/officeDocument/2006/relationships/hyperlink" Target="http://www.sec.gov/Archives/edgar/data/1965040/000196504023000021/a106-formofoptionagreement.htm" TargetMode="External"/><Relationship Id="rId29" Type="http://schemas.openxmlformats.org/officeDocument/2006/relationships/hyperlink" Target="http://www.sec.gov/Archives/edgar/data/1965040/000196504023000021/a106-formofoptionagreement.htm" TargetMode="External"/><Relationship Id="rId30" Type="http://schemas.openxmlformats.org/officeDocument/2006/relationships/hyperlink" Target="http://www.sec.gov/Archives/edgar/data/1965040/000196504023000021/a106-formofoptionagreement.htm" TargetMode="External"/><Relationship Id="rId31" Type="http://schemas.openxmlformats.org/officeDocument/2006/relationships/hyperlink" Target="http://www.sec.gov/Archives/edgar/data/1965040/000196504023000021/a107-formof2023timevesting.htm" TargetMode="External"/><Relationship Id="rId32" Type="http://schemas.openxmlformats.org/officeDocument/2006/relationships/hyperlink" Target="http://www.sec.gov/Archives/edgar/data/1965040/000196504023000021/a107-formof2023timevesting.htm" TargetMode="External"/><Relationship Id="rId33" Type="http://schemas.openxmlformats.org/officeDocument/2006/relationships/hyperlink" Target="http://www.sec.gov/Archives/edgar/data/1965040/000196504023000021/a107-formof2023timevesting.htm" TargetMode="External"/><Relationship Id="rId34" Type="http://schemas.openxmlformats.org/officeDocument/2006/relationships/hyperlink" Target="http://www.sec.gov/Archives/edgar/data/1965040/000196504023000021/a108-formof2023timevesting.htm" TargetMode="External"/><Relationship Id="rId35" Type="http://schemas.openxmlformats.org/officeDocument/2006/relationships/hyperlink" Target="http://www.sec.gov/Archives/edgar/data/1965040/000196504023000021/a108-formof2023timevesting.htm" TargetMode="External"/><Relationship Id="rId36" Type="http://schemas.openxmlformats.org/officeDocument/2006/relationships/hyperlink" Target="http://www.sec.gov/Archives/edgar/data/1965040/000196504023000021/a108-formof2023timevesting.htm" TargetMode="External"/><Relationship Id="rId37" Type="http://schemas.openxmlformats.org/officeDocument/2006/relationships/hyperlink" Target="http://www.sec.gov/Archives/edgar/data/1965040/000162828023018115/exhibit105-10x12b.htm" TargetMode="External"/><Relationship Id="rId38" Type="http://schemas.openxmlformats.org/officeDocument/2006/relationships/hyperlink" Target="http://www.sec.gov/Archives/edgar/data/1965040/000162828023018115/exhibit105-10x12b.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16190</Words>
  <Characters>89524</Characters>
  <CharactersWithSpaces>104665</CharactersWithSpaces>
  <Paragraphs>2075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