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9"/>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61"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24"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9"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82"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246"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PURSUANT TO SECTION 13 OR 15(d) OF THE SECURITIES EXCHANGE ACT OF 1934</w:t>
      </w:r>
    </w:p>
    <w:p>
      <w:pPr>
        <w:spacing w:after="0" w:line="252"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u w:val="single" w:color="auto"/>
          <w:color w:val="auto"/>
        </w:rPr>
        <w:t>January 8, 2024</w:t>
      </w:r>
    </w:p>
    <w:p>
      <w:pPr>
        <w:spacing w:after="0" w:line="16"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(Date of earliest event reported)</w:t>
      </w:r>
    </w:p>
    <w:p>
      <w:pPr>
        <w:spacing w:after="0" w:line="217"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32"/>
          <w:szCs w:val="32"/>
          <w:b w:val="1"/>
          <w:bCs w:val="1"/>
          <w:color w:val="auto"/>
        </w:rPr>
        <w:t>Fortrea Holdings Inc.</w:t>
      </w:r>
    </w:p>
    <w:p>
      <w:pPr>
        <w:spacing w:after="0" w:line="59"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00" w:lineRule="exact"/>
        <w:rPr>
          <w:sz w:val="24"/>
          <w:szCs w:val="24"/>
          <w:color w:val="auto"/>
        </w:rPr>
      </w:pPr>
    </w:p>
    <w:p>
      <w:pPr>
        <w:spacing w:after="0" w:line="312" w:lineRule="exact"/>
        <w:rPr>
          <w:sz w:val="24"/>
          <w:szCs w:val="24"/>
          <w:color w:val="auto"/>
        </w:rPr>
      </w:pPr>
    </w:p>
    <w:tbl>
      <w:tblPr>
        <w:tblLayout w:type="fixed"/>
        <w:tblInd w:w="0" w:type="dxa"/>
        <w:tblCellMar>
          <w:top w:w="0" w:type="dxa"/>
          <w:left w:w="0" w:type="dxa"/>
          <w:bottom w:w="0" w:type="dxa"/>
          <w:right w:w="0" w:type="dxa"/>
        </w:tblCellMar>
      </w:tblPr>
      <w:tr>
        <w:trPr>
          <w:trHeight w:val="238"/>
        </w:trPr>
        <w:tc>
          <w:tcPr>
            <w:tcW w:w="80" w:type="dxa"/>
            <w:vAlign w:val="bottom"/>
          </w:tcPr>
          <w:p>
            <w:pPr>
              <w:spacing w:after="0"/>
              <w:rPr>
                <w:sz w:val="20"/>
                <w:szCs w:val="20"/>
                <w:color w:val="auto"/>
              </w:rPr>
            </w:pPr>
          </w:p>
        </w:tc>
        <w:tc>
          <w:tcPr>
            <w:tcW w:w="42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2760" w:type="dxa"/>
            <w:vAlign w:val="bottom"/>
          </w:tcPr>
          <w:p>
            <w:pPr>
              <w:jc w:val="right"/>
              <w:ind w:right="750"/>
              <w:spacing w:after="0"/>
              <w:rPr>
                <w:sz w:val="20"/>
                <w:szCs w:val="20"/>
                <w:color w:val="auto"/>
              </w:rPr>
            </w:pPr>
            <w:r>
              <w:rPr>
                <w:rFonts w:ascii="Times New Roman" w:cs="Times New Roman" w:eastAsia="Times New Roman" w:hAnsi="Times New Roman"/>
                <w:sz w:val="18"/>
                <w:szCs w:val="18"/>
                <w:b w:val="1"/>
                <w:bCs w:val="1"/>
                <w:color w:val="auto"/>
              </w:rPr>
              <w:t>001-41704</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6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92-2796441</w:t>
            </w:r>
          </w:p>
        </w:tc>
        <w:tc>
          <w:tcPr>
            <w:tcW w:w="1040" w:type="dxa"/>
            <w:vAlign w:val="bottom"/>
          </w:tcPr>
          <w:p>
            <w:pPr>
              <w:spacing w:after="0"/>
              <w:rPr>
                <w:sz w:val="20"/>
                <w:szCs w:val="20"/>
                <w:color w:val="auto"/>
              </w:rPr>
            </w:pPr>
          </w:p>
        </w:tc>
      </w:tr>
      <w:tr>
        <w:trPr>
          <w:trHeight w:val="27"/>
        </w:trPr>
        <w:tc>
          <w:tcPr>
            <w:tcW w:w="80" w:type="dxa"/>
            <w:vAlign w:val="bottom"/>
          </w:tcPr>
          <w:p>
            <w:pPr>
              <w:spacing w:after="0"/>
              <w:rPr>
                <w:sz w:val="2"/>
                <w:szCs w:val="2"/>
                <w:color w:val="auto"/>
              </w:rPr>
            </w:pPr>
          </w:p>
        </w:tc>
        <w:tc>
          <w:tcPr>
            <w:tcW w:w="41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76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28"/>
        </w:trPr>
        <w:tc>
          <w:tcPr>
            <w:tcW w:w="80" w:type="dxa"/>
            <w:vAlign w:val="bottom"/>
          </w:tcPr>
          <w:p>
            <w:pPr>
              <w:spacing w:after="0"/>
              <w:rPr>
                <w:sz w:val="19"/>
                <w:szCs w:val="19"/>
                <w:color w:val="auto"/>
              </w:rPr>
            </w:pPr>
          </w:p>
        </w:tc>
        <w:tc>
          <w:tcPr>
            <w:tcW w:w="41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(State or other jurisdiction of Incorporation)</w:t>
            </w:r>
          </w:p>
        </w:tc>
        <w:tc>
          <w:tcPr>
            <w:tcW w:w="100" w:type="dxa"/>
            <w:vAlign w:val="bottom"/>
          </w:tcPr>
          <w:p>
            <w:pPr>
              <w:spacing w:after="0"/>
              <w:rPr>
                <w:sz w:val="19"/>
                <w:szCs w:val="19"/>
                <w:color w:val="auto"/>
              </w:rPr>
            </w:pPr>
          </w:p>
        </w:tc>
        <w:tc>
          <w:tcPr>
            <w:tcW w:w="304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rPr>
              <w:t>(Commission File Number)</w:t>
            </w:r>
          </w:p>
        </w:tc>
        <w:tc>
          <w:tcPr>
            <w:tcW w:w="100" w:type="dxa"/>
            <w:vAlign w:val="bottom"/>
          </w:tcPr>
          <w:p>
            <w:pPr>
              <w:spacing w:after="0"/>
              <w:rPr>
                <w:sz w:val="19"/>
                <w:szCs w:val="19"/>
                <w:color w:val="auto"/>
              </w:rPr>
            </w:pPr>
          </w:p>
        </w:tc>
        <w:tc>
          <w:tcPr>
            <w:tcW w:w="370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rPr>
              <w:t>(I.R.S. Employer Identification No.)</w:t>
            </w:r>
          </w:p>
        </w:tc>
      </w:tr>
      <w:tr>
        <w:trPr>
          <w:trHeight w:val="616"/>
        </w:trPr>
        <w:tc>
          <w:tcPr>
            <w:tcW w:w="80" w:type="dxa"/>
            <w:vAlign w:val="bottom"/>
          </w:tcPr>
          <w:p>
            <w:pPr>
              <w:spacing w:after="0"/>
              <w:rPr>
                <w:sz w:val="24"/>
                <w:szCs w:val="24"/>
                <w:color w:val="auto"/>
              </w:rPr>
            </w:pPr>
          </w:p>
        </w:tc>
        <w:tc>
          <w:tcPr>
            <w:tcW w:w="4260" w:type="dxa"/>
            <w:vAlign w:val="bottom"/>
            <w:gridSpan w:val="2"/>
          </w:tcPr>
          <w:p>
            <w:pPr>
              <w:jc w:val="center"/>
              <w:ind w:left="2590"/>
              <w:spacing w:after="0"/>
              <w:rPr>
                <w:sz w:val="20"/>
                <w:szCs w:val="20"/>
                <w:color w:val="auto"/>
              </w:rPr>
            </w:pPr>
            <w:r>
              <w:rPr>
                <w:rFonts w:ascii="Times New Roman" w:cs="Times New Roman" w:eastAsia="Times New Roman" w:hAnsi="Times New Roman"/>
                <w:sz w:val="18"/>
                <w:szCs w:val="18"/>
                <w:b w:val="1"/>
                <w:bCs w:val="1"/>
                <w:color w:val="auto"/>
                <w:w w:val="98"/>
              </w:rPr>
              <w:t>8 Moore Drive</w:t>
            </w:r>
          </w:p>
        </w:tc>
        <w:tc>
          <w:tcPr>
            <w:tcW w:w="27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6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257"/>
        </w:trPr>
        <w:tc>
          <w:tcPr>
            <w:tcW w:w="80" w:type="dxa"/>
            <w:vAlign w:val="bottom"/>
          </w:tcPr>
          <w:p>
            <w:pPr>
              <w:spacing w:after="0"/>
              <w:rPr>
                <w:sz w:val="22"/>
                <w:szCs w:val="22"/>
                <w:color w:val="auto"/>
              </w:rPr>
            </w:pPr>
          </w:p>
        </w:tc>
        <w:tc>
          <w:tcPr>
            <w:tcW w:w="4260" w:type="dxa"/>
            <w:vAlign w:val="bottom"/>
            <w:gridSpan w:val="2"/>
          </w:tcPr>
          <w:p>
            <w:pPr>
              <w:ind w:left="1600"/>
              <w:spacing w:after="0"/>
              <w:rPr>
                <w:sz w:val="20"/>
                <w:szCs w:val="20"/>
                <w:color w:val="auto"/>
              </w:rPr>
            </w:pPr>
            <w:r>
              <w:rPr>
                <w:rFonts w:ascii="Times New Roman" w:cs="Times New Roman" w:eastAsia="Times New Roman" w:hAnsi="Times New Roman"/>
                <w:sz w:val="18"/>
                <w:szCs w:val="18"/>
                <w:b w:val="1"/>
                <w:bCs w:val="1"/>
                <w:color w:val="auto"/>
              </w:rPr>
              <w:t>Durham,</w:t>
            </w:r>
          </w:p>
        </w:tc>
        <w:tc>
          <w:tcPr>
            <w:tcW w:w="3140" w:type="dxa"/>
            <w:vAlign w:val="bottom"/>
            <w:gridSpan w:val="4"/>
          </w:tcPr>
          <w:p>
            <w:pPr>
              <w:ind w:left="640"/>
              <w:spacing w:after="0"/>
              <w:rPr>
                <w:sz w:val="20"/>
                <w:szCs w:val="20"/>
                <w:color w:val="auto"/>
              </w:rPr>
            </w:pPr>
            <w:r>
              <w:rPr>
                <w:rFonts w:ascii="Times New Roman" w:cs="Times New Roman" w:eastAsia="Times New Roman" w:hAnsi="Times New Roman"/>
                <w:sz w:val="18"/>
                <w:szCs w:val="18"/>
                <w:b w:val="1"/>
                <w:bCs w:val="1"/>
                <w:color w:val="auto"/>
              </w:rPr>
              <w:t>North Carolina</w:t>
            </w:r>
          </w:p>
        </w:tc>
        <w:tc>
          <w:tcPr>
            <w:tcW w:w="2660" w:type="dxa"/>
            <w:vAlign w:val="bottom"/>
          </w:tcPr>
          <w:p>
            <w:pPr>
              <w:jc w:val="right"/>
              <w:ind w:right="1130"/>
              <w:spacing w:after="0"/>
              <w:rPr>
                <w:sz w:val="20"/>
                <w:szCs w:val="20"/>
                <w:color w:val="auto"/>
              </w:rPr>
            </w:pPr>
            <w:r>
              <w:rPr>
                <w:rFonts w:ascii="Times New Roman" w:cs="Times New Roman" w:eastAsia="Times New Roman" w:hAnsi="Times New Roman"/>
                <w:sz w:val="18"/>
                <w:szCs w:val="18"/>
                <w:b w:val="1"/>
                <w:bCs w:val="1"/>
                <w:color w:val="auto"/>
              </w:rPr>
              <w:t>27709</w:t>
            </w:r>
          </w:p>
        </w:tc>
        <w:tc>
          <w:tcPr>
            <w:tcW w:w="1040" w:type="dxa"/>
            <w:vAlign w:val="bottom"/>
          </w:tcPr>
          <w:p>
            <w:pPr>
              <w:spacing w:after="0"/>
              <w:rPr>
                <w:sz w:val="22"/>
                <w:szCs w:val="22"/>
                <w:color w:val="auto"/>
              </w:rPr>
            </w:pPr>
          </w:p>
        </w:tc>
      </w:tr>
      <w:tr>
        <w:trPr>
          <w:trHeight w:val="27"/>
        </w:trPr>
        <w:tc>
          <w:tcPr>
            <w:tcW w:w="80" w:type="dxa"/>
            <w:vAlign w:val="bottom"/>
          </w:tcPr>
          <w:p>
            <w:pPr>
              <w:spacing w:after="0"/>
              <w:rPr>
                <w:sz w:val="2"/>
                <w:szCs w:val="2"/>
                <w:color w:val="auto"/>
              </w:rPr>
            </w:pPr>
          </w:p>
        </w:tc>
        <w:tc>
          <w:tcPr>
            <w:tcW w:w="7020" w:type="dxa"/>
            <w:vAlign w:val="bottom"/>
            <w:gridSpan w:val="3"/>
          </w:tcPr>
          <w:p>
            <w:pPr>
              <w:spacing w:after="0"/>
              <w:rPr>
                <w:sz w:val="2"/>
                <w:szCs w:val="2"/>
                <w:color w:val="auto"/>
              </w:rPr>
            </w:pPr>
          </w:p>
        </w:tc>
        <w:tc>
          <w:tcPr>
            <w:tcW w:w="380" w:type="dxa"/>
            <w:vAlign w:val="bottom"/>
            <w:gridSpan w:val="3"/>
          </w:tcPr>
          <w:p>
            <w:pPr>
              <w:spacing w:after="0"/>
              <w:rPr>
                <w:sz w:val="2"/>
                <w:szCs w:val="2"/>
                <w:color w:val="auto"/>
              </w:rPr>
            </w:pPr>
          </w:p>
        </w:tc>
        <w:tc>
          <w:tcPr>
            <w:tcW w:w="3700" w:type="dxa"/>
            <w:vAlign w:val="bottom"/>
            <w:gridSpan w:val="2"/>
          </w:tcPr>
          <w:p>
            <w:pPr>
              <w:spacing w:after="0"/>
              <w:rPr>
                <w:sz w:val="2"/>
                <w:szCs w:val="2"/>
                <w:color w:val="auto"/>
              </w:rPr>
            </w:pPr>
          </w:p>
        </w:tc>
      </w:tr>
      <w:tr>
        <w:trPr>
          <w:trHeight w:val="228"/>
        </w:trPr>
        <w:tc>
          <w:tcPr>
            <w:tcW w:w="80" w:type="dxa"/>
            <w:vAlign w:val="bottom"/>
            <w:tcBorders>
              <w:top w:val="single" w:sz="8" w:color="auto"/>
            </w:tcBorders>
          </w:tcPr>
          <w:p>
            <w:pPr>
              <w:spacing w:after="0"/>
              <w:rPr>
                <w:sz w:val="19"/>
                <w:szCs w:val="19"/>
                <w:color w:val="auto"/>
              </w:rPr>
            </w:pPr>
          </w:p>
        </w:tc>
        <w:tc>
          <w:tcPr>
            <w:tcW w:w="7020" w:type="dxa"/>
            <w:vAlign w:val="bottom"/>
            <w:tcBorders>
              <w:top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color w:val="auto"/>
              </w:rPr>
              <w:t>(Address of principal executive offices)</w:t>
            </w:r>
          </w:p>
        </w:tc>
        <w:tc>
          <w:tcPr>
            <w:tcW w:w="160" w:type="dxa"/>
            <w:vAlign w:val="bottom"/>
          </w:tcPr>
          <w:p>
            <w:pPr>
              <w:spacing w:after="0"/>
              <w:rPr>
                <w:sz w:val="19"/>
                <w:szCs w:val="19"/>
                <w:color w:val="auto"/>
              </w:rPr>
            </w:pPr>
          </w:p>
        </w:tc>
        <w:tc>
          <w:tcPr>
            <w:tcW w:w="220" w:type="dxa"/>
            <w:vAlign w:val="bottom"/>
            <w:tcBorders>
              <w:top w:val="single" w:sz="8" w:color="auto"/>
            </w:tcBorders>
            <w:gridSpan w:val="2"/>
          </w:tcPr>
          <w:p>
            <w:pPr>
              <w:spacing w:after="0"/>
              <w:rPr>
                <w:sz w:val="19"/>
                <w:szCs w:val="19"/>
                <w:color w:val="auto"/>
              </w:rPr>
            </w:pPr>
          </w:p>
        </w:tc>
        <w:tc>
          <w:tcPr>
            <w:tcW w:w="2660" w:type="dxa"/>
            <w:vAlign w:val="bottom"/>
            <w:tcBorders>
              <w:top w:val="single" w:sz="8" w:color="auto"/>
            </w:tcBorders>
          </w:tcPr>
          <w:p>
            <w:pPr>
              <w:jc w:val="center"/>
              <w:ind w:right="130"/>
              <w:spacing w:after="0"/>
              <w:rPr>
                <w:sz w:val="20"/>
                <w:szCs w:val="20"/>
                <w:color w:val="auto"/>
              </w:rPr>
            </w:pPr>
            <w:r>
              <w:rPr>
                <w:rFonts w:ascii="Times New Roman" w:cs="Times New Roman" w:eastAsia="Times New Roman" w:hAnsi="Times New Roman"/>
                <w:sz w:val="18"/>
                <w:szCs w:val="18"/>
                <w:color w:val="auto"/>
              </w:rPr>
              <w:t>(Zip Code)</w:t>
            </w:r>
          </w:p>
        </w:tc>
        <w:tc>
          <w:tcPr>
            <w:tcW w:w="1040" w:type="dxa"/>
            <w:vAlign w:val="bottom"/>
          </w:tcPr>
          <w:p>
            <w:pPr>
              <w:spacing w:after="0"/>
              <w:rPr>
                <w:sz w:val="19"/>
                <w:szCs w:val="19"/>
                <w:color w:val="auto"/>
              </w:rPr>
            </w:pPr>
          </w:p>
        </w:tc>
      </w:tr>
    </w:tbl>
    <w:p>
      <w:pPr>
        <w:spacing w:after="0" w:line="378"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 xml:space="preserve">(Registrant’s telephone number including area code) </w:t>
      </w:r>
      <w:r>
        <w:rPr>
          <w:rFonts w:ascii="Times New Roman" w:cs="Times New Roman" w:eastAsia="Times New Roman" w:hAnsi="Times New Roman"/>
          <w:sz w:val="18"/>
          <w:szCs w:val="18"/>
          <w:b w:val="1"/>
          <w:bCs w:val="1"/>
          <w:color w:val="auto"/>
        </w:rPr>
        <w:t>877-495-0816</w:t>
      </w:r>
    </w:p>
    <w:p>
      <w:pPr>
        <w:spacing w:after="0" w:line="297" w:lineRule="exact"/>
        <w:rPr>
          <w:sz w:val="24"/>
          <w:szCs w:val="24"/>
          <w:color w:val="auto"/>
        </w:rPr>
      </w:pPr>
    </w:p>
    <w:p>
      <w:pPr>
        <w:jc w:val="center"/>
        <w:ind w:left="400" w:right="2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229" w:lineRule="exact"/>
        <w:rPr>
          <w:sz w:val="24"/>
          <w:szCs w:val="24"/>
          <w:color w:val="auto"/>
        </w:rPr>
      </w:pPr>
    </w:p>
    <w:p>
      <w:pPr>
        <w:ind w:left="480" w:hanging="373"/>
        <w:spacing w:after="0"/>
        <w:tabs>
          <w:tab w:leader="none" w:pos="4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 pursuant to Rule 425 under the Securities Act (17 CFR 230.425)</w:t>
      </w:r>
    </w:p>
    <w:p>
      <w:pPr>
        <w:spacing w:after="0" w:line="55" w:lineRule="exact"/>
        <w:rPr>
          <w:rFonts w:ascii="MS PGothic" w:cs="MS PGothic" w:eastAsia="MS PGothic" w:hAnsi="MS PGothic"/>
          <w:sz w:val="18"/>
          <w:szCs w:val="18"/>
          <w:color w:val="auto"/>
        </w:rPr>
      </w:pPr>
    </w:p>
    <w:p>
      <w:pPr>
        <w:ind w:left="480" w:hanging="373"/>
        <w:spacing w:after="0"/>
        <w:tabs>
          <w:tab w:leader="none" w:pos="4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49" w:lineRule="exact"/>
        <w:rPr>
          <w:rFonts w:ascii="MS PGothic" w:cs="MS PGothic" w:eastAsia="MS PGothic" w:hAnsi="MS PGothic"/>
          <w:sz w:val="18"/>
          <w:szCs w:val="18"/>
          <w:color w:val="auto"/>
        </w:rPr>
      </w:pPr>
    </w:p>
    <w:p>
      <w:pPr>
        <w:ind w:left="480" w:hanging="373"/>
        <w:spacing w:after="0"/>
        <w:tabs>
          <w:tab w:leader="none" w:pos="4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49" w:lineRule="exact"/>
        <w:rPr>
          <w:rFonts w:ascii="MS PGothic" w:cs="MS PGothic" w:eastAsia="MS PGothic" w:hAnsi="MS PGothic"/>
          <w:sz w:val="18"/>
          <w:szCs w:val="18"/>
          <w:color w:val="auto"/>
        </w:rPr>
      </w:pPr>
    </w:p>
    <w:p>
      <w:pPr>
        <w:ind w:left="480" w:hanging="373"/>
        <w:spacing w:after="0"/>
        <w:tabs>
          <w:tab w:leader="none" w:pos="4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00" w:lineRule="exact"/>
        <w:rPr>
          <w:sz w:val="24"/>
          <w:szCs w:val="24"/>
          <w:color w:val="auto"/>
        </w:rPr>
      </w:pPr>
    </w:p>
    <w:p>
      <w:pPr>
        <w:spacing w:after="0" w:line="222"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Exchange Act.</w:t>
      </w:r>
    </w:p>
    <w:p>
      <w:pPr>
        <w:spacing w:after="0" w:line="46" w:lineRule="exact"/>
        <w:rPr>
          <w:sz w:val="24"/>
          <w:szCs w:val="24"/>
          <w:color w:val="auto"/>
        </w:rPr>
      </w:pPr>
    </w:p>
    <w:p>
      <w:pPr>
        <w:spacing w:after="0"/>
        <w:tabs>
          <w:tab w:leader="none" w:pos="1840" w:val="left"/>
        </w:tabs>
        <w:rPr>
          <w:sz w:val="20"/>
          <w:szCs w:val="20"/>
          <w:color w:val="auto"/>
        </w:rPr>
      </w:pPr>
      <w:r>
        <w:rPr>
          <w:rFonts w:ascii="Times New Roman" w:cs="Times New Roman" w:eastAsia="Times New Roman" w:hAnsi="Times New Roman"/>
          <w:sz w:val="18"/>
          <w:szCs w:val="18"/>
          <w:b w:val="1"/>
          <w:bCs w:val="1"/>
          <w:color w:val="auto"/>
        </w:rPr>
        <w:t>Title of Each Class</w:t>
      </w:r>
      <w:r>
        <w:rPr>
          <w:sz w:val="20"/>
          <w:szCs w:val="20"/>
          <w:color w:val="auto"/>
        </w:rPr>
        <w:tab/>
      </w:r>
      <w:r>
        <w:rPr>
          <w:rFonts w:ascii="Times New Roman" w:cs="Times New Roman" w:eastAsia="Times New Roman" w:hAnsi="Times New Roman"/>
          <w:sz w:val="17"/>
          <w:szCs w:val="17"/>
          <w:b w:val="1"/>
          <w:bCs w:val="1"/>
          <w:color w:val="auto"/>
        </w:rPr>
        <w:t>Trading Symbol Name of exchange on which registered</w:t>
      </w:r>
    </w:p>
    <w:p>
      <w:pPr>
        <w:spacing w:after="0" w:line="31"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Common Stock, $0.001 par value FTRE The NASDAQ Stock Market LLC</w:t>
      </w:r>
    </w:p>
    <w:p>
      <w:pPr>
        <w:spacing w:after="0" w:line="288" w:lineRule="exact"/>
        <w:rPr>
          <w:sz w:val="24"/>
          <w:szCs w:val="24"/>
          <w:color w:val="auto"/>
        </w:rPr>
      </w:pPr>
    </w:p>
    <w:p>
      <w:pPr>
        <w:ind w:right="460"/>
        <w:spacing w:after="0" w:line="261"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99" w:lineRule="exact"/>
        <w:rPr>
          <w:sz w:val="24"/>
          <w:szCs w:val="24"/>
          <w:color w:val="auto"/>
        </w:rPr>
      </w:pPr>
    </w:p>
    <w:p>
      <w:pPr>
        <w:ind w:right="10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561340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983" w:right="39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22"/>
          <w:szCs w:val="22"/>
          <w:b w:val="1"/>
          <w:bCs w:val="1"/>
          <w:color w:val="auto"/>
        </w:rPr>
        <w:t>Item 2.02 Results of Operations and Financial Condition</w:t>
      </w:r>
    </w:p>
    <w:p>
      <w:pPr>
        <w:spacing w:after="0" w:line="287" w:lineRule="exact"/>
        <w:rPr>
          <w:sz w:val="20"/>
          <w:szCs w:val="20"/>
          <w:color w:val="auto"/>
        </w:rPr>
      </w:pPr>
    </w:p>
    <w:p>
      <w:pPr>
        <w:jc w:val="both"/>
        <w:ind w:firstLine="583"/>
        <w:spacing w:after="0" w:line="282" w:lineRule="auto"/>
        <w:rPr>
          <w:sz w:val="20"/>
          <w:szCs w:val="20"/>
          <w:color w:val="auto"/>
        </w:rPr>
      </w:pPr>
      <w:r>
        <w:rPr>
          <w:rFonts w:ascii="Times New Roman" w:cs="Times New Roman" w:eastAsia="Times New Roman" w:hAnsi="Times New Roman"/>
          <w:sz w:val="18"/>
          <w:szCs w:val="18"/>
          <w:color w:val="auto"/>
        </w:rPr>
        <w:t>Fortrea Holdings Inc. (the “Company”) announced that it delivered a book-to-bill ratio that exceeded 1.2x for the fourth quarter of 2023. A copy of the press release including this announcement is furnished as Exhibit 99.1 to this Current Report and is incorporated herein by reference.</w:t>
      </w:r>
    </w:p>
    <w:p>
      <w:pPr>
        <w:spacing w:after="0" w:line="189" w:lineRule="exact"/>
        <w:rPr>
          <w:sz w:val="20"/>
          <w:szCs w:val="20"/>
          <w:color w:val="auto"/>
        </w:rPr>
      </w:pPr>
    </w:p>
    <w:p>
      <w:pPr>
        <w:jc w:val="both"/>
        <w:ind w:firstLine="583"/>
        <w:spacing w:after="0" w:line="258" w:lineRule="auto"/>
        <w:rPr>
          <w:sz w:val="20"/>
          <w:szCs w:val="20"/>
          <w:color w:val="auto"/>
        </w:rPr>
      </w:pPr>
      <w:r>
        <w:rPr>
          <w:rFonts w:ascii="Times New Roman" w:cs="Times New Roman" w:eastAsia="Times New Roman" w:hAnsi="Times New Roman"/>
          <w:sz w:val="18"/>
          <w:szCs w:val="18"/>
          <w:color w:val="auto"/>
        </w:rPr>
        <w:t>Pursuant to General Instruction B.2 of Current Report on Form 8-K, the information contained in, or incorporated into, Item 2.02, including the press release attached as Exhibit 99.1, is being furnished and shall not be deemed “filed” for the purposes of Section 18 of the Securities Exchange Act of 1934, as amended (the “Exchange Act”), or otherwise subject to the liabilities of that section, nor shall it be deemed incorporated by reference into any registration statement or other filing under the Securities Act of 1933, as amended (the “Securities Act”), except as shall be expressly set forth by specific reference to such filing.</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7.01 Regulation FD Disclosure</w:t>
      </w:r>
    </w:p>
    <w:p>
      <w:pPr>
        <w:spacing w:after="0" w:line="26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In connection with the upcoming Annual J.P. Morgan Healthcare Conference to be held on January 8-11, 2024, the Company issued a press release on January 8, 2024, providing a preview of its business progress. Details of the Company’s business progress are included in the press release. A copy of the press release is furnished as Exhibit 99.1 to this Current Report and is incorporated herein by reference.</w:t>
      </w:r>
    </w:p>
    <w:p>
      <w:pPr>
        <w:spacing w:after="0" w:line="203" w:lineRule="exact"/>
        <w:rPr>
          <w:sz w:val="20"/>
          <w:szCs w:val="20"/>
          <w:color w:val="auto"/>
        </w:rPr>
      </w:pPr>
    </w:p>
    <w:p>
      <w:pPr>
        <w:jc w:val="both"/>
        <w:ind w:right="20" w:firstLine="648"/>
        <w:spacing w:after="0" w:line="261" w:lineRule="auto"/>
        <w:rPr>
          <w:sz w:val="20"/>
          <w:szCs w:val="20"/>
          <w:color w:val="auto"/>
        </w:rPr>
      </w:pPr>
      <w:r>
        <w:rPr>
          <w:rFonts w:ascii="Times New Roman" w:cs="Times New Roman" w:eastAsia="Times New Roman" w:hAnsi="Times New Roman"/>
          <w:sz w:val="18"/>
          <w:szCs w:val="18"/>
          <w:color w:val="auto"/>
        </w:rPr>
        <w:t>Pursuant to General Instruction B.2 of Current Report on Form 8-K, the information contained in, or incorporated into, Item 7.01, including the press release attached as Exhibit 99.1, is being furnished and shall not be deemed “filed” for the purposes of Section 18 of the Exchange Act, or otherwise subject to the liabilities of that section, nor shall it be deemed incorporated by reference into any registration statement or other filing under the Securities Act, except as shall be expressly set forth by specific reference to such filing.</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Cautionary Statement Regarding Forward-Looking Statements</w:t>
      </w:r>
    </w:p>
    <w:p>
      <w:pPr>
        <w:spacing w:after="0" w:line="243"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This Current Report contains “forward-looking statements” within the meaning of the federal securities laws, including Section 27A of the Securities Act and Section 21E of the Exchange Act, including, without limitation, the risk that the Company’s book-to-bill does not result in financial improvement; the Company may continue to be impacted by statements made about it regarding study conduct in winning new and retaining existing business, coupled with increased incremental expenses associated with these issues and future related audits; the Company’s ability to exit its Transition Services Agreements with its former parent company; and the Company’s efforts in artificial intelligence and machine learning, could adversely impact our future financial results. In this context, forward-looking statements often address expected future business and financial performance and financial condition, and often contain words such as “guidance,” “expect,” “assume,” “anticipate,” “intend,” “plan,” “forecast,” “believe,” “seek,” “see,” “will,” “would,” “target,” similar expressions, and variations or negatives of these words that are intended to identify forward-looking statements, although not all forward-looking statements contain these identifying words. Actual results may differ materially from the Company’s expectations due to a number of factors, including, but not limited to, the factors described from time to time in documents that the Company files with the SEC. For a further discussion of the risks relating to the Company’s business, see the “Risk Factors” Section of the Company’s Information Statement filed with the Company’s Registration Statement on Form 10, as amended (the “Form 10”), as filed with the Securities and Exchange Commission (the "SEC"), as such factors may be amended or updated from time to time in the Company’s subsequent periodic and other filings with the SEC, which are accessible on the SEC’s website at www.sec.gov. These factors</w:t>
      </w:r>
    </w:p>
    <w:p>
      <w:pPr>
        <w:spacing w:after="0" w:line="1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should not be construed as exhaustive and should be read in conjunction with the other cautionary statements that are included or incorporated by reference in this report and in the Company’s filings with the SEC. Comparisons of results for current and any prior periods are not intended to provide any indications of future performance, unless expressed as such, and should only be viewed as historical data. All forward-looking statements are made only as of the date of this report and the Company does not undertake any obligation, other than as may be required by law, to update or revise any forward-looking statements to reflect future events or developments.</w:t>
      </w:r>
    </w:p>
    <w:p>
      <w:pPr>
        <w:spacing w:after="0" w:line="303" w:lineRule="exact"/>
        <w:rPr>
          <w:sz w:val="20"/>
          <w:szCs w:val="20"/>
          <w:color w:val="auto"/>
        </w:rPr>
      </w:pPr>
    </w:p>
    <w:p>
      <w:pPr>
        <w:jc w:val="center"/>
        <w:spacing w:after="0"/>
        <w:rPr>
          <w:sz w:val="20"/>
          <w:szCs w:val="20"/>
          <w:color w:val="auto"/>
        </w:rPr>
      </w:pPr>
      <w:r>
        <w:rPr>
          <w:rFonts w:ascii="Calibri" w:cs="Calibri" w:eastAsia="Calibri" w:hAnsi="Calibri"/>
          <w:sz w:val="20"/>
          <w:szCs w:val="20"/>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856615</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22"/>
          <w:szCs w:val="22"/>
          <w:b w:val="1"/>
          <w:bCs w:val="1"/>
          <w:color w:val="auto"/>
        </w:rPr>
        <w:t>Item 9.01 - Financial Statements and Exhibits</w:t>
      </w:r>
    </w:p>
    <w:p>
      <w:pPr>
        <w:spacing w:after="0" w:line="35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4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(d) Exhibits</w:t>
            </w:r>
          </w:p>
        </w:tc>
        <w:tc>
          <w:tcPr>
            <w:tcW w:w="13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160" w:type="dxa"/>
            <w:vAlign w:val="bottom"/>
          </w:tcPr>
          <w:p>
            <w:pPr>
              <w:spacing w:after="0"/>
              <w:rPr>
                <w:sz w:val="20"/>
                <w:szCs w:val="20"/>
                <w:color w:val="auto"/>
              </w:rPr>
            </w:pPr>
          </w:p>
        </w:tc>
        <w:tc>
          <w:tcPr>
            <w:tcW w:w="5480" w:type="dxa"/>
            <w:vAlign w:val="bottom"/>
          </w:tcPr>
          <w:p>
            <w:pPr>
              <w:spacing w:after="0"/>
              <w:rPr>
                <w:sz w:val="20"/>
                <w:szCs w:val="20"/>
                <w:color w:val="auto"/>
              </w:rPr>
            </w:pPr>
          </w:p>
        </w:tc>
      </w:tr>
      <w:tr>
        <w:trPr>
          <w:trHeight w:val="310"/>
        </w:trPr>
        <w:tc>
          <w:tcPr>
            <w:tcW w:w="60" w:type="dxa"/>
            <w:vAlign w:val="bottom"/>
          </w:tcPr>
          <w:p>
            <w:pPr>
              <w:spacing w:after="0"/>
              <w:rPr>
                <w:sz w:val="24"/>
                <w:szCs w:val="24"/>
                <w:color w:val="auto"/>
              </w:rPr>
            </w:pPr>
          </w:p>
        </w:tc>
        <w:tc>
          <w:tcPr>
            <w:tcW w:w="84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w w:val="97"/>
              </w:rPr>
              <w:t>Exhibit No.</w:t>
            </w:r>
          </w:p>
        </w:tc>
        <w:tc>
          <w:tcPr>
            <w:tcW w:w="5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8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97"/>
              </w:rPr>
              <w:t>Description</w:t>
            </w:r>
          </w:p>
        </w:tc>
        <w:tc>
          <w:tcPr>
            <w:tcW w:w="7640" w:type="dxa"/>
            <w:vAlign w:val="bottom"/>
            <w:gridSpan w:val="2"/>
          </w:tcPr>
          <w:p>
            <w:pPr>
              <w:spacing w:after="0"/>
              <w:rPr>
                <w:sz w:val="24"/>
                <w:szCs w:val="24"/>
                <w:color w:val="auto"/>
              </w:rPr>
            </w:pPr>
          </w:p>
        </w:tc>
      </w:tr>
      <w:tr>
        <w:trPr>
          <w:trHeight w:val="210"/>
        </w:trPr>
        <w:tc>
          <w:tcPr>
            <w:tcW w:w="900" w:type="dxa"/>
            <w:vAlign w:val="bottom"/>
            <w:gridSpan w:val="3"/>
          </w:tcPr>
          <w:p>
            <w:pPr>
              <w:ind w:left="60"/>
              <w:spacing w:after="0"/>
              <w:rPr>
                <w:sz w:val="20"/>
                <w:szCs w:val="20"/>
                <w:color w:val="auto"/>
              </w:rPr>
            </w:pPr>
            <w:r>
              <w:rPr>
                <w:rFonts w:ascii="Times New Roman" w:cs="Times New Roman" w:eastAsia="Times New Roman" w:hAnsi="Times New Roman"/>
                <w:sz w:val="18"/>
                <w:szCs w:val="18"/>
                <w:color w:val="0000FF"/>
              </w:rPr>
              <w:t>99.</w:t>
            </w:r>
            <w:r>
              <w:rPr>
                <w:rFonts w:ascii="Times New Roman" w:cs="Times New Roman" w:eastAsia="Times New Roman" w:hAnsi="Times New Roman"/>
                <w:sz w:val="18"/>
                <w:szCs w:val="18"/>
                <w:u w:val="single" w:color="auto"/>
                <w:color w:val="0000FF"/>
              </w:rPr>
              <w:t>1</w:t>
            </w:r>
          </w:p>
        </w:tc>
        <w:tc>
          <w:tcPr>
            <w:tcW w:w="520" w:type="dxa"/>
            <w:vAlign w:val="bottom"/>
          </w:tcPr>
          <w:p>
            <w:pPr>
              <w:spacing w:after="0"/>
              <w:rPr>
                <w:sz w:val="18"/>
                <w:szCs w:val="18"/>
                <w:color w:val="auto"/>
              </w:rPr>
            </w:pPr>
          </w:p>
        </w:tc>
        <w:tc>
          <w:tcPr>
            <w:tcW w:w="982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0000FF"/>
              </w:rPr>
              <w:t>Press Release issued by the Company dated January 8, 2024</w:t>
            </w:r>
          </w:p>
        </w:tc>
      </w:tr>
      <w:tr>
        <w:trPr>
          <w:trHeight w:val="20"/>
        </w:trPr>
        <w:tc>
          <w:tcPr>
            <w:tcW w:w="360" w:type="dxa"/>
            <w:vAlign w:val="bottom"/>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340" w:type="dxa"/>
            <w:vAlign w:val="bottom"/>
            <w:gridSpan w:val="3"/>
            <w:shd w:val="clear" w:color="auto" w:fill="0000FF"/>
          </w:tcPr>
          <w:p>
            <w:pPr>
              <w:spacing w:after="0" w:line="20" w:lineRule="exact"/>
              <w:rPr>
                <w:sz w:val="1"/>
                <w:szCs w:val="1"/>
                <w:color w:val="auto"/>
              </w:rPr>
            </w:pPr>
          </w:p>
        </w:tc>
        <w:tc>
          <w:tcPr>
            <w:tcW w:w="5480" w:type="dxa"/>
            <w:vAlign w:val="bottom"/>
          </w:tcPr>
          <w:p>
            <w:pPr>
              <w:spacing w:after="0" w:line="20" w:lineRule="exact"/>
              <w:rPr>
                <w:sz w:val="1"/>
                <w:szCs w:val="1"/>
                <w:color w:val="auto"/>
              </w:rPr>
            </w:pPr>
          </w:p>
        </w:tc>
      </w:tr>
      <w:tr>
        <w:trPr>
          <w:trHeight w:val="263"/>
        </w:trPr>
        <w:tc>
          <w:tcPr>
            <w:tcW w:w="3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104</w:t>
            </w:r>
          </w:p>
        </w:tc>
        <w:tc>
          <w:tcPr>
            <w:tcW w:w="54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982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w:t>
            </w:r>
          </w:p>
        </w:tc>
      </w:tr>
      <w:tr>
        <w:trPr>
          <w:trHeight w:val="1114"/>
        </w:trPr>
        <w:tc>
          <w:tcPr>
            <w:tcW w:w="6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540" w:type="dxa"/>
            <w:vAlign w:val="bottom"/>
            <w:tcBorders>
              <w:bottom w:val="single" w:sz="8" w:color="9A9A9A"/>
            </w:tcBorders>
          </w:tcPr>
          <w:p>
            <w:pPr>
              <w:spacing w:after="0"/>
              <w:rPr>
                <w:sz w:val="24"/>
                <w:szCs w:val="24"/>
                <w:color w:val="auto"/>
              </w:rPr>
            </w:pPr>
          </w:p>
        </w:tc>
        <w:tc>
          <w:tcPr>
            <w:tcW w:w="520" w:type="dxa"/>
            <w:vAlign w:val="bottom"/>
            <w:tcBorders>
              <w:bottom w:val="single" w:sz="8" w:color="9A9A9A"/>
            </w:tcBorders>
          </w:tcPr>
          <w:p>
            <w:pPr>
              <w:spacing w:after="0"/>
              <w:rPr>
                <w:sz w:val="24"/>
                <w:szCs w:val="24"/>
                <w:color w:val="auto"/>
              </w:rPr>
            </w:pPr>
          </w:p>
        </w:tc>
        <w:tc>
          <w:tcPr>
            <w:tcW w:w="1340" w:type="dxa"/>
            <w:vAlign w:val="bottom"/>
            <w:tcBorders>
              <w:bottom w:val="single" w:sz="8" w:color="9A9A9A"/>
            </w:tcBorders>
          </w:tcPr>
          <w:p>
            <w:pPr>
              <w:spacing w:after="0"/>
              <w:rPr>
                <w:sz w:val="24"/>
                <w:szCs w:val="24"/>
                <w:color w:val="auto"/>
              </w:rPr>
            </w:pPr>
          </w:p>
        </w:tc>
        <w:tc>
          <w:tcPr>
            <w:tcW w:w="840" w:type="dxa"/>
            <w:vAlign w:val="bottom"/>
            <w:tcBorders>
              <w:bottom w:val="single" w:sz="8" w:color="9A9A9A"/>
            </w:tcBorders>
          </w:tcPr>
          <w:p>
            <w:pPr>
              <w:spacing w:after="0"/>
              <w:rPr>
                <w:sz w:val="24"/>
                <w:szCs w:val="24"/>
                <w:color w:val="auto"/>
              </w:rPr>
            </w:pPr>
          </w:p>
        </w:tc>
        <w:tc>
          <w:tcPr>
            <w:tcW w:w="2160" w:type="dxa"/>
            <w:vAlign w:val="bottom"/>
            <w:tcBorders>
              <w:bottom w:val="single" w:sz="8" w:color="9A9A9A"/>
            </w:tcBorders>
          </w:tcPr>
          <w:p>
            <w:pPr>
              <w:spacing w:after="0"/>
              <w:rPr>
                <w:sz w:val="24"/>
                <w:szCs w:val="24"/>
                <w:color w:val="auto"/>
              </w:rPr>
            </w:pPr>
          </w:p>
        </w:tc>
        <w:tc>
          <w:tcPr>
            <w:tcW w:w="54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3" w:name="page4"/>
    <w:bookmarkEnd w:id="3"/>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364"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89" w:lineRule="exact"/>
        <w:rPr>
          <w:sz w:val="20"/>
          <w:szCs w:val="20"/>
          <w:color w:val="auto"/>
        </w:rPr>
      </w:pPr>
    </w:p>
    <w:p>
      <w:pPr>
        <w:ind w:left="5840"/>
        <w:spacing w:after="0"/>
        <w:rPr>
          <w:sz w:val="20"/>
          <w:szCs w:val="20"/>
          <w:color w:val="auto"/>
        </w:rPr>
      </w:pPr>
      <w:r>
        <w:rPr>
          <w:rFonts w:ascii="Times New Roman" w:cs="Times New Roman" w:eastAsia="Times New Roman" w:hAnsi="Times New Roman"/>
          <w:sz w:val="18"/>
          <w:szCs w:val="18"/>
          <w:color w:val="auto"/>
        </w:rPr>
        <w:t>Fortrea Holdings Inc.</w:t>
      </w:r>
    </w:p>
    <w:p>
      <w:pPr>
        <w:spacing w:after="0" w:line="200" w:lineRule="exact"/>
        <w:rPr>
          <w:sz w:val="20"/>
          <w:szCs w:val="20"/>
          <w:color w:val="auto"/>
        </w:rPr>
      </w:pPr>
    </w:p>
    <w:p>
      <w:pPr>
        <w:spacing w:after="0" w:line="374" w:lineRule="exact"/>
        <w:rPr>
          <w:sz w:val="20"/>
          <w:szCs w:val="20"/>
          <w:color w:val="auto"/>
        </w:rPr>
      </w:pPr>
    </w:p>
    <w:p>
      <w:pPr>
        <w:ind w:left="7100"/>
        <w:spacing w:after="0"/>
        <w:rPr>
          <w:sz w:val="20"/>
          <w:szCs w:val="20"/>
          <w:color w:val="auto"/>
        </w:rPr>
      </w:pPr>
      <w:r>
        <w:rPr>
          <w:rFonts w:ascii="Times New Roman" w:cs="Times New Roman" w:eastAsia="Times New Roman" w:hAnsi="Times New Roman"/>
          <w:sz w:val="18"/>
          <w:szCs w:val="18"/>
          <w:color w:val="auto"/>
        </w:rPr>
        <w:t xml:space="preserve">By: </w:t>
      </w:r>
      <w:r>
        <w:rPr>
          <w:rFonts w:ascii="Times New Roman" w:cs="Times New Roman" w:eastAsia="Times New Roman" w:hAnsi="Times New Roman"/>
          <w:sz w:val="18"/>
          <w:szCs w:val="18"/>
          <w:i w:val="1"/>
          <w:iCs w:val="1"/>
          <w:color w:val="auto"/>
        </w:rPr>
        <w:t>/s/ Stillman Hanson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4685665</wp:posOffset>
            </wp:positionH>
            <wp:positionV relativeFrom="paragraph">
              <wp:posOffset>35560</wp:posOffset>
            </wp:positionV>
            <wp:extent cx="234886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348865" cy="8255"/>
                    </a:xfrm>
                    <a:prstGeom prst="rect">
                      <a:avLst/>
                    </a:prstGeom>
                    <a:noFill/>
                  </pic:spPr>
                </pic:pic>
              </a:graphicData>
            </a:graphic>
          </wp:anchor>
        </w:drawing>
      </w:r>
    </w:p>
    <w:p>
      <w:pPr>
        <w:spacing w:after="0" w:line="45" w:lineRule="exact"/>
        <w:rPr>
          <w:sz w:val="20"/>
          <w:szCs w:val="20"/>
          <w:color w:val="auto"/>
        </w:rPr>
      </w:pPr>
    </w:p>
    <w:p>
      <w:pPr>
        <w:ind w:left="7400"/>
        <w:spacing w:after="0"/>
        <w:rPr>
          <w:sz w:val="20"/>
          <w:szCs w:val="20"/>
          <w:color w:val="auto"/>
        </w:rPr>
      </w:pPr>
      <w:r>
        <w:rPr>
          <w:rFonts w:ascii="Times New Roman" w:cs="Times New Roman" w:eastAsia="Times New Roman" w:hAnsi="Times New Roman"/>
          <w:sz w:val="18"/>
          <w:szCs w:val="18"/>
          <w:color w:val="auto"/>
        </w:rPr>
        <w:t>Name: Stillman Hanson</w:t>
      </w:r>
    </w:p>
    <w:p>
      <w:pPr>
        <w:spacing w:after="0" w:line="50" w:lineRule="exact"/>
        <w:rPr>
          <w:sz w:val="20"/>
          <w:szCs w:val="20"/>
          <w:color w:val="auto"/>
        </w:rPr>
      </w:pPr>
    </w:p>
    <w:p>
      <w:pPr>
        <w:ind w:left="7400"/>
        <w:spacing w:after="0"/>
        <w:rPr>
          <w:sz w:val="20"/>
          <w:szCs w:val="20"/>
          <w:color w:val="auto"/>
        </w:rPr>
      </w:pPr>
      <w:r>
        <w:rPr>
          <w:rFonts w:ascii="Times New Roman" w:cs="Times New Roman" w:eastAsia="Times New Roman" w:hAnsi="Times New Roman"/>
          <w:sz w:val="18"/>
          <w:szCs w:val="18"/>
          <w:color w:val="auto"/>
        </w:rPr>
        <w:t>Title: General Counsel and Secretary</w:t>
      </w:r>
    </w:p>
    <w:p>
      <w:pPr>
        <w:spacing w:after="0" w:line="3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January 8, 2024</w:t>
      </w:r>
    </w:p>
    <w:p>
      <w:pPr>
        <w:sectPr>
          <w:pgSz w:w="11900" w:h="16838" w:orient="portrait"/>
          <w:cols w:equalWidth="0" w:num="1">
            <w:col w:w="11200"/>
          </w:cols>
          <w:pgMar w:left="320" w:top="1238" w:right="379" w:bottom="1440" w:gutter="0" w:footer="0" w:header="0"/>
        </w:sectPr>
      </w:pPr>
    </w:p>
    <w:bookmarkStart w:id="4" w:name="page5"/>
    <w:bookmarkEnd w:id="4"/>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6348730</wp:posOffset>
            </wp:positionH>
            <wp:positionV relativeFrom="paragraph">
              <wp:posOffset>396875</wp:posOffset>
            </wp:positionV>
            <wp:extent cx="788670" cy="21399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88670" cy="2139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Calibri" w:cs="Calibri" w:eastAsia="Calibri" w:hAnsi="Calibri"/>
          <w:sz w:val="25"/>
          <w:szCs w:val="25"/>
          <w:b w:val="1"/>
          <w:bCs w:val="1"/>
          <w:color w:val="auto"/>
        </w:rPr>
        <w:t>Fortrea Previews J.P. Morgan Healthcare Conference Updates</w:t>
      </w:r>
    </w:p>
    <w:p>
      <w:pPr>
        <w:spacing w:after="0" w:line="251" w:lineRule="exact"/>
        <w:rPr>
          <w:sz w:val="20"/>
          <w:szCs w:val="20"/>
          <w:color w:val="auto"/>
        </w:rPr>
      </w:pPr>
    </w:p>
    <w:p>
      <w:pPr>
        <w:ind w:right="220"/>
        <w:spacing w:after="0" w:line="231" w:lineRule="auto"/>
        <w:rPr>
          <w:sz w:val="20"/>
          <w:szCs w:val="20"/>
          <w:color w:val="auto"/>
        </w:rPr>
      </w:pPr>
      <w:r>
        <w:rPr>
          <w:rFonts w:ascii="Calibri" w:cs="Calibri" w:eastAsia="Calibri" w:hAnsi="Calibri"/>
          <w:sz w:val="20"/>
          <w:szCs w:val="20"/>
          <w:color w:val="auto"/>
        </w:rPr>
        <w:t>Fortrea (Nasdaq: FTRE), a leading global contract research organizaton (“CRO”), today previewed key updates that Tom Pike, chairman and chief executve ofcer, and Jill McConnell, chief fnancial ofcer, plan to present at the 42nd Annual J.P. Morgan Healthcare Conference.</w:t>
      </w:r>
    </w:p>
    <w:p>
      <w:pPr>
        <w:spacing w:after="0" w:line="240" w:lineRule="exact"/>
        <w:rPr>
          <w:sz w:val="20"/>
          <w:szCs w:val="20"/>
          <w:color w:val="auto"/>
        </w:rPr>
      </w:pPr>
    </w:p>
    <w:p>
      <w:pPr>
        <w:ind w:right="100"/>
        <w:spacing w:after="0" w:line="233" w:lineRule="auto"/>
        <w:rPr>
          <w:sz w:val="20"/>
          <w:szCs w:val="20"/>
          <w:color w:val="auto"/>
        </w:rPr>
      </w:pPr>
      <w:r>
        <w:rPr>
          <w:rFonts w:ascii="Calibri" w:cs="Calibri" w:eastAsia="Calibri" w:hAnsi="Calibri"/>
          <w:sz w:val="20"/>
          <w:szCs w:val="20"/>
          <w:color w:val="auto"/>
        </w:rPr>
        <w:t>Fortrea contnues to make strong progress in establishing its ft-for-purpose infrastructure, exitng approximately 40 percent of its Transiton Services Agreements (TSAs) with its former parent company by the end of 2023. In additon, the Company has selected two leading technology providers to support the exit of its technology-related TSAs. Fortrea recently hired a recognized industry expert and leader in artfcial intelligence (AI) to lead Fortrea’s eforts in AI and machine learning. Fortrea also made progress in winning new business, delivering a book-to-bill rato that exceeded 1.2x for the fourth quarter of 2023 and achieving its intended target of more than 1.2x for its frst six months as an independent organizaton.</w:t>
      </w:r>
    </w:p>
    <w:p>
      <w:pPr>
        <w:spacing w:after="0" w:line="252" w:lineRule="exact"/>
        <w:rPr>
          <w:sz w:val="20"/>
          <w:szCs w:val="20"/>
          <w:color w:val="auto"/>
        </w:rPr>
      </w:pPr>
    </w:p>
    <w:p>
      <w:pPr>
        <w:ind w:right="380"/>
        <w:spacing w:after="0" w:line="231" w:lineRule="auto"/>
        <w:rPr>
          <w:sz w:val="20"/>
          <w:szCs w:val="20"/>
          <w:color w:val="auto"/>
        </w:rPr>
      </w:pPr>
      <w:r>
        <w:rPr>
          <w:rFonts w:ascii="Calibri" w:cs="Calibri" w:eastAsia="Calibri" w:hAnsi="Calibri"/>
          <w:sz w:val="20"/>
          <w:szCs w:val="20"/>
          <w:color w:val="auto"/>
        </w:rPr>
        <w:t>“We are pleased with how customers have responded to Fortrea and our oferings. Fortrea has a heritage of more than 30 years as a leader in clinical research and has been a leader in quality management,” said Tom Pike. “Fortrea is fulflling its mission to deliver solutons that bring life-changing treatments to patents faster.”</w:t>
      </w:r>
    </w:p>
    <w:p>
      <w:pPr>
        <w:spacing w:after="0" w:line="254" w:lineRule="exact"/>
        <w:rPr>
          <w:sz w:val="20"/>
          <w:szCs w:val="20"/>
          <w:color w:val="auto"/>
        </w:rPr>
      </w:pPr>
    </w:p>
    <w:p>
      <w:pPr>
        <w:ind w:right="240"/>
        <w:spacing w:after="0" w:line="233" w:lineRule="auto"/>
        <w:rPr>
          <w:sz w:val="20"/>
          <w:szCs w:val="20"/>
          <w:color w:val="auto"/>
        </w:rPr>
      </w:pPr>
      <w:r>
        <w:rPr>
          <w:rFonts w:ascii="Calibri" w:cs="Calibri" w:eastAsia="Calibri" w:hAnsi="Calibri"/>
          <w:sz w:val="20"/>
          <w:szCs w:val="20"/>
          <w:color w:val="auto"/>
        </w:rPr>
        <w:t>As part of its commitment to transparency and accountability, Fortrea arranged an independent expert review of its conduct on two ACELYRIN clinical trials for izokibep in diferent indicatons, one in Psoriatc Arthrits (PsA) and an unrelated one in Hidradenits Suppuratva (HS). Fortrea hired Dr. Lindsay McNair MD, MPH, MS Bioethics, to review Fortrea’s conduct of the two clinical trials. Dr. McNair is the principal consultant at Equipoise Consultng, LLC and formerly served as chief medical ofcer of WIRB-Copernicus Group (WCG), where she had oversight of the physician team within the WCG Insttutonal Review Boards. Dr. McNair was given full access to informaton and personnel available to Fortrea and performed her own independent assessment.</w:t>
      </w:r>
    </w:p>
    <w:p>
      <w:pPr>
        <w:spacing w:after="0" w:line="238" w:lineRule="exact"/>
        <w:rPr>
          <w:sz w:val="20"/>
          <w:szCs w:val="20"/>
          <w:color w:val="auto"/>
        </w:rPr>
      </w:pPr>
    </w:p>
    <w:p>
      <w:pPr>
        <w:ind w:right="80"/>
        <w:spacing w:after="0" w:line="234" w:lineRule="auto"/>
        <w:rPr>
          <w:sz w:val="20"/>
          <w:szCs w:val="20"/>
          <w:color w:val="auto"/>
        </w:rPr>
      </w:pPr>
      <w:r>
        <w:rPr>
          <w:rFonts w:ascii="Calibri" w:cs="Calibri" w:eastAsia="Calibri" w:hAnsi="Calibri"/>
          <w:sz w:val="20"/>
          <w:szCs w:val="20"/>
          <w:color w:val="auto"/>
        </w:rPr>
        <w:t>In the PsA study, as previously reported, there was an interactve response technology (IRT) programming error by a third party contracted by Fortrea, which is not Fortrea’s IRT subsidiary, endpoint Clinical. Regarding Fortrea’s role and actvites in the PsA study, the report concluded that: “Afer review of all available informaton, there is no indicaton that the IRT programming error or lack of identfcaton of the error during UAT (user acceptance testng), were the result of any defcit in performance by Fortrea, or the result of inadequate practces for vendor management and oversight in Study 22104.”</w:t>
      </w:r>
    </w:p>
    <w:p>
      <w:pPr>
        <w:spacing w:after="0" w:line="241" w:lineRule="exact"/>
        <w:rPr>
          <w:sz w:val="20"/>
          <w:szCs w:val="20"/>
          <w:color w:val="auto"/>
        </w:rPr>
      </w:pPr>
    </w:p>
    <w:p>
      <w:pPr>
        <w:ind w:right="40"/>
        <w:spacing w:after="0" w:line="234" w:lineRule="auto"/>
        <w:rPr>
          <w:sz w:val="20"/>
          <w:szCs w:val="20"/>
          <w:color w:val="auto"/>
        </w:rPr>
      </w:pPr>
      <w:r>
        <w:rPr>
          <w:rFonts w:ascii="Calibri" w:cs="Calibri" w:eastAsia="Calibri" w:hAnsi="Calibri"/>
          <w:sz w:val="20"/>
          <w:szCs w:val="20"/>
          <w:color w:val="auto"/>
        </w:rPr>
        <w:t>Regarding the HS study, the report found that: “There is also no indicaton that any Fortrea actons, processes or practces contributed to the clinical results of Study 21102.”</w:t>
      </w:r>
    </w:p>
    <w:p>
      <w:pPr>
        <w:spacing w:after="0" w:line="230" w:lineRule="exact"/>
        <w:rPr>
          <w:sz w:val="20"/>
          <w:szCs w:val="20"/>
          <w:color w:val="auto"/>
        </w:rPr>
      </w:pPr>
    </w:p>
    <w:p>
      <w:pPr>
        <w:spacing w:after="0"/>
        <w:rPr>
          <w:sz w:val="20"/>
          <w:szCs w:val="20"/>
          <w:color w:val="auto"/>
        </w:rPr>
      </w:pPr>
      <w:r>
        <w:rPr>
          <w:rFonts w:ascii="Calibri" w:cs="Calibri" w:eastAsia="Calibri" w:hAnsi="Calibri"/>
          <w:sz w:val="20"/>
          <w:szCs w:val="20"/>
          <w:color w:val="auto"/>
        </w:rPr>
        <w:t>Dr. McNair’s work was based on informaton available to Fortrea and any new facts that become available will be assessed.</w:t>
      </w:r>
    </w:p>
    <w:p>
      <w:pPr>
        <w:spacing w:after="0" w:line="252" w:lineRule="exact"/>
        <w:rPr>
          <w:sz w:val="20"/>
          <w:szCs w:val="20"/>
          <w:color w:val="auto"/>
        </w:rPr>
      </w:pPr>
    </w:p>
    <w:p>
      <w:pPr>
        <w:ind w:right="600"/>
        <w:spacing w:after="0" w:line="231" w:lineRule="auto"/>
        <w:rPr>
          <w:sz w:val="20"/>
          <w:szCs w:val="20"/>
          <w:color w:val="auto"/>
        </w:rPr>
      </w:pPr>
      <w:r>
        <w:rPr>
          <w:rFonts w:ascii="Calibri" w:cs="Calibri" w:eastAsia="Calibri" w:hAnsi="Calibri"/>
          <w:sz w:val="20"/>
          <w:szCs w:val="20"/>
          <w:color w:val="auto"/>
        </w:rPr>
        <w:t>In recent weeks, Fortrea’s management learned of select new business proposals and awards that were afected by the news surrounding these clinical trials. The Company believes Dr. McNair’s expert report confrming Fortrea’s appropriate conduct of the studies will reassure customers and prospects going</w:t>
      </w:r>
    </w:p>
    <w:p>
      <w:pPr>
        <w:sectPr>
          <w:pgSz w:w="11900" w:h="16838" w:orient="portrait"/>
          <w:cols w:equalWidth="0" w:num="1">
            <w:col w:w="11240"/>
          </w:cols>
          <w:pgMar w:left="320" w:top="603" w:right="339" w:bottom="1440" w:gutter="0" w:footer="0" w:header="0"/>
        </w:sectPr>
      </w:pPr>
    </w:p>
    <w:bookmarkStart w:id="5" w:name="page6"/>
    <w:bookmarkEnd w:id="5"/>
    <w:p>
      <w:pPr>
        <w:spacing w:after="0"/>
        <w:rPr>
          <w:sz w:val="20"/>
          <w:szCs w:val="20"/>
          <w:color w:val="auto"/>
        </w:rPr>
      </w:pPr>
      <w:r>
        <w:rPr>
          <w:rFonts w:ascii="Calibri" w:cs="Calibri" w:eastAsia="Calibri" w:hAnsi="Calibri"/>
          <w:sz w:val="20"/>
          <w:szCs w:val="20"/>
          <w:color w:val="auto"/>
        </w:rPr>
        <w:t>forward. Fortrea is contnuing to provide support to ACELYRIN, including its audit and assessments, on these studies.</w:t>
      </w:r>
    </w:p>
    <w:p>
      <w:pPr>
        <w:spacing w:after="0" w:line="252" w:lineRule="exact"/>
        <w:rPr>
          <w:sz w:val="20"/>
          <w:szCs w:val="20"/>
          <w:color w:val="auto"/>
        </w:rPr>
      </w:pPr>
    </w:p>
    <w:p>
      <w:pPr>
        <w:ind w:right="280"/>
        <w:spacing w:after="0" w:line="231" w:lineRule="auto"/>
        <w:rPr>
          <w:sz w:val="20"/>
          <w:szCs w:val="20"/>
          <w:color w:val="auto"/>
        </w:rPr>
      </w:pPr>
      <w:r>
        <w:rPr>
          <w:rFonts w:ascii="Calibri" w:cs="Calibri" w:eastAsia="Calibri" w:hAnsi="Calibri"/>
          <w:sz w:val="20"/>
          <w:szCs w:val="20"/>
          <w:color w:val="auto"/>
        </w:rPr>
        <w:t>“As a biotech investor myself, efectve quality practces and relatonships between the biotech industry and CROs are critcal for the industry’s success,” contnued Mr. Pike. “We are commited to the highest standards of quality and safety, and we have the systems in place that meet and exceed those standards and deliver for our customers and the patents they serve.”</w:t>
      </w:r>
    </w:p>
    <w:p>
      <w:pPr>
        <w:spacing w:after="0" w:line="240" w:lineRule="exact"/>
        <w:rPr>
          <w:sz w:val="20"/>
          <w:szCs w:val="20"/>
          <w:color w:val="auto"/>
        </w:rPr>
      </w:pPr>
    </w:p>
    <w:p>
      <w:pPr>
        <w:ind w:right="280"/>
        <w:spacing w:after="0" w:line="234" w:lineRule="auto"/>
        <w:rPr>
          <w:sz w:val="20"/>
          <w:szCs w:val="20"/>
          <w:color w:val="auto"/>
        </w:rPr>
      </w:pPr>
      <w:r>
        <w:rPr>
          <w:rFonts w:ascii="Calibri" w:cs="Calibri" w:eastAsia="Calibri" w:hAnsi="Calibri"/>
          <w:sz w:val="20"/>
          <w:szCs w:val="20"/>
          <w:color w:val="auto"/>
        </w:rPr>
        <w:t>The live webcast of Fortrea’s presentaton at the J.P. Morgan Healthcare Conference will be available to investors and other interested partes by accessing the Fortrea Investor Relatons website. A webcast replay will be available afer the conclusion of the event.</w:t>
      </w:r>
    </w:p>
    <w:p>
      <w:pPr>
        <w:spacing w:after="0" w:line="243" w:lineRule="exact"/>
        <w:rPr>
          <w:sz w:val="20"/>
          <w:szCs w:val="20"/>
          <w:color w:val="auto"/>
        </w:rPr>
      </w:pPr>
    </w:p>
    <w:p>
      <w:pPr>
        <w:spacing w:after="0"/>
        <w:rPr>
          <w:sz w:val="20"/>
          <w:szCs w:val="20"/>
          <w:color w:val="auto"/>
        </w:rPr>
      </w:pPr>
      <w:r>
        <w:rPr>
          <w:rFonts w:ascii="Calibri" w:cs="Calibri" w:eastAsia="Calibri" w:hAnsi="Calibri"/>
          <w:sz w:val="20"/>
          <w:szCs w:val="20"/>
          <w:b w:val="1"/>
          <w:bCs w:val="1"/>
          <w:color w:val="auto"/>
        </w:rPr>
        <w:t>About Fortrea</w:t>
      </w:r>
    </w:p>
    <w:p>
      <w:pPr>
        <w:jc w:val="both"/>
        <w:spacing w:after="0" w:line="232" w:lineRule="auto"/>
        <w:rPr>
          <w:sz w:val="20"/>
          <w:szCs w:val="20"/>
          <w:color w:val="auto"/>
        </w:rPr>
      </w:pPr>
      <w:r>
        <w:rPr>
          <w:rFonts w:ascii="Calibri" w:cs="Calibri" w:eastAsia="Calibri" w:hAnsi="Calibri"/>
          <w:sz w:val="20"/>
          <w:szCs w:val="20"/>
          <w:color w:val="auto"/>
        </w:rPr>
        <w:t>Fortrea (Nasdaq: FTRE) is a leading global provider of clinical development and patent access solutons to the life sciences industry. We partner with emerging and large biopharmaceutcal, medical device and diagnostc companies to drive healthcare innovaton that accelerates life changing therapies to patents in need. Fortrea provides phase I-IV clinical trial management, clinical pharmacology, diferentated technology-enabled trial solutons and post-approval services. Fortrea’s solutons leverage three decades of experience spanning more than 20 therapeutc areas, a passion for scientfc rigor, exceptonal insights and a strong investgator site network. Our talented and diverse team of about 19,000 people working in more than 90 countries is scaled to deliver focused and agile solutons to customers globally. Learn more about how Fortrea is becoming a transformatve force from pipeline to patent at Fortrea.com and follow us on LinkedIn and X (formerly Twiter) @Fortrea.</w:t>
      </w:r>
    </w:p>
    <w:p>
      <w:pPr>
        <w:spacing w:after="0" w:line="244" w:lineRule="exact"/>
        <w:rPr>
          <w:sz w:val="20"/>
          <w:szCs w:val="20"/>
          <w:color w:val="auto"/>
        </w:rPr>
      </w:pPr>
    </w:p>
    <w:p>
      <w:pPr>
        <w:spacing w:after="0"/>
        <w:rPr>
          <w:sz w:val="20"/>
          <w:szCs w:val="20"/>
          <w:color w:val="auto"/>
        </w:rPr>
      </w:pPr>
      <w:r>
        <w:rPr>
          <w:rFonts w:ascii="Calibri" w:cs="Calibri" w:eastAsia="Calibri" w:hAnsi="Calibri"/>
          <w:sz w:val="20"/>
          <w:szCs w:val="20"/>
          <w:b w:val="1"/>
          <w:bCs w:val="1"/>
          <w:color w:val="auto"/>
        </w:rPr>
        <w:t>Cautonary Statement Regarding Forward-Looking Statements</w:t>
      </w:r>
    </w:p>
    <w:p>
      <w:pPr>
        <w:spacing w:after="0" w:line="9" w:lineRule="exact"/>
        <w:rPr>
          <w:sz w:val="20"/>
          <w:szCs w:val="20"/>
          <w:color w:val="auto"/>
        </w:rPr>
      </w:pPr>
    </w:p>
    <w:p>
      <w:pPr>
        <w:jc w:val="both"/>
        <w:spacing w:after="0"/>
        <w:rPr>
          <w:sz w:val="20"/>
          <w:szCs w:val="20"/>
          <w:color w:val="auto"/>
        </w:rPr>
      </w:pPr>
      <w:r>
        <w:rPr>
          <w:rFonts w:ascii="Calibri" w:cs="Calibri" w:eastAsia="Calibri" w:hAnsi="Calibri"/>
          <w:sz w:val="20"/>
          <w:szCs w:val="20"/>
          <w:color w:val="auto"/>
        </w:rPr>
        <w:t>This press release contains “forward-looking statements” within the meaning of the federal securites laws, including Secton 27A of the Securites Act of 1933, as amended, and Secton 21E of the Securites Exchange Act of 1934, as amended, including, without limitaton, the risk that the company’s book-to-bill does not result in fnancial improvement; the company may contnue to be impacted by statements made about it regarding study conduct in winning new and retaining existng business, coupled with increased incremental expenses associated with these issues and future related audits; the company’s ability to exit its Transiton Services Agreements with its former parent company; and the company’s eforts in artfcial intelligence and machine learning, could adversely impact our future fnancial results. In this context, forward-looking statements ofen address expected future business and fnancial performance and fnancial conditon, and ofen contain words such as “guidance,” “expect,” “assume,” “antcipate,” “intend,” “plan,” “forecast,” “believe,” “seek,” “see,” “will,” “would,” “target,” similar expressions, and variatons or negatves of these words that are intended to identfy forward-looking statements, although not all forward-looking statements contain these identfying words. Actual results may difer materially from the company’s expectatons due to a number of factors, including, but not limited to, the factors described from tme to tme in documents that the company fles with the SEC. For a further discussion of the risks relatng to the company’s business, see the “Risk Factors” Secton of the company’s Informaton Statement fled with the company’s Registraton Statement on Form 10, as amended (the “Form 10”), as fled with the Securites and Exchange Commission (the "SEC"), as such factors may be amended or updated from tme to tme in the company’s subsequent periodic and other flings with the SEC, which are accessible on the SEC’s website at www.sec.gov. These factors should not be construed as exhaustve and should be read in conjuncton with the other cautonary statements that are included in this release and in the company’s flings with the SEC. Comparisons of results for current and any prior periods are not intended to express any future, or indicatons of future performance, unless expressed as such, and should only be viewed as historical data. All forward-looking statements</w:t>
      </w:r>
    </w:p>
    <w:p>
      <w:pPr>
        <w:sectPr>
          <w:pgSz w:w="11900" w:h="16838" w:orient="portrait"/>
          <w:cols w:equalWidth="0" w:num="1">
            <w:col w:w="11240"/>
          </w:cols>
          <w:pgMar w:left="320" w:top="1401" w:right="339" w:bottom="1440" w:gutter="0" w:footer="0" w:header="0"/>
        </w:sectPr>
      </w:pPr>
    </w:p>
    <w:bookmarkStart w:id="6" w:name="page7"/>
    <w:bookmarkEnd w:id="6"/>
    <w:p>
      <w:pPr>
        <w:spacing w:after="0" w:line="234" w:lineRule="auto"/>
        <w:rPr>
          <w:sz w:val="20"/>
          <w:szCs w:val="20"/>
          <w:color w:val="auto"/>
        </w:rPr>
      </w:pPr>
      <w:r>
        <w:rPr>
          <w:rFonts w:ascii="Calibri" w:cs="Calibri" w:eastAsia="Calibri" w:hAnsi="Calibri"/>
          <w:sz w:val="20"/>
          <w:szCs w:val="20"/>
          <w:color w:val="auto"/>
        </w:rPr>
        <w:t>are made only as of the date of this release and the company does not undertake any obligaton, other than as may be required by law, to update or revise any forward-looking statements to refect future events or developments.</w:t>
      </w:r>
    </w:p>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rFonts w:ascii="Calibri" w:cs="Calibri" w:eastAsia="Calibri" w:hAnsi="Calibri"/>
          <w:sz w:val="20"/>
          <w:szCs w:val="20"/>
          <w:b w:val="1"/>
          <w:bCs w:val="1"/>
          <w:color w:val="auto"/>
        </w:rPr>
        <w:t>Fortrea Contacts:</w:t>
      </w:r>
    </w:p>
    <w:p>
      <w:pPr>
        <w:spacing w:after="0" w:line="238" w:lineRule="auto"/>
        <w:rPr>
          <w:sz w:val="20"/>
          <w:szCs w:val="20"/>
          <w:color w:val="auto"/>
        </w:rPr>
      </w:pPr>
      <w:r>
        <w:rPr>
          <w:rFonts w:ascii="Calibri" w:cs="Calibri" w:eastAsia="Calibri" w:hAnsi="Calibri"/>
          <w:sz w:val="20"/>
          <w:szCs w:val="20"/>
          <w:color w:val="auto"/>
        </w:rPr>
        <w:t xml:space="preserve">Sue Zaranek (Media) – 919-943 5422, </w:t>
      </w:r>
      <w:r>
        <w:rPr>
          <w:rFonts w:ascii="Calibri" w:cs="Calibri" w:eastAsia="Calibri" w:hAnsi="Calibri"/>
          <w:sz w:val="20"/>
          <w:szCs w:val="20"/>
          <w:u w:val="single" w:color="auto"/>
          <w:color w:val="3051F2"/>
        </w:rPr>
        <w:t>media@fortrea.com</w:t>
      </w:r>
    </w:p>
    <w:p>
      <w:pPr>
        <w:spacing w:after="0" w:line="226" w:lineRule="auto"/>
        <w:rPr>
          <w:sz w:val="20"/>
          <w:szCs w:val="20"/>
          <w:color w:val="auto"/>
        </w:rPr>
      </w:pPr>
      <w:r>
        <w:rPr>
          <w:rFonts w:ascii="Calibri" w:cs="Calibri" w:eastAsia="Calibri" w:hAnsi="Calibri"/>
          <w:sz w:val="20"/>
          <w:szCs w:val="20"/>
          <w:color w:val="auto"/>
        </w:rPr>
        <w:t xml:space="preserve">Kate Dillon (Media) – 646-818-9115, </w:t>
      </w:r>
      <w:r>
        <w:rPr>
          <w:rFonts w:ascii="Calibri" w:cs="Calibri" w:eastAsia="Calibri" w:hAnsi="Calibri"/>
          <w:sz w:val="20"/>
          <w:szCs w:val="20"/>
          <w:color w:val="3051F2"/>
        </w:rPr>
        <w:t>kdillon@prosek.com</w:t>
      </w:r>
    </w:p>
    <w:p>
      <w:pPr>
        <w:spacing w:after="0"/>
        <w:rPr>
          <w:sz w:val="20"/>
          <w:szCs w:val="20"/>
          <w:color w:val="auto"/>
        </w:rPr>
      </w:pPr>
      <w:r>
        <w:rPr>
          <w:rFonts w:ascii="Calibri" w:cs="Calibri" w:eastAsia="Calibri" w:hAnsi="Calibri"/>
          <w:sz w:val="20"/>
          <w:szCs w:val="20"/>
          <w:color w:val="auto"/>
        </w:rPr>
        <w:t xml:space="preserve">Hima Inguva (Investors) – 877-495-0816, </w:t>
      </w:r>
      <w:r>
        <w:rPr>
          <w:rFonts w:ascii="Calibri" w:cs="Calibri" w:eastAsia="Calibri" w:hAnsi="Calibri"/>
          <w:sz w:val="20"/>
          <w:szCs w:val="20"/>
          <w:u w:val="single" w:color="auto"/>
          <w:color w:val="3051F2"/>
        </w:rPr>
        <w:t>hima.inguva@fortrea.com</w:t>
      </w:r>
    </w:p>
    <w:sectPr>
      <w:pgSz w:w="11900" w:h="16838" w:orient="portrait"/>
      <w:cols w:equalWidth="0" w:num="1">
        <w:col w:w="11240"/>
      </w:cols>
      <w:pgMar w:left="320" w:top="141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2024-01-08T06:18:36Z</dcterms:created>
  <dcterms:modified xsi:type="dcterms:W3CDTF">2024-01-08T06:18:36Z</dcterms:modified>
</cp:coreProperties>
</file>