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June 3, 2024</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1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001-41704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1040" w:type="dxa"/>
            <w:vAlign w:val="bottom"/>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80" w:type="dxa"/>
            <w:vAlign w:val="bottom"/>
          </w:tcPr>
          <w:p>
            <w:pPr>
              <w:spacing w:after="0"/>
              <w:rPr>
                <w:sz w:val="19"/>
                <w:szCs w:val="19"/>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19"/>
                <w:szCs w:val="19"/>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9"/>
                <w:szCs w:val="19"/>
                <w:color w:val="auto"/>
              </w:rPr>
            </w:pPr>
          </w:p>
        </w:tc>
        <w:tc>
          <w:tcPr>
            <w:tcW w:w="3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616"/>
        </w:trPr>
        <w:tc>
          <w:tcPr>
            <w:tcW w:w="80" w:type="dxa"/>
            <w:vAlign w:val="bottom"/>
          </w:tcPr>
          <w:p>
            <w:pPr>
              <w:spacing w:after="0"/>
              <w:rPr>
                <w:sz w:val="24"/>
                <w:szCs w:val="24"/>
                <w:color w:val="auto"/>
              </w:rPr>
            </w:pPr>
          </w:p>
        </w:tc>
        <w:tc>
          <w:tcPr>
            <w:tcW w:w="4260" w:type="dxa"/>
            <w:vAlign w:val="bottom"/>
            <w:gridSpan w:val="2"/>
          </w:tcPr>
          <w:p>
            <w:pPr>
              <w:jc w:val="center"/>
              <w:ind w:left="2590"/>
              <w:spacing w:after="0"/>
              <w:rPr>
                <w:sz w:val="20"/>
                <w:szCs w:val="20"/>
                <w:color w:val="auto"/>
              </w:rPr>
            </w:pPr>
            <w:r>
              <w:rPr>
                <w:rFonts w:ascii="Times New Roman" w:cs="Times New Roman" w:eastAsia="Times New Roman" w:hAnsi="Times New Roman"/>
                <w:sz w:val="18"/>
                <w:szCs w:val="18"/>
                <w:b w:val="1"/>
                <w:bCs w:val="1"/>
                <w:color w:val="auto"/>
                <w:w w:val="98"/>
              </w:rPr>
              <w:t>8 Moore Drive</w:t>
            </w: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7"/>
        </w:trPr>
        <w:tc>
          <w:tcPr>
            <w:tcW w:w="80" w:type="dxa"/>
            <w:vAlign w:val="bottom"/>
          </w:tcPr>
          <w:p>
            <w:pPr>
              <w:spacing w:after="0"/>
              <w:rPr>
                <w:sz w:val="22"/>
                <w:szCs w:val="22"/>
                <w:color w:val="auto"/>
              </w:rPr>
            </w:pPr>
          </w:p>
        </w:tc>
        <w:tc>
          <w:tcPr>
            <w:tcW w:w="42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Durham,</w:t>
            </w:r>
          </w:p>
        </w:tc>
        <w:tc>
          <w:tcPr>
            <w:tcW w:w="314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North Carolina</w:t>
            </w:r>
          </w:p>
        </w:tc>
        <w:tc>
          <w:tcPr>
            <w:tcW w:w="266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27709</w:t>
            </w:r>
          </w:p>
        </w:tc>
        <w:tc>
          <w:tcPr>
            <w:tcW w:w="1040" w:type="dxa"/>
            <w:vAlign w:val="bottom"/>
          </w:tcPr>
          <w:p>
            <w:pPr>
              <w:spacing w:after="0"/>
              <w:rPr>
                <w:sz w:val="22"/>
                <w:szCs w:val="22"/>
                <w:color w:val="auto"/>
              </w:rPr>
            </w:pPr>
          </w:p>
        </w:tc>
      </w:tr>
      <w:tr>
        <w:trPr>
          <w:trHeight w:val="27"/>
        </w:trPr>
        <w:tc>
          <w:tcPr>
            <w:tcW w:w="80" w:type="dxa"/>
            <w:vAlign w:val="bottom"/>
          </w:tcPr>
          <w:p>
            <w:pPr>
              <w:spacing w:after="0"/>
              <w:rPr>
                <w:sz w:val="2"/>
                <w:szCs w:val="2"/>
                <w:color w:val="auto"/>
              </w:rPr>
            </w:pPr>
          </w:p>
        </w:tc>
        <w:tc>
          <w:tcPr>
            <w:tcW w:w="7020" w:type="dxa"/>
            <w:vAlign w:val="bottom"/>
            <w:gridSpan w:val="3"/>
          </w:tcPr>
          <w:p>
            <w:pPr>
              <w:spacing w:after="0"/>
              <w:rPr>
                <w:sz w:val="2"/>
                <w:szCs w:val="2"/>
                <w:color w:val="auto"/>
              </w:rPr>
            </w:pPr>
          </w:p>
        </w:tc>
        <w:tc>
          <w:tcPr>
            <w:tcW w:w="380" w:type="dxa"/>
            <w:vAlign w:val="bottom"/>
            <w:gridSpan w:val="3"/>
          </w:tcPr>
          <w:p>
            <w:pPr>
              <w:spacing w:after="0"/>
              <w:rPr>
                <w:sz w:val="2"/>
                <w:szCs w:val="2"/>
                <w:color w:val="auto"/>
              </w:rPr>
            </w:pPr>
          </w:p>
        </w:tc>
        <w:tc>
          <w:tcPr>
            <w:tcW w:w="3700" w:type="dxa"/>
            <w:vAlign w:val="bottom"/>
            <w:gridSpan w:val="2"/>
          </w:tcPr>
          <w:p>
            <w:pPr>
              <w:spacing w:after="0"/>
              <w:rPr>
                <w:sz w:val="2"/>
                <w:szCs w:val="2"/>
                <w:color w:val="auto"/>
              </w:rPr>
            </w:pPr>
          </w:p>
        </w:tc>
      </w:tr>
      <w:tr>
        <w:trPr>
          <w:trHeight w:val="228"/>
        </w:trPr>
        <w:tc>
          <w:tcPr>
            <w:tcW w:w="80" w:type="dxa"/>
            <w:vAlign w:val="bottom"/>
            <w:tcBorders>
              <w:top w:val="single" w:sz="8" w:color="auto"/>
            </w:tcBorders>
          </w:tcPr>
          <w:p>
            <w:pPr>
              <w:spacing w:after="0"/>
              <w:rPr>
                <w:sz w:val="19"/>
                <w:szCs w:val="19"/>
                <w:color w:val="auto"/>
              </w:rPr>
            </w:pPr>
          </w:p>
        </w:tc>
        <w:tc>
          <w:tcPr>
            <w:tcW w:w="70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22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(Zip Code)</w:t>
            </w:r>
          </w:p>
        </w:tc>
        <w:tc>
          <w:tcPr>
            <w:tcW w:w="1040" w:type="dxa"/>
            <w:vAlign w:val="bottom"/>
          </w:tcPr>
          <w:p>
            <w:pPr>
              <w:spacing w:after="0"/>
              <w:rPr>
                <w:sz w:val="19"/>
                <w:szCs w:val="19"/>
                <w:color w:val="auto"/>
              </w:rPr>
            </w:pPr>
          </w:p>
        </w:tc>
      </w:tr>
    </w:tbl>
    <w:p>
      <w:pPr>
        <w:spacing w:after="0" w:line="3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877-495-0816</w:t>
      </w:r>
    </w:p>
    <w:p>
      <w:pPr>
        <w:spacing w:after="0" w:line="297" w:lineRule="exact"/>
        <w:rPr>
          <w:sz w:val="24"/>
          <w:szCs w:val="24"/>
          <w:color w:val="auto"/>
        </w:rPr>
      </w:pPr>
    </w:p>
    <w:p>
      <w:pPr>
        <w:jc w:val="center"/>
        <w:ind w:left="400" w:right="2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9" w:lineRule="exact"/>
        <w:rPr>
          <w:sz w:val="24"/>
          <w:szCs w:val="24"/>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55"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480" w:hanging="373"/>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p>
      <w:pPr>
        <w:spacing w:after="0" w:line="46" w:lineRule="exact"/>
        <w:rPr>
          <w:sz w:val="24"/>
          <w:szCs w:val="24"/>
          <w:color w:val="auto"/>
        </w:rPr>
      </w:pPr>
    </w:p>
    <w:p>
      <w:pPr>
        <w:spacing w:after="0"/>
        <w:tabs>
          <w:tab w:leader="none" w:pos="18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 Name of exchange on which registered</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Common Stock, $0.001 par value FTRE The NASDAQ Stock Market LLC</w:t>
      </w:r>
    </w:p>
    <w:p>
      <w:pPr>
        <w:spacing w:after="0" w:line="28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2024, Fortrea Holdings Inc. (the “Company”) completed its previously announced divestiture of assets relating to its Enabling Services</w:t>
      </w:r>
    </w:p>
    <w:p>
      <w:pPr>
        <w:spacing w:after="0" w:line="5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segment, namely its Endpoint Clinical and Fortrea Patient Access businesses, including the sale of equity interests of Fortrea Patient Access Inc. and its subsidiaries and Endpoint Clinical, Inc. and its subsidiaries, to an affiliate of Arsenal Capital Partners (the “Transaction”). The final purchase price for the Transaction was $295.0 million paid at closing (subject to a customary post-closing purchase price adjustment) and $45.0 million to be paid upon achievement of certain transition-related milestones. A copy of the press release announcing the closing is furnished herewith as Exhibit 99.1 to this Current Report on Form 8-K and is incorporated herein by reference.</w:t>
      </w:r>
    </w:p>
    <w:p>
      <w:pPr>
        <w:spacing w:after="0" w:line="21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Pursuant to General Instruction B.2 of Current Report on Form 8-K, the information contained in, or incorporated into, Item 7.01, including the press release attached hereto as Exhibit 99.1, is being furnished and shall not be deemed “filed” for the purposes of Section 18 of the Exchange Act, or otherwise subject to the liabilities of that section, nor shall it be deemed incorporated by reference into any registration statement or other filing under the Securities Act, except as shall be expressly set forth by specific reference to such filing.</w:t>
      </w:r>
    </w:p>
    <w:p>
      <w:pPr>
        <w:spacing w:after="0" w:line="207"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10"/>
        </w:trPr>
        <w:tc>
          <w:tcPr>
            <w:tcW w:w="6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Exhibit No.</w:t>
            </w: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7"/>
              </w:rPr>
              <w:t>Description</w:t>
            </w:r>
          </w:p>
        </w:tc>
        <w:tc>
          <w:tcPr>
            <w:tcW w:w="7640" w:type="dxa"/>
            <w:vAlign w:val="bottom"/>
            <w:gridSpan w:val="2"/>
          </w:tcPr>
          <w:p>
            <w:pPr>
              <w:spacing w:after="0"/>
              <w:rPr>
                <w:sz w:val="24"/>
                <w:szCs w:val="24"/>
                <w:color w:val="auto"/>
              </w:rPr>
            </w:pPr>
          </w:p>
        </w:tc>
      </w:tr>
      <w:tr>
        <w:trPr>
          <w:trHeight w:val="209"/>
        </w:trPr>
        <w:tc>
          <w:tcPr>
            <w:tcW w:w="9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20" w:type="dxa"/>
            <w:vAlign w:val="bottom"/>
          </w:tcPr>
          <w:p>
            <w:pPr>
              <w:spacing w:after="0"/>
              <w:rPr>
                <w:sz w:val="18"/>
                <w:szCs w:val="18"/>
                <w:color w:val="auto"/>
              </w:rPr>
            </w:pPr>
          </w:p>
        </w:tc>
        <w:tc>
          <w:tcPr>
            <w:tcW w:w="9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Press Release issued by the Company dated June 4, 2024 announcing completion of the divestiture of the Endpoint Clinical and</w:t>
            </w:r>
          </w:p>
        </w:tc>
      </w:tr>
      <w:tr>
        <w:trPr>
          <w:trHeight w:val="156"/>
        </w:trPr>
        <w:tc>
          <w:tcPr>
            <w:tcW w:w="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2"/>
          </w:tcPr>
          <w:p>
            <w:pPr>
              <w:ind w:left="20"/>
              <w:spacing w:after="0" w:line="156" w:lineRule="exact"/>
              <w:rPr>
                <w:sz w:val="20"/>
                <w:szCs w:val="20"/>
                <w:color w:val="auto"/>
              </w:rPr>
            </w:pPr>
            <w:r>
              <w:rPr>
                <w:rFonts w:ascii="Times New Roman" w:cs="Times New Roman" w:eastAsia="Times New Roman" w:hAnsi="Times New Roman"/>
                <w:sz w:val="18"/>
                <w:szCs w:val="18"/>
                <w:color w:val="0000FF"/>
                <w:w w:val="98"/>
              </w:rPr>
              <w:t>Patient Access Businesses</w:t>
            </w:r>
          </w:p>
        </w:tc>
        <w:tc>
          <w:tcPr>
            <w:tcW w:w="7300" w:type="dxa"/>
            <w:vAlign w:val="bottom"/>
            <w:tcBorders>
              <w:top w:val="single" w:sz="8" w:color="0000FF"/>
            </w:tcBorders>
            <w:gridSpan w:val="2"/>
          </w:tcPr>
          <w:p>
            <w:pPr>
              <w:spacing w:after="0"/>
              <w:rPr>
                <w:sz w:val="13"/>
                <w:szCs w:val="13"/>
                <w:color w:val="auto"/>
              </w:rPr>
            </w:pPr>
          </w:p>
        </w:tc>
        <w:tc>
          <w:tcPr>
            <w:tcW w:w="620" w:type="dxa"/>
            <w:vAlign w:val="bottom"/>
          </w:tcPr>
          <w:p>
            <w:pPr>
              <w:spacing w:after="0"/>
              <w:rPr>
                <w:sz w:val="13"/>
                <w:szCs w:val="13"/>
                <w:color w:val="auto"/>
              </w:rPr>
            </w:pPr>
          </w:p>
        </w:tc>
      </w:tr>
      <w:tr>
        <w:trPr>
          <w:trHeight w:val="277"/>
        </w:trPr>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01"/>
        </w:trPr>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00" w:lineRule="exact"/>
        <w:rPr>
          <w:sz w:val="20"/>
          <w:szCs w:val="20"/>
          <w:color w:val="auto"/>
        </w:rPr>
      </w:pPr>
    </w:p>
    <w:p>
      <w:pPr>
        <w:spacing w:after="0" w:line="374"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35560</wp:posOffset>
            </wp:positionV>
            <wp:extent cx="234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4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Name: Jill McConnell</w:t>
      </w:r>
    </w:p>
    <w:p>
      <w:pPr>
        <w:spacing w:after="0" w:line="50"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4, 2024</w:t>
      </w:r>
    </w:p>
    <w:p>
      <w:pPr>
        <w:sectPr>
          <w:pgSz w:w="11900" w:h="16838" w:orient="portrait"/>
          <w:cols w:equalWidth="0" w:num="1">
            <w:col w:w="11200"/>
          </w:cols>
          <w:pgMar w:left="320" w:top="1238"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6348730</wp:posOffset>
            </wp:positionH>
            <wp:positionV relativeFrom="paragraph">
              <wp:posOffset>396875</wp:posOffset>
            </wp:positionV>
            <wp:extent cx="788670" cy="213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867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line="226" w:lineRule="auto"/>
        <w:rPr>
          <w:sz w:val="20"/>
          <w:szCs w:val="20"/>
          <w:color w:val="auto"/>
        </w:rPr>
      </w:pPr>
      <w:r>
        <w:rPr>
          <w:rFonts w:ascii="Calibri" w:cs="Calibri" w:eastAsia="Calibri" w:hAnsi="Calibri"/>
          <w:sz w:val="29"/>
          <w:szCs w:val="29"/>
          <w:b w:val="1"/>
          <w:bCs w:val="1"/>
          <w:color w:val="auto"/>
        </w:rPr>
        <w:t>Fortrea Completes Divestture of Endpoint Clinical and Patent Access Businesses to Arsenal Capital Partners</w:t>
      </w:r>
    </w:p>
    <w:p>
      <w:pPr>
        <w:spacing w:after="0" w:line="200" w:lineRule="exact"/>
        <w:rPr>
          <w:sz w:val="20"/>
          <w:szCs w:val="20"/>
          <w:color w:val="auto"/>
        </w:rPr>
      </w:pPr>
    </w:p>
    <w:p>
      <w:pPr>
        <w:spacing w:after="0" w:line="260" w:lineRule="exact"/>
        <w:rPr>
          <w:sz w:val="20"/>
          <w:szCs w:val="20"/>
          <w:color w:val="auto"/>
        </w:rPr>
      </w:pPr>
    </w:p>
    <w:p>
      <w:pPr>
        <w:ind w:right="240"/>
        <w:spacing w:after="0" w:line="223" w:lineRule="auto"/>
        <w:rPr>
          <w:sz w:val="20"/>
          <w:szCs w:val="20"/>
          <w:color w:val="auto"/>
        </w:rPr>
      </w:pPr>
      <w:r>
        <w:rPr>
          <w:rFonts w:ascii="Calibri" w:cs="Calibri" w:eastAsia="Calibri" w:hAnsi="Calibri"/>
          <w:sz w:val="20"/>
          <w:szCs w:val="20"/>
          <w:b w:val="1"/>
          <w:bCs w:val="1"/>
          <w:color w:val="auto"/>
        </w:rPr>
        <w:t xml:space="preserve">DURHAM, N.C., June 4, 2024 </w:t>
      </w:r>
      <w:r>
        <w:rPr>
          <w:rFonts w:ascii="Calibri" w:cs="Calibri" w:eastAsia="Calibri" w:hAnsi="Calibri"/>
          <w:sz w:val="20"/>
          <w:szCs w:val="20"/>
          <w:color w:val="auto"/>
        </w:rPr>
        <w:t>- Fortrea (Nasdaq: FTRE) a leading global contract research organizaton (“CRO”), today announced it has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completed the divestture of assets relatng to its Enabling Services segment, namely its Endpoint Clinical (“Endpoint”) and Fortrea Patent Access (“FPA”) businesses, to Arsenal Capital Partners (“Arsenal”), a leading private equity frm specializing in building market-leading, technology-rich healthcare and industrial growth companies.</w:t>
      </w:r>
    </w:p>
    <w:p>
      <w:pPr>
        <w:spacing w:after="0" w:line="227" w:lineRule="exact"/>
        <w:rPr>
          <w:sz w:val="20"/>
          <w:szCs w:val="20"/>
          <w:color w:val="auto"/>
        </w:rPr>
      </w:pPr>
    </w:p>
    <w:p>
      <w:pPr>
        <w:ind w:right="240"/>
        <w:spacing w:after="0" w:line="222" w:lineRule="auto"/>
        <w:rPr>
          <w:sz w:val="20"/>
          <w:szCs w:val="20"/>
          <w:color w:val="auto"/>
        </w:rPr>
      </w:pPr>
      <w:r>
        <w:rPr>
          <w:rFonts w:ascii="Calibri" w:cs="Calibri" w:eastAsia="Calibri" w:hAnsi="Calibri"/>
          <w:sz w:val="20"/>
          <w:szCs w:val="20"/>
          <w:color w:val="auto"/>
        </w:rPr>
        <w:t>Endpoint and FPA provide best-in-class Randomizaton and Trial Supply Management (RTSM) and patent access solutons respectvely. They both represent strategically diferentated entry points within the pharmaceutcal services value chain, where Arsenal holds signifcant domain, scientfc and technical knowledge.</w:t>
      </w:r>
    </w:p>
    <w:p>
      <w:pPr>
        <w:spacing w:after="0" w:line="227" w:lineRule="exact"/>
        <w:rPr>
          <w:sz w:val="20"/>
          <w:szCs w:val="20"/>
          <w:color w:val="auto"/>
        </w:rPr>
      </w:pPr>
    </w:p>
    <w:p>
      <w:pPr>
        <w:ind w:right="260"/>
        <w:spacing w:after="0" w:line="228" w:lineRule="auto"/>
        <w:rPr>
          <w:sz w:val="20"/>
          <w:szCs w:val="20"/>
          <w:color w:val="auto"/>
        </w:rPr>
      </w:pPr>
      <w:r>
        <w:rPr>
          <w:rFonts w:ascii="Calibri" w:cs="Calibri" w:eastAsia="Calibri" w:hAnsi="Calibri"/>
          <w:sz w:val="20"/>
          <w:szCs w:val="20"/>
          <w:color w:val="auto"/>
        </w:rPr>
        <w:t>Arsenal has appointed Sam Osman, former president of Fortrea’s Enabling Services segment, to serve as chief executve ofcer of the new enttes, and Raymond (“Ray”) H. Hill, an operatng partner within Arsenal’s healthcare team, will serve as chairman of the board.</w:t>
      </w:r>
    </w:p>
    <w:p>
      <w:pPr>
        <w:spacing w:after="0" w:line="225" w:lineRule="exact"/>
        <w:rPr>
          <w:sz w:val="20"/>
          <w:szCs w:val="20"/>
          <w:color w:val="auto"/>
        </w:rPr>
      </w:pPr>
    </w:p>
    <w:p>
      <w:pPr>
        <w:ind w:right="100"/>
        <w:spacing w:after="0" w:line="223" w:lineRule="auto"/>
        <w:rPr>
          <w:sz w:val="20"/>
          <w:szCs w:val="20"/>
          <w:color w:val="auto"/>
        </w:rPr>
      </w:pPr>
      <w:r>
        <w:rPr>
          <w:rFonts w:ascii="Calibri" w:cs="Calibri" w:eastAsia="Calibri" w:hAnsi="Calibri"/>
          <w:sz w:val="20"/>
          <w:szCs w:val="20"/>
          <w:color w:val="auto"/>
        </w:rPr>
        <w:t>“Endpoint and FPA are distnctly positoned to support the patent journey across clinical trials and through access to novel therapeutcs afer approval,” said Sam Osman, chief executve ofcer of Endpoint and FPA. “With Arsenal as our partner, I am confdent that both our businesses and our teams will beneft from accelerated growth opportunites as well as investment and executve focus, resultng in enhanced capabilites and solutons for customers.”</w:t>
      </w:r>
    </w:p>
    <w:p>
      <w:pPr>
        <w:spacing w:after="0" w:line="227" w:lineRule="exact"/>
        <w:rPr>
          <w:sz w:val="20"/>
          <w:szCs w:val="20"/>
          <w:color w:val="auto"/>
        </w:rPr>
      </w:pPr>
    </w:p>
    <w:p>
      <w:pPr>
        <w:spacing w:after="0" w:line="221" w:lineRule="auto"/>
        <w:rPr>
          <w:sz w:val="20"/>
          <w:szCs w:val="20"/>
          <w:color w:val="auto"/>
        </w:rPr>
      </w:pPr>
      <w:r>
        <w:rPr>
          <w:rFonts w:ascii="Calibri" w:cs="Calibri" w:eastAsia="Calibri" w:hAnsi="Calibri"/>
          <w:sz w:val="20"/>
          <w:szCs w:val="20"/>
          <w:color w:val="auto"/>
        </w:rPr>
        <w:t>“The successful closing of this transacton is a testament to the caliber of the teams involved, who have planned a smooth transiton for colleagues, customers and the patents we serve,” said Fortrea Chairman and CEO Tom Pike. “This transacton enables both organizatons to focus their leadership and resources on delivering optmal solutons for our customers. As previously disclosed, the net proceeds from this divestture will be used to reduce a porton of Fortrea’s overall debt structure. As a pure-play clinical CRO, Fortrea remains commited to our mission of delivering solutons that bring life-changing treatments to patents faster.”</w:t>
      </w:r>
    </w:p>
    <w:p>
      <w:pPr>
        <w:spacing w:after="0" w:line="226" w:lineRule="exact"/>
        <w:rPr>
          <w:sz w:val="20"/>
          <w:szCs w:val="20"/>
          <w:color w:val="auto"/>
        </w:rPr>
      </w:pPr>
    </w:p>
    <w:p>
      <w:pPr>
        <w:jc w:val="both"/>
        <w:ind w:right="280"/>
        <w:spacing w:after="0" w:line="222" w:lineRule="auto"/>
        <w:rPr>
          <w:sz w:val="20"/>
          <w:szCs w:val="20"/>
          <w:color w:val="auto"/>
        </w:rPr>
      </w:pPr>
      <w:r>
        <w:rPr>
          <w:rFonts w:ascii="Calibri" w:cs="Calibri" w:eastAsia="Calibri" w:hAnsi="Calibri"/>
          <w:sz w:val="20"/>
          <w:szCs w:val="20"/>
          <w:color w:val="auto"/>
        </w:rPr>
        <w:t>Ray Hill, an operatng partner of Arsenal and chairman of the board for Endpoint and FPA, said, “I am incredibly excited to be a part of Endpoint and FPA’s next chapter. I look forward to working with the management team in building a strategically important company that provides data-driven solutons for patents.”</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Endpoint Clinical</w:t>
      </w:r>
    </w:p>
    <w:p>
      <w:pPr>
        <w:jc w:val="both"/>
        <w:ind w:right="440"/>
        <w:spacing w:after="0" w:line="218" w:lineRule="auto"/>
        <w:rPr>
          <w:sz w:val="20"/>
          <w:szCs w:val="20"/>
          <w:color w:val="auto"/>
        </w:rPr>
      </w:pPr>
      <w:r>
        <w:rPr>
          <w:rFonts w:ascii="Calibri" w:cs="Calibri" w:eastAsia="Calibri" w:hAnsi="Calibri"/>
          <w:sz w:val="20"/>
          <w:szCs w:val="20"/>
          <w:color w:val="auto"/>
        </w:rPr>
        <w:t>Endpoint operates in the high growth eClinical market as a leading provider of Randomizaton and Trial Supply Management (RTSM) solutons to biopharmaceutcal and CRO customers with expertse in serving complex and late-stage clinical trials. For more than 15 years, Endpoint has had a successful track record of efectvely supportng more than 1,750 clinical trials involving 875,000 patents across 90 countries and has cultvated a blue-chip customer base and nurtured long-standing strategic relatonships.</w:t>
      </w:r>
    </w:p>
    <w:p>
      <w:pPr>
        <w:sectPr>
          <w:pgSz w:w="11900" w:h="16838" w:orient="portrait"/>
          <w:cols w:equalWidth="0" w:num="1">
            <w:col w:w="11240"/>
          </w:cols>
          <w:pgMar w:left="320" w:top="603"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Fortrea Patent Access</w:t>
      </w:r>
    </w:p>
    <w:p>
      <w:pPr>
        <w:ind w:right="40"/>
        <w:spacing w:after="0" w:line="218" w:lineRule="auto"/>
        <w:rPr>
          <w:sz w:val="20"/>
          <w:szCs w:val="20"/>
          <w:color w:val="auto"/>
        </w:rPr>
      </w:pPr>
      <w:r>
        <w:rPr>
          <w:rFonts w:ascii="Calibri" w:cs="Calibri" w:eastAsia="Calibri" w:hAnsi="Calibri"/>
          <w:sz w:val="20"/>
          <w:szCs w:val="20"/>
          <w:color w:val="auto"/>
        </w:rPr>
        <w:t>Fortrea Patent Access is a scaled leader in the HUB services and patent access market, serving the biopharmaceutcal industry with comprehensive patent support, product access, afordability and adherence solutons for more than 30 years. Further advanced by its recently expanded non-commercial specialty pharmacy, FortreaRx™, to support enhanced distributon of cold-chain and ambient free goods products, Fortrea Patent Access is commited to driving patent outcomes and improving healthcare accessibility through its extensive experience while currently supportng more than 2.5 million patents and over 100 unique brands across more than 25 disease indicatons.</w:t>
      </w:r>
    </w:p>
    <w:p>
      <w:pPr>
        <w:spacing w:after="0" w:line="22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Arsenal Capital Partners</w:t>
      </w:r>
    </w:p>
    <w:p>
      <w:pPr>
        <w:ind w:right="140"/>
        <w:spacing w:after="0" w:line="199" w:lineRule="auto"/>
        <w:rPr>
          <w:sz w:val="20"/>
          <w:szCs w:val="20"/>
          <w:color w:val="auto"/>
        </w:rPr>
      </w:pPr>
      <w:r>
        <w:rPr>
          <w:rFonts w:ascii="Calibri" w:cs="Calibri" w:eastAsia="Calibri" w:hAnsi="Calibri"/>
          <w:sz w:val="20"/>
          <w:szCs w:val="20"/>
          <w:color w:val="auto"/>
        </w:rPr>
        <w:t>Arsenal Capital Partners is a leading private equity investment frm that specializes in building market-leading industrial growth and healthcare companies. Since its incepton in 2000, Arsenal has raised insttutonal equity investment funds totaling over $10 billion, completed more than 300 platorm and add-on acquisitons, and achieved more than 35 realizatons. The frm works with management teams to build strategically important companies with leading market positons, high growth and high value-add. For more informaton, visit www.arsenalcapital.com.</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Fortrea</w:t>
      </w:r>
    </w:p>
    <w:p>
      <w:pPr>
        <w:ind w:right="400"/>
        <w:spacing w:after="0" w:line="218" w:lineRule="auto"/>
        <w:rPr>
          <w:sz w:val="20"/>
          <w:szCs w:val="20"/>
          <w:color w:val="auto"/>
        </w:rPr>
      </w:pPr>
      <w:r>
        <w:rPr>
          <w:rFonts w:ascii="Calibri" w:cs="Calibri" w:eastAsia="Calibri" w:hAnsi="Calibri"/>
          <w:sz w:val="20"/>
          <w:szCs w:val="20"/>
          <w:color w:val="auto"/>
        </w:rPr>
        <w:t>Fortrea (Nasdaq: FTRE) is a leading global provider of clinical development solutons to the life sciences industry. We partner with emerging and large biopharmaceutcal, biotechnology, medical device and diagnostc companies to drive healthcare innovaton that accelerates life changing therapies to patents. Fortrea provides phase I-IV clinical trial management, clinical pharmacology and consultng services. Fortrea’s solutons leverage three decades of experience spanning more than 20 therapeutc areas, a passion for scientfc rigor, exceptonal insights and a strong investgator site network. Our talented and diverse team working in more than 90 countries is scaled to deliver focused and agile solutons to customers globally. Learn more about how Fortrea is becoming a transformatve force from pipeline to patent at Fortrea.com and follow us on LinkedIn and X (formerly Twi</w:t>
      </w:r>
      <w:r>
        <w:rPr>
          <w:rFonts w:ascii="Calibri" w:cs="Calibri" w:eastAsia="Calibri" w:hAnsi="Calibri"/>
          <w:sz w:val="20"/>
          <w:szCs w:val="20"/>
          <w:color w:val="0D0101"/>
        </w:rPr>
        <w:t>ter).</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Cautonary Statement Regarding Forward-Looking Statements</w:t>
      </w:r>
    </w:p>
    <w:p>
      <w:pPr>
        <w:jc w:val="both"/>
        <w:spacing w:after="0" w:line="217" w:lineRule="auto"/>
        <w:rPr>
          <w:sz w:val="20"/>
          <w:szCs w:val="20"/>
          <w:color w:val="auto"/>
        </w:rPr>
      </w:pPr>
      <w:r>
        <w:rPr>
          <w:rFonts w:ascii="Calibri" w:cs="Calibri" w:eastAsia="Calibri" w:hAnsi="Calibri"/>
          <w:sz w:val="20"/>
          <w:szCs w:val="20"/>
          <w:color w:val="auto"/>
        </w:rPr>
        <w:t>This press release contains “forward-looking statements” within the meaning of the federal securites laws, including Secton 27A of the Securites Act and Secton 21E of the Exchange Act. Forward-looking statements by their nature address maters that are, to diferent degrees, uncertain, including the tming of the use of net proceeds to repay a porton of the Company’s outstanding debt. In this context, forward-looking statements ofen address expected future business and fnancial performance and fnancial conditon, and ofen contain words such as “guidance,” “expect,” “assume,” “antcipate,” “intend,” “plan,” “forecast,” “believe,” “seek,” “see,” “will,” “would,” “target,” similar expressions, and variatons or negatves of these words that are intended to identfy forward-looking statements, although not all forward-looking statements contain these identfying words. Actual results could difer materially from these forward-looking statements due to a number of factors, including, but not limited to factors described from tme to tme in documents that the Company fles with the SEC. For a further discussion of the risks relatng to the Company’s business, see the “Risk Factors” Secton of the Company’s Annual Report on Form 10-K, as fled with the Securites and Exchange Commission (the "SEC"), as such risk factors may be amended or updated from tme to tme in the Company’s subsequent periodic and other flings with the SEC, which are accessible on the SEC’s website at www.sec.gov. These factors should not be construed as exhaustve and should be read in conjuncton with the other cautonary statements that are included or incorporated by reference in the Company’s flings with the SEC. All forward-looking statements are made only as of the date of this release, and the Company does not undertake any obligaton, other than as may be required by law, to update or revise any forward-looking statements to refect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Fortrea Contacts:</w:t>
      </w:r>
    </w:p>
    <w:p>
      <w:pPr>
        <w:sectPr>
          <w:pgSz w:w="11900" w:h="16838" w:orient="portrait"/>
          <w:cols w:equalWidth="0" w:num="1">
            <w:col w:w="11240"/>
          </w:cols>
          <w:pgMar w:left="320" w:top="1401" w:right="339" w:bottom="1440" w:gutter="0" w:footer="0" w:header="0"/>
        </w:sectPr>
      </w:pPr>
    </w:p>
    <w:bookmarkStart w:id="5" w:name="page6"/>
    <w:bookmarkEnd w:id="5"/>
    <w:p>
      <w:pPr>
        <w:ind w:right="4599"/>
        <w:spacing w:after="0" w:line="234" w:lineRule="auto"/>
        <w:rPr>
          <w:sz w:val="20"/>
          <w:szCs w:val="20"/>
          <w:color w:val="auto"/>
        </w:rPr>
      </w:pPr>
      <w:r>
        <w:rPr>
          <w:rFonts w:ascii="Calibri" w:cs="Calibri" w:eastAsia="Calibri" w:hAnsi="Calibri"/>
          <w:sz w:val="20"/>
          <w:szCs w:val="20"/>
          <w:color w:val="auto"/>
        </w:rPr>
        <w:t xml:space="preserve">Hima Inguva (Investors) – 877-495-0816, </w:t>
      </w:r>
      <w:r>
        <w:rPr>
          <w:rFonts w:ascii="Calibri" w:cs="Calibri" w:eastAsia="Calibri" w:hAnsi="Calibri"/>
          <w:sz w:val="20"/>
          <w:szCs w:val="20"/>
          <w:u w:val="single" w:color="auto"/>
          <w:color w:val="3051F2"/>
        </w:rPr>
        <w:t>hima.inguva@fortrea.com</w:t>
      </w:r>
      <w:r>
        <w:rPr>
          <w:rFonts w:ascii="Calibri" w:cs="Calibri" w:eastAsia="Calibri" w:hAnsi="Calibri"/>
          <w:sz w:val="20"/>
          <w:szCs w:val="20"/>
          <w:color w:val="auto"/>
        </w:rPr>
        <w:t xml:space="preserve"> Sue Zaranek (Media) – 919-943 5422, </w:t>
      </w:r>
      <w:r>
        <w:rPr>
          <w:rFonts w:ascii="Calibri" w:cs="Calibri" w:eastAsia="Calibri" w:hAnsi="Calibri"/>
          <w:sz w:val="20"/>
          <w:szCs w:val="20"/>
          <w:u w:val="single" w:color="auto"/>
          <w:color w:val="3051F2"/>
        </w:rPr>
        <w:t>media@fortrea.com</w:t>
      </w:r>
    </w:p>
    <w:p>
      <w:pPr>
        <w:spacing w:after="0" w:line="226" w:lineRule="auto"/>
        <w:rPr>
          <w:sz w:val="20"/>
          <w:szCs w:val="20"/>
          <w:color w:val="auto"/>
        </w:rPr>
      </w:pPr>
      <w:r>
        <w:rPr>
          <w:rFonts w:ascii="Calibri" w:cs="Calibri" w:eastAsia="Calibri" w:hAnsi="Calibri"/>
          <w:sz w:val="20"/>
          <w:szCs w:val="20"/>
          <w:color w:val="auto"/>
        </w:rPr>
        <w:t xml:space="preserve">Kate Dillon (Media) – 646-818-9115, </w:t>
      </w:r>
      <w:r>
        <w:rPr>
          <w:rFonts w:ascii="Calibri" w:cs="Calibri" w:eastAsia="Calibri" w:hAnsi="Calibri"/>
          <w:sz w:val="20"/>
          <w:szCs w:val="20"/>
          <w:u w:val="single" w:color="auto"/>
          <w:color w:val="3051F2"/>
        </w:rPr>
        <w:t>kdillon@prosek.com</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Arsenal Contact:</w:t>
      </w:r>
    </w:p>
    <w:p>
      <w:pPr>
        <w:spacing w:after="0" w:line="212" w:lineRule="auto"/>
        <w:rPr>
          <w:sz w:val="20"/>
          <w:szCs w:val="20"/>
          <w:color w:val="auto"/>
        </w:rPr>
      </w:pPr>
      <w:r>
        <w:rPr>
          <w:rFonts w:ascii="Calibri" w:cs="Calibri" w:eastAsia="Calibri" w:hAnsi="Calibri"/>
          <w:sz w:val="20"/>
          <w:szCs w:val="20"/>
          <w:color w:val="auto"/>
        </w:rPr>
        <w:t xml:space="preserve">Ellen Pavlovsky – </w:t>
      </w:r>
      <w:r>
        <w:rPr>
          <w:rFonts w:ascii="Calibri" w:cs="Calibri" w:eastAsia="Calibri" w:hAnsi="Calibri"/>
          <w:sz w:val="20"/>
          <w:szCs w:val="20"/>
          <w:u w:val="single" w:color="auto"/>
          <w:color w:val="3051F2"/>
        </w:rPr>
        <w:t>epavlovsky@arsenalcapital.com</w:t>
      </w:r>
    </w:p>
    <w:sectPr>
      <w:pgSz w:w="11900" w:h="16838" w:orient="portrait"/>
      <w:cols w:equalWidth="0" w:num="1">
        <w:col w:w="10139"/>
      </w:cols>
      <w:pgMar w:left="320" w:top="14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2024-06-04T06:25:17Z</dcterms:created>
  <dcterms:modified xsi:type="dcterms:W3CDTF">2024-06-04T06:25:17Z</dcterms:modified>
</cp:coreProperties>
</file>