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shd w:fill="FFFFFF" w:val="clear"/>
        </w:rPr>
      </w:pPr>
      <w:bookmarkStart w:id="0" w:name="d814840ddef14a.htm"/>
      <w:bookmarkStart w:id="1" w:name="ksd814840ddef14a"/>
      <w:bookmarkEnd w:id="0"/>
      <w:bookmarkEnd w:id="1"/>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240" w:after="0"/>
        <w:jc w:val="center"/>
        <w:rPr>
          <w:rFonts w:ascii="ARIAL" w:hAnsi="ARIAL"/>
          <w:b/>
          <w:sz w:val="36"/>
          <w:shd w:fill="FFFFFF" w:val="clear"/>
        </w:rPr>
      </w:pPr>
      <w:r>
        <w:rPr>
          <w:rFonts w:ascii="ARIAL" w:hAnsi="ARIAL"/>
          <w:b/>
          <w:sz w:val="36"/>
          <w:shd w:fill="FFFFFF" w:val="clear"/>
        </w:rPr>
        <w:t xml:space="preserve">UNITED STATES </w:t>
      </w:r>
    </w:p>
    <w:p>
      <w:pPr>
        <w:pStyle w:val="TextBody"/>
        <w:bidi w:val="0"/>
        <w:spacing w:before="0" w:after="0"/>
        <w:jc w:val="center"/>
        <w:rPr>
          <w:rFonts w:ascii="ARIAL" w:hAnsi="ARIAL"/>
          <w:b/>
          <w:sz w:val="36"/>
          <w:shd w:fill="FFFFFF" w:val="clear"/>
        </w:rPr>
      </w:pPr>
      <w:r>
        <w:rPr>
          <w:rFonts w:ascii="ARIAL" w:hAnsi="ARIAL"/>
          <w:b/>
          <w:sz w:val="36"/>
          <w:shd w:fill="FFFFFF" w:val="clear"/>
        </w:rPr>
        <w:t xml:space="preserve">SECURITIES AND EXCHANGE COMMISSION </w:t>
      </w:r>
    </w:p>
    <w:p>
      <w:pPr>
        <w:pStyle w:val="TextBody"/>
        <w:bidi w:val="0"/>
        <w:spacing w:before="0" w:after="0"/>
        <w:jc w:val="center"/>
        <w:rPr>
          <w:rFonts w:ascii="ARIAL" w:hAnsi="ARIAL"/>
          <w:b/>
          <w:sz w:val="20"/>
          <w:shd w:fill="FFFFFF" w:val="clear"/>
        </w:rPr>
      </w:pPr>
      <w:r>
        <w:rPr>
          <w:rFonts w:ascii="ARIAL" w:hAnsi="ARIAL"/>
          <w:b/>
          <w:sz w:val="20"/>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ARIAL" w:hAnsi="ARIAL"/>
          <w:b/>
          <w:sz w:val="36"/>
          <w:shd w:fill="FFFFFF" w:val="clear"/>
        </w:rPr>
      </w:pPr>
      <w:r>
        <w:rPr>
          <w:rFonts w:ascii="ARIAL" w:hAnsi="ARIAL"/>
          <w:b/>
          <w:sz w:val="36"/>
          <w:shd w:fill="FFFFFF" w:val="clear"/>
        </w:rPr>
        <w:t>SCHEDULE 14A</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(Rule </w:t>
      </w:r>
    </w:p>
    <w:p>
      <w:pPr>
        <w:pStyle w:val="TextBody"/>
        <w:bidi w:val="0"/>
        <w:spacing w:before="0" w:after="0"/>
        <w:jc w:val="center"/>
        <w:rPr>
          <w:rFonts w:ascii="ARIAL" w:hAnsi="ARIAL"/>
          <w:b/>
          <w:spacing w:val="0"/>
          <w:sz w:val="24"/>
          <w:shd w:fill="FFFFFF" w:val="clear"/>
        </w:rPr>
      </w:pPr>
      <w:r>
        <w:rPr>
          <w:rFonts w:ascii="ARIAL" w:hAnsi="ARIAL"/>
          <w:b/>
          <w:spacing w:val="0"/>
          <w:sz w:val="24"/>
          <w:shd w:fill="FFFFFF" w:val="clear"/>
        </w:rPr>
        <w:t>14a-101)</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Proxy Statement Pursuant to Section 14(a) of the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Securities Exchange Act of 1934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(Amendment No.    ) </w:t>
      </w:r>
    </w:p>
    <w:p>
      <w:pPr>
        <w:pStyle w:val="TextBody"/>
        <w:bidi w:val="0"/>
        <w:spacing w:before="240" w:after="0"/>
        <w:jc w:val="left"/>
        <w:rPr>
          <w:rFonts w:ascii="ARIAL" w:hAnsi="ARIAL"/>
          <w:sz w:val="18"/>
          <w:shd w:fill="FFFFFF" w:val="clear"/>
        </w:rPr>
      </w:pPr>
      <w:r>
        <w:rPr>
          <w:rFonts w:ascii="ARIAL" w:hAnsi="ARIAL"/>
          <w:sz w:val="18"/>
          <w:shd w:fill="FFFFFF" w:val="clear"/>
        </w:rPr>
        <w:t>Filed by the Registrant </w:t>
      </w:r>
    </w:p>
    <w:p>
      <w:pPr>
        <w:pStyle w:val="TextBody"/>
        <w:bidi w:val="0"/>
        <w:spacing w:before="240" w:after="0"/>
        <w:jc w:val="left"/>
        <w:rPr>
          <w:spacing w:val="0"/>
          <w:shd w:fill="FFFFFF" w:val="clear"/>
        </w:rPr>
      </w:pPr>
      <w:r>
        <w:rPr>
          <w:spacing w:val="0"/>
          <w:shd w:fill="FFFFFF" w:val="clear"/>
        </w:rPr>
        <w:t>☒</w:t>
      </w:r>
    </w:p>
    <w:p>
      <w:pPr>
        <w:pStyle w:val="TextBody"/>
        <w:bidi w:val="0"/>
        <w:spacing w:before="240" w:after="0"/>
        <w:jc w:val="left"/>
        <w:rPr>
          <w:rFonts w:ascii="ARIAL" w:hAnsi="ARIAL"/>
          <w:sz w:val="18"/>
          <w:shd w:fill="FFFFFF" w:val="clear"/>
        </w:rPr>
      </w:pPr>
      <w:r>
        <w:rPr>
          <w:rFonts w:ascii="ARIAL" w:hAnsi="ARIAL"/>
          <w:sz w:val="18"/>
          <w:shd w:fill="FFFFFF" w:val="clear"/>
        </w:rPr>
        <w:t>Filed by a party other than the Registrant </w:t>
      </w:r>
    </w:p>
    <w:p>
      <w:pPr>
        <w:pStyle w:val="TextBody"/>
        <w:bidi w:val="0"/>
        <w:spacing w:before="240" w:after="0"/>
        <w:jc w:val="left"/>
        <w:rPr>
          <w:spacing w:val="0"/>
          <w:shd w:fill="FFFFFF" w:val="clear"/>
        </w:rPr>
      </w:pPr>
      <w:r>
        <w:rPr>
          <w:spacing w:val="0"/>
          <w:shd w:fill="FFFFFF" w:val="clear"/>
        </w:rPr>
        <w:t>☐</w:t>
      </w:r>
    </w:p>
    <w:p>
      <w:pPr>
        <w:pStyle w:val="TextBody"/>
        <w:bidi w:val="0"/>
        <w:spacing w:before="480" w:after="0"/>
        <w:jc w:val="left"/>
        <w:rPr>
          <w:rFonts w:ascii="ARIAL" w:hAnsi="ARIAL"/>
          <w:sz w:val="18"/>
          <w:shd w:fill="FFFFFF" w:val="clear"/>
        </w:rPr>
      </w:pPr>
      <w:r>
        <w:rPr>
          <w:rFonts w:ascii="ARIAL" w:hAnsi="ARIAL"/>
          <w:sz w:val="18"/>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2635" w:type="dxa"/>
        <w:jc w:val="left"/>
        <w:tblInd w:w="0" w:type="dxa"/>
        <w:tblLayout w:type="fixed"/>
        <w:tblCellMar>
          <w:top w:w="0" w:type="dxa"/>
          <w:left w:w="0" w:type="dxa"/>
          <w:bottom w:w="0" w:type="dxa"/>
          <w:right w:w="0" w:type="dxa"/>
        </w:tblCellMar>
      </w:tblPr>
      <w:tblGrid>
        <w:gridCol w:w="245"/>
        <w:gridCol w:w="2390"/>
      </w:tblGrid>
      <w:tr>
        <w:trPr/>
        <w:tc>
          <w:tcPr>
            <w:tcW w:w="245" w:type="dxa"/>
            <w:tcBorders/>
            <w:vAlign w:val="center"/>
          </w:tcPr>
          <w:p>
            <w:pPr>
              <w:pStyle w:val="TableContents"/>
              <w:bidi w:val="0"/>
              <w:spacing w:before="0" w:after="0"/>
              <w:jc w:val="left"/>
              <w:rPr>
                <w:spacing w:val="0"/>
              </w:rPr>
            </w:pPr>
            <w:r>
              <w:rPr>
                <w:spacing w:val="0"/>
              </w:rPr>
              <w:t>☐</w:t>
            </w:r>
          </w:p>
        </w:tc>
        <w:tc>
          <w:tcPr>
            <w:tcW w:w="2390" w:type="dxa"/>
            <w:tcBorders/>
            <w:vAlign w:val="center"/>
          </w:tcPr>
          <w:p>
            <w:pPr>
              <w:pStyle w:val="TableContents"/>
              <w:bidi w:val="0"/>
              <w:spacing w:before="0" w:after="0"/>
              <w:jc w:val="left"/>
              <w:rPr>
                <w:rFonts w:ascii="ARIAL" w:hAnsi="ARIAL"/>
                <w:sz w:val="18"/>
              </w:rPr>
            </w:pPr>
            <w:r>
              <w:rPr>
                <w:rFonts w:ascii="ARIAL" w:hAnsi="ARIAL"/>
                <w:sz w:val="18"/>
              </w:rPr>
              <w:t xml:space="preserve">Preliminary Proxy Statement </w:t>
            </w:r>
          </w:p>
        </w:tc>
      </w:tr>
    </w:tbl>
    <w:p>
      <w:pPr>
        <w:pStyle w:val="TextBody"/>
        <w:bidi w:val="0"/>
        <w:spacing w:before="0" w:after="0"/>
        <w:jc w:val="left"/>
        <w:rPr>
          <w:shd w:fill="FFFFFF" w:val="clear"/>
        </w:rPr>
      </w:pPr>
      <w:r>
        <w:rPr>
          <w:shd w:fill="FFFFFF" w:val="clear"/>
        </w:rPr>
        <w:t> </w:t>
      </w:r>
    </w:p>
    <w:tbl>
      <w:tblPr>
        <w:tblW w:w="6025" w:type="dxa"/>
        <w:jc w:val="left"/>
        <w:tblInd w:w="0" w:type="dxa"/>
        <w:tblLayout w:type="fixed"/>
        <w:tblCellMar>
          <w:top w:w="0" w:type="dxa"/>
          <w:left w:w="0" w:type="dxa"/>
          <w:bottom w:w="0" w:type="dxa"/>
          <w:right w:w="0" w:type="dxa"/>
        </w:tblCellMar>
      </w:tblPr>
      <w:tblGrid>
        <w:gridCol w:w="245"/>
        <w:gridCol w:w="5780"/>
      </w:tblGrid>
      <w:tr>
        <w:trPr/>
        <w:tc>
          <w:tcPr>
            <w:tcW w:w="245" w:type="dxa"/>
            <w:tcBorders/>
            <w:vAlign w:val="center"/>
          </w:tcPr>
          <w:p>
            <w:pPr>
              <w:pStyle w:val="TableContents"/>
              <w:bidi w:val="0"/>
              <w:spacing w:before="0" w:after="0"/>
              <w:jc w:val="left"/>
              <w:rPr>
                <w:spacing w:val="0"/>
              </w:rPr>
            </w:pPr>
            <w:r>
              <w:rPr>
                <w:spacing w:val="0"/>
              </w:rPr>
              <w:t>☐</w:t>
            </w:r>
          </w:p>
        </w:tc>
        <w:tc>
          <w:tcPr>
            <w:tcW w:w="5780" w:type="dxa"/>
            <w:tcBorders/>
            <w:vAlign w:val="center"/>
          </w:tcPr>
          <w:p>
            <w:pPr>
              <w:pStyle w:val="TableContents"/>
              <w:bidi w:val="0"/>
              <w:spacing w:before="0" w:after="0"/>
              <w:jc w:val="left"/>
              <w:rPr>
                <w:rFonts w:ascii="ARIAL" w:hAnsi="ARIAL"/>
                <w:b/>
                <w:spacing w:val="0"/>
                <w:sz w:val="18"/>
              </w:rPr>
            </w:pPr>
            <w:r>
              <w:rPr>
                <w:rFonts w:ascii="ARIAL" w:hAnsi="ARIAL"/>
                <w:b/>
                <w:spacing w:val="0"/>
                <w:sz w:val="18"/>
              </w:rPr>
              <w:t xml:space="preserve">Confidential, for Use of the Commission Only (as permitted by Rule </w:t>
            </w:r>
          </w:p>
          <w:p>
            <w:pPr>
              <w:pStyle w:val="TableContents"/>
              <w:bidi w:val="0"/>
              <w:spacing w:before="0" w:after="0"/>
              <w:jc w:val="left"/>
              <w:rPr>
                <w:rFonts w:ascii="ARIAL" w:hAnsi="ARIAL"/>
                <w:b/>
                <w:spacing w:val="0"/>
                <w:sz w:val="18"/>
              </w:rPr>
            </w:pPr>
            <w:r>
              <w:rPr>
                <w:rFonts w:ascii="ARIAL" w:hAnsi="ARIAL"/>
                <w:b/>
                <w:spacing w:val="0"/>
                <w:sz w:val="18"/>
              </w:rPr>
              <w:t>14a-6(e)(2))</w:t>
            </w:r>
          </w:p>
        </w:tc>
      </w:tr>
    </w:tbl>
    <w:p>
      <w:pPr>
        <w:pStyle w:val="TextBody"/>
        <w:bidi w:val="0"/>
        <w:spacing w:before="0" w:after="0"/>
        <w:jc w:val="left"/>
        <w:rPr>
          <w:shd w:fill="FFFFFF" w:val="clear"/>
        </w:rPr>
      </w:pPr>
      <w:r>
        <w:rPr>
          <w:shd w:fill="FFFFFF" w:val="clear"/>
        </w:rPr>
        <w:t> </w:t>
      </w:r>
    </w:p>
    <w:tbl>
      <w:tblPr>
        <w:tblW w:w="2470" w:type="dxa"/>
        <w:jc w:val="left"/>
        <w:tblInd w:w="0" w:type="dxa"/>
        <w:tblLayout w:type="fixed"/>
        <w:tblCellMar>
          <w:top w:w="0" w:type="dxa"/>
          <w:left w:w="0" w:type="dxa"/>
          <w:bottom w:w="0" w:type="dxa"/>
          <w:right w:w="0" w:type="dxa"/>
        </w:tblCellMar>
      </w:tblPr>
      <w:tblGrid>
        <w:gridCol w:w="245"/>
        <w:gridCol w:w="2225"/>
      </w:tblGrid>
      <w:tr>
        <w:trPr/>
        <w:tc>
          <w:tcPr>
            <w:tcW w:w="245" w:type="dxa"/>
            <w:tcBorders/>
            <w:vAlign w:val="center"/>
          </w:tcPr>
          <w:p>
            <w:pPr>
              <w:pStyle w:val="TableContents"/>
              <w:bidi w:val="0"/>
              <w:spacing w:before="0" w:after="0"/>
              <w:jc w:val="left"/>
              <w:rPr>
                <w:spacing w:val="0"/>
              </w:rPr>
            </w:pPr>
            <w:r>
              <w:rPr>
                <w:spacing w:val="0"/>
              </w:rPr>
              <w:t>☒</w:t>
            </w:r>
          </w:p>
        </w:tc>
        <w:tc>
          <w:tcPr>
            <w:tcW w:w="2225" w:type="dxa"/>
            <w:tcBorders/>
            <w:vAlign w:val="center"/>
          </w:tcPr>
          <w:p>
            <w:pPr>
              <w:pStyle w:val="TableContents"/>
              <w:bidi w:val="0"/>
              <w:spacing w:before="0" w:after="0"/>
              <w:jc w:val="left"/>
              <w:rPr>
                <w:rFonts w:ascii="ARIAL" w:hAnsi="ARIAL"/>
                <w:sz w:val="18"/>
              </w:rPr>
            </w:pPr>
            <w:r>
              <w:rPr>
                <w:rFonts w:ascii="ARIAL" w:hAnsi="ARIAL"/>
                <w:sz w:val="18"/>
              </w:rPr>
              <w:t xml:space="preserve">Definitive Proxy Statement </w:t>
            </w:r>
          </w:p>
        </w:tc>
      </w:tr>
    </w:tbl>
    <w:p>
      <w:pPr>
        <w:pStyle w:val="TextBody"/>
        <w:bidi w:val="0"/>
        <w:spacing w:before="0" w:after="0"/>
        <w:jc w:val="left"/>
        <w:rPr>
          <w:shd w:fill="FFFFFF" w:val="clear"/>
        </w:rPr>
      </w:pPr>
      <w:r>
        <w:rPr>
          <w:shd w:fill="FFFFFF" w:val="clear"/>
        </w:rPr>
        <w:t> </w:t>
      </w:r>
    </w:p>
    <w:tbl>
      <w:tblPr>
        <w:tblW w:w="2755" w:type="dxa"/>
        <w:jc w:val="left"/>
        <w:tblInd w:w="0" w:type="dxa"/>
        <w:tblLayout w:type="fixed"/>
        <w:tblCellMar>
          <w:top w:w="0" w:type="dxa"/>
          <w:left w:w="0" w:type="dxa"/>
          <w:bottom w:w="0" w:type="dxa"/>
          <w:right w:w="0" w:type="dxa"/>
        </w:tblCellMar>
      </w:tblPr>
      <w:tblGrid>
        <w:gridCol w:w="245"/>
        <w:gridCol w:w="2510"/>
      </w:tblGrid>
      <w:tr>
        <w:trPr/>
        <w:tc>
          <w:tcPr>
            <w:tcW w:w="245" w:type="dxa"/>
            <w:tcBorders/>
            <w:vAlign w:val="center"/>
          </w:tcPr>
          <w:p>
            <w:pPr>
              <w:pStyle w:val="TableContents"/>
              <w:bidi w:val="0"/>
              <w:spacing w:before="0" w:after="0"/>
              <w:jc w:val="left"/>
              <w:rPr>
                <w:spacing w:val="0"/>
              </w:rPr>
            </w:pPr>
            <w:r>
              <w:rPr>
                <w:spacing w:val="0"/>
              </w:rPr>
              <w:t>☐</w:t>
            </w:r>
          </w:p>
        </w:tc>
        <w:tc>
          <w:tcPr>
            <w:tcW w:w="2510" w:type="dxa"/>
            <w:tcBorders/>
            <w:vAlign w:val="center"/>
          </w:tcPr>
          <w:p>
            <w:pPr>
              <w:pStyle w:val="TableContents"/>
              <w:bidi w:val="0"/>
              <w:spacing w:before="0" w:after="0"/>
              <w:jc w:val="left"/>
              <w:rPr>
                <w:rFonts w:ascii="ARIAL" w:hAnsi="ARIAL"/>
                <w:sz w:val="18"/>
              </w:rPr>
            </w:pPr>
            <w:r>
              <w:rPr>
                <w:rFonts w:ascii="ARIAL" w:hAnsi="ARIAL"/>
                <w:sz w:val="18"/>
              </w:rPr>
              <w:t xml:space="preserve">Definitive Additional Materials </w:t>
            </w:r>
          </w:p>
        </w:tc>
      </w:tr>
    </w:tbl>
    <w:p>
      <w:pPr>
        <w:pStyle w:val="TextBody"/>
        <w:bidi w:val="0"/>
        <w:spacing w:before="0" w:after="0"/>
        <w:jc w:val="left"/>
        <w:rPr>
          <w:shd w:fill="FFFFFF" w:val="clear"/>
        </w:rPr>
      </w:pPr>
      <w:r>
        <w:rPr>
          <w:shd w:fill="FFFFFF" w:val="clear"/>
        </w:rPr>
        <w:t> </w:t>
      </w:r>
    </w:p>
    <w:tbl>
      <w:tblPr>
        <w:tblW w:w="2755" w:type="dxa"/>
        <w:jc w:val="left"/>
        <w:tblInd w:w="0" w:type="dxa"/>
        <w:tblLayout w:type="fixed"/>
        <w:tblCellMar>
          <w:top w:w="0" w:type="dxa"/>
          <w:left w:w="0" w:type="dxa"/>
          <w:bottom w:w="0" w:type="dxa"/>
          <w:right w:w="0" w:type="dxa"/>
        </w:tblCellMar>
      </w:tblPr>
      <w:tblGrid>
        <w:gridCol w:w="245"/>
        <w:gridCol w:w="2510"/>
      </w:tblGrid>
      <w:tr>
        <w:trPr/>
        <w:tc>
          <w:tcPr>
            <w:tcW w:w="245" w:type="dxa"/>
            <w:tcBorders/>
            <w:vAlign w:val="center"/>
          </w:tcPr>
          <w:p>
            <w:pPr>
              <w:pStyle w:val="TableContents"/>
              <w:bidi w:val="0"/>
              <w:spacing w:before="0" w:after="0"/>
              <w:jc w:val="left"/>
              <w:rPr>
                <w:spacing w:val="0"/>
              </w:rPr>
            </w:pPr>
            <w:r>
              <w:rPr>
                <w:spacing w:val="0"/>
              </w:rPr>
              <w:t>☐</w:t>
            </w:r>
          </w:p>
        </w:tc>
        <w:tc>
          <w:tcPr>
            <w:tcW w:w="2510" w:type="dxa"/>
            <w:tcBorders/>
            <w:vAlign w:val="center"/>
          </w:tcPr>
          <w:p>
            <w:pPr>
              <w:pStyle w:val="TableContents"/>
              <w:bidi w:val="0"/>
              <w:spacing w:before="0" w:after="0"/>
              <w:jc w:val="left"/>
              <w:rPr>
                <w:rFonts w:ascii="ARIAL" w:hAnsi="ARIAL"/>
                <w:sz w:val="18"/>
              </w:rPr>
            </w:pPr>
            <w:r>
              <w:rPr>
                <w:rFonts w:ascii="ARIAL" w:hAnsi="ARIAL"/>
                <w:sz w:val="18"/>
              </w:rPr>
              <w:t xml:space="preserve">Soliciting Material Pursuant to </w:t>
            </w:r>
          </w:p>
          <w:p>
            <w:pPr>
              <w:pStyle w:val="TableContents"/>
              <w:bidi w:val="0"/>
              <w:spacing w:before="0" w:after="0"/>
              <w:jc w:val="left"/>
              <w:rPr>
                <w:rFonts w:ascii="ARIAL" w:hAnsi="ARIAL"/>
                <w:spacing w:val="0"/>
                <w:sz w:val="18"/>
              </w:rPr>
            </w:pPr>
            <w:r>
              <w:rPr>
                <w:rFonts w:ascii="ARIAL" w:hAnsi="ARIAL"/>
                <w:spacing w:val="0"/>
                <w:sz w:val="18"/>
              </w:rPr>
              <w:t>§240.14a-12</w:t>
            </w:r>
          </w:p>
        </w:tc>
      </w:tr>
    </w:tbl>
    <w:p>
      <w:pPr>
        <w:pStyle w:val="TextBody"/>
        <w:bidi w:val="0"/>
        <w:spacing w:before="240" w:after="0"/>
        <w:jc w:val="center"/>
        <w:rPr>
          <w:rFonts w:ascii="ARIAL" w:hAnsi="ARIAL"/>
          <w:b/>
          <w:sz w:val="36"/>
          <w:shd w:fill="FFFFFF" w:val="clear"/>
        </w:rPr>
      </w:pPr>
      <w:r>
        <w:rPr>
          <w:rFonts w:ascii="ARIAL" w:hAnsi="ARIAL"/>
          <w:b/>
          <w:sz w:val="36"/>
          <w:shd w:fill="FFFFFF" w:val="clear"/>
        </w:rPr>
        <w:t xml:space="preserve">FORTREA HOLDINGS INC. </w:t>
      </w:r>
    </w:p>
    <w:p>
      <w:pPr>
        <w:pStyle w:val="TextBody"/>
        <w:bidi w:val="0"/>
        <w:spacing w:before="0" w:after="0"/>
        <w:jc w:val="center"/>
        <w:rPr>
          <w:rFonts w:ascii="ARIAL" w:hAnsi="ARIAL"/>
          <w:b/>
          <w:sz w:val="20"/>
          <w:shd w:fill="FFFFFF" w:val="clear"/>
        </w:rPr>
      </w:pPr>
      <w:r>
        <w:rPr>
          <w:rFonts w:ascii="ARIAL" w:hAnsi="ARIAL"/>
          <w:b/>
          <w:sz w:val="20"/>
          <w:shd w:fill="FFFFFF" w:val="clear"/>
        </w:rPr>
        <w:t xml:space="preserve">(Name of Registrant as Specified in its Charter) </w:t>
      </w:r>
    </w:p>
    <w:p>
      <w:pPr>
        <w:pStyle w:val="TextBody"/>
        <w:bidi w:val="0"/>
        <w:spacing w:before="240" w:after="0"/>
        <w:jc w:val="center"/>
        <w:rPr>
          <w:rFonts w:ascii="ARIAL" w:hAnsi="ARIAL"/>
          <w:b/>
          <w:sz w:val="36"/>
          <w:shd w:fill="FFFFFF" w:val="clear"/>
        </w:rPr>
      </w:pPr>
      <w:r>
        <w:rPr>
          <w:rFonts w:ascii="ARIAL" w:hAnsi="ARIAL"/>
          <w:b/>
          <w:sz w:val="36"/>
          <w:shd w:fill="FFFFFF" w:val="clear"/>
        </w:rPr>
        <w:t xml:space="preserve">Not applicable. </w:t>
      </w:r>
    </w:p>
    <w:p>
      <w:pPr>
        <w:pStyle w:val="TextBody"/>
        <w:bidi w:val="0"/>
        <w:spacing w:before="0" w:after="0"/>
        <w:jc w:val="center"/>
        <w:rPr>
          <w:rFonts w:ascii="ARIAL" w:hAnsi="ARIAL"/>
          <w:b/>
          <w:sz w:val="20"/>
          <w:shd w:fill="FFFFFF" w:val="clear"/>
        </w:rPr>
      </w:pPr>
      <w:r>
        <w:rPr>
          <w:rFonts w:ascii="ARIAL" w:hAnsi="ARIAL"/>
          <w:b/>
          <w:sz w:val="20"/>
          <w:shd w:fill="FFFFFF" w:val="clear"/>
        </w:rPr>
        <w:t xml:space="preserve">(Name of Person(s) Filing Proxy Statement, if other than the Registrant) </w:t>
      </w:r>
    </w:p>
    <w:p>
      <w:pPr>
        <w:pStyle w:val="TextBody"/>
        <w:bidi w:val="0"/>
        <w:spacing w:before="240" w:after="0"/>
        <w:jc w:val="left"/>
        <w:rPr>
          <w:rFonts w:ascii="ARIAL" w:hAnsi="ARIAL"/>
          <w:sz w:val="18"/>
          <w:shd w:fill="FFFFFF" w:val="clear"/>
        </w:rPr>
      </w:pPr>
      <w:r>
        <w:rPr>
          <w:rFonts w:ascii="ARIAL" w:hAnsi="ARIAL"/>
          <w:sz w:val="18"/>
          <w:shd w:fill="FFFFFF" w:val="clear"/>
        </w:rPr>
        <w:t xml:space="preserve">Payment of Filing Fee (Check all boxes that apply): </w:t>
      </w:r>
    </w:p>
    <w:p>
      <w:pPr>
        <w:pStyle w:val="TextBody"/>
        <w:bidi w:val="0"/>
        <w:spacing w:before="0" w:after="0"/>
        <w:jc w:val="left"/>
        <w:rPr>
          <w:shd w:fill="FFFFFF" w:val="clear"/>
        </w:rPr>
      </w:pPr>
      <w:r>
        <w:rPr>
          <w:shd w:fill="FFFFFF" w:val="clear"/>
        </w:rPr>
        <w:t> </w:t>
      </w:r>
    </w:p>
    <w:tbl>
      <w:tblPr>
        <w:tblW w:w="1645" w:type="dxa"/>
        <w:jc w:val="left"/>
        <w:tblInd w:w="0" w:type="dxa"/>
        <w:tblLayout w:type="fixed"/>
        <w:tblCellMar>
          <w:top w:w="0" w:type="dxa"/>
          <w:left w:w="0" w:type="dxa"/>
          <w:bottom w:w="0" w:type="dxa"/>
          <w:right w:w="0" w:type="dxa"/>
        </w:tblCellMar>
      </w:tblPr>
      <w:tblGrid>
        <w:gridCol w:w="245"/>
        <w:gridCol w:w="1400"/>
      </w:tblGrid>
      <w:tr>
        <w:trPr/>
        <w:tc>
          <w:tcPr>
            <w:tcW w:w="245" w:type="dxa"/>
            <w:tcBorders/>
            <w:vAlign w:val="center"/>
          </w:tcPr>
          <w:p>
            <w:pPr>
              <w:pStyle w:val="TableContents"/>
              <w:bidi w:val="0"/>
              <w:spacing w:before="0" w:after="0"/>
              <w:jc w:val="left"/>
              <w:rPr>
                <w:spacing w:val="0"/>
              </w:rPr>
            </w:pPr>
            <w:r>
              <w:rPr>
                <w:spacing w:val="0"/>
              </w:rPr>
              <w:t>☒</w:t>
            </w:r>
          </w:p>
        </w:tc>
        <w:tc>
          <w:tcPr>
            <w:tcW w:w="1400" w:type="dxa"/>
            <w:tcBorders/>
            <w:vAlign w:val="center"/>
          </w:tcPr>
          <w:p>
            <w:pPr>
              <w:pStyle w:val="TableContents"/>
              <w:bidi w:val="0"/>
              <w:spacing w:before="0" w:after="0"/>
              <w:jc w:val="left"/>
              <w:rPr>
                <w:rFonts w:ascii="ARIAL" w:hAnsi="ARIAL"/>
                <w:sz w:val="18"/>
              </w:rPr>
            </w:pPr>
            <w:r>
              <w:rPr>
                <w:rFonts w:ascii="ARIAL" w:hAnsi="ARIAL"/>
                <w:sz w:val="18"/>
              </w:rPr>
              <w:t xml:space="preserve">No fee required. </w:t>
            </w:r>
          </w:p>
        </w:tc>
      </w:tr>
    </w:tbl>
    <w:p>
      <w:pPr>
        <w:pStyle w:val="TextBody"/>
        <w:bidi w:val="0"/>
        <w:spacing w:before="0" w:after="0"/>
        <w:jc w:val="left"/>
        <w:rPr>
          <w:shd w:fill="FFFFFF" w:val="clear"/>
        </w:rPr>
      </w:pPr>
      <w:r>
        <w:rPr>
          <w:shd w:fill="FFFFFF" w:val="clear"/>
        </w:rPr>
        <w:t> </w:t>
      </w:r>
    </w:p>
    <w:tbl>
      <w:tblPr>
        <w:tblW w:w="4105" w:type="dxa"/>
        <w:jc w:val="left"/>
        <w:tblInd w:w="0" w:type="dxa"/>
        <w:tblLayout w:type="fixed"/>
        <w:tblCellMar>
          <w:top w:w="0" w:type="dxa"/>
          <w:left w:w="0" w:type="dxa"/>
          <w:bottom w:w="0" w:type="dxa"/>
          <w:right w:w="0" w:type="dxa"/>
        </w:tblCellMar>
      </w:tblPr>
      <w:tblGrid>
        <w:gridCol w:w="245"/>
        <w:gridCol w:w="3860"/>
      </w:tblGrid>
      <w:tr>
        <w:trPr/>
        <w:tc>
          <w:tcPr>
            <w:tcW w:w="245" w:type="dxa"/>
            <w:tcBorders/>
            <w:vAlign w:val="center"/>
          </w:tcPr>
          <w:p>
            <w:pPr>
              <w:pStyle w:val="TableContents"/>
              <w:bidi w:val="0"/>
              <w:spacing w:before="0" w:after="0"/>
              <w:jc w:val="left"/>
              <w:rPr>
                <w:spacing w:val="0"/>
              </w:rPr>
            </w:pPr>
            <w:r>
              <w:rPr>
                <w:spacing w:val="0"/>
              </w:rPr>
              <w:t>☐</w:t>
            </w:r>
          </w:p>
        </w:tc>
        <w:tc>
          <w:tcPr>
            <w:tcW w:w="3860" w:type="dxa"/>
            <w:tcBorders/>
            <w:vAlign w:val="center"/>
          </w:tcPr>
          <w:p>
            <w:pPr>
              <w:pStyle w:val="TableContents"/>
              <w:bidi w:val="0"/>
              <w:spacing w:before="0" w:after="0"/>
              <w:jc w:val="left"/>
              <w:rPr>
                <w:rFonts w:ascii="ARIAL" w:hAnsi="ARIAL"/>
                <w:sz w:val="18"/>
              </w:rPr>
            </w:pPr>
            <w:r>
              <w:rPr>
                <w:rFonts w:ascii="ARIAL" w:hAnsi="ARIAL"/>
                <w:sz w:val="18"/>
              </w:rPr>
              <w:t xml:space="preserve">Fee paid previously with preliminary materials. </w:t>
            </w:r>
          </w:p>
        </w:tc>
      </w:tr>
    </w:tbl>
    <w:p>
      <w:pPr>
        <w:pStyle w:val="TextBody"/>
        <w:bidi w:val="0"/>
        <w:spacing w:before="0" w:after="0"/>
        <w:jc w:val="left"/>
        <w:rPr>
          <w:shd w:fill="FFFFFF" w:val="clear"/>
        </w:rPr>
      </w:pPr>
      <w:r>
        <w:rPr>
          <w:shd w:fill="FFFFFF" w:val="clear"/>
        </w:rPr>
        <w:t> </w:t>
      </w:r>
    </w:p>
    <w:tbl>
      <w:tblPr>
        <w:tblW w:w="6835" w:type="dxa"/>
        <w:jc w:val="left"/>
        <w:tblInd w:w="0" w:type="dxa"/>
        <w:tblLayout w:type="fixed"/>
        <w:tblCellMar>
          <w:top w:w="0" w:type="dxa"/>
          <w:left w:w="0" w:type="dxa"/>
          <w:bottom w:w="0" w:type="dxa"/>
          <w:right w:w="0" w:type="dxa"/>
        </w:tblCellMar>
      </w:tblPr>
      <w:tblGrid>
        <w:gridCol w:w="245"/>
        <w:gridCol w:w="6590"/>
      </w:tblGrid>
      <w:tr>
        <w:trPr/>
        <w:tc>
          <w:tcPr>
            <w:tcW w:w="245" w:type="dxa"/>
            <w:tcBorders/>
            <w:vAlign w:val="center"/>
          </w:tcPr>
          <w:p>
            <w:pPr>
              <w:pStyle w:val="TableContents"/>
              <w:bidi w:val="0"/>
              <w:spacing w:before="0" w:after="0"/>
              <w:jc w:val="left"/>
              <w:rPr>
                <w:spacing w:val="0"/>
              </w:rPr>
            </w:pPr>
            <w:r>
              <w:rPr>
                <w:spacing w:val="0"/>
              </w:rPr>
              <w:t>☐</w:t>
            </w:r>
          </w:p>
        </w:tc>
        <w:tc>
          <w:tcPr>
            <w:tcW w:w="6590" w:type="dxa"/>
            <w:tcBorders/>
            <w:vAlign w:val="center"/>
          </w:tcPr>
          <w:p>
            <w:pPr>
              <w:pStyle w:val="TableContents"/>
              <w:bidi w:val="0"/>
              <w:spacing w:before="0" w:after="0"/>
              <w:jc w:val="left"/>
              <w:rPr>
                <w:rFonts w:ascii="ARIAL" w:hAnsi="ARIAL"/>
                <w:sz w:val="18"/>
              </w:rPr>
            </w:pPr>
            <w:r>
              <w:rPr>
                <w:rFonts w:ascii="ARIAL" w:hAnsi="ARIAL"/>
                <w:sz w:val="18"/>
              </w:rPr>
              <w:t xml:space="preserve">Fee computed on table in exhibit required by Item 25(b) per Exchange Act Rules </w:t>
            </w:r>
          </w:p>
          <w:p>
            <w:pPr>
              <w:pStyle w:val="TableContents"/>
              <w:bidi w:val="0"/>
              <w:spacing w:before="0" w:after="0"/>
              <w:jc w:val="left"/>
              <w:rPr>
                <w:rFonts w:ascii="ARIAL" w:hAnsi="ARIAL"/>
                <w:spacing w:val="0"/>
                <w:sz w:val="18"/>
              </w:rPr>
            </w:pPr>
            <w:r>
              <w:rPr>
                <w:rFonts w:ascii="ARIAL" w:hAnsi="ARIAL"/>
                <w:spacing w:val="0"/>
                <w:sz w:val="18"/>
              </w:rPr>
              <w:t>14a-6(i)(1)</w:t>
            </w:r>
          </w:p>
          <w:p>
            <w:pPr>
              <w:pStyle w:val="TableContents"/>
              <w:bidi w:val="0"/>
              <w:spacing w:before="0" w:after="0"/>
              <w:jc w:val="left"/>
              <w:rPr>
                <w:rFonts w:ascii="ARIAL" w:hAnsi="ARIAL"/>
                <w:sz w:val="18"/>
              </w:rPr>
            </w:pPr>
            <w:r>
              <w:rPr>
                <w:rFonts w:ascii="ARIAL" w:hAnsi="ARIAL"/>
                <w:sz w:val="18"/>
              </w:rPr>
              <w:t xml:space="preserve">and </w:t>
            </w:r>
          </w:p>
          <w:p>
            <w:pPr>
              <w:pStyle w:val="TableContents"/>
              <w:bidi w:val="0"/>
              <w:spacing w:before="0" w:after="0"/>
              <w:jc w:val="left"/>
              <w:rPr>
                <w:rFonts w:ascii="ARIAL" w:hAnsi="ARIAL"/>
                <w:spacing w:val="0"/>
                <w:sz w:val="18"/>
              </w:rPr>
            </w:pPr>
            <w:r>
              <w:rPr>
                <w:rFonts w:ascii="ARIAL" w:hAnsi="ARIAL"/>
                <w:spacing w:val="0"/>
                <w:sz w:val="18"/>
              </w:rPr>
              <w:t>0-11.</w:t>
            </w:r>
          </w:p>
        </w:tc>
      </w:tr>
    </w:tbl>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TextBody"/>
        <w:bidi w:val="0"/>
        <w:spacing w:before="0" w:after="0"/>
        <w:jc w:val="center"/>
        <w:rPr/>
      </w:pPr>
      <w:r>
        <w:rPr/>
        <w:drawing>
          <wp:inline distT="0" distB="0" distL="0" distR="0">
            <wp:extent cx="6429375" cy="838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29375" cy="8382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Delivering solutions that bring life-changing treatments to patients faster and create lasting value for all our stakeholders </w:t>
      </w:r>
      <w:r>
        <w:br w:type="page"/>
      </w:r>
    </w:p>
    <w:p>
      <w:pPr>
        <w:pStyle w:val="HorizontalLine"/>
        <w:bidi w:val="0"/>
        <w:jc w:val="left"/>
        <w:rPr/>
      </w:pPr>
      <w:r>
        <w:rPr/>
      </w:r>
    </w:p>
    <w:p>
      <w:pPr>
        <w:pStyle w:val="TextBody"/>
        <w:bidi w:val="0"/>
        <w:spacing w:before="0" w:after="0"/>
        <w:jc w:val="left"/>
        <w:rPr>
          <w:rFonts w:ascii="Times New Roman" w:hAnsi="Times New Roman"/>
          <w:sz w:val="40"/>
        </w:rPr>
      </w:pPr>
      <w:r>
        <w:rPr>
          <w:rFonts w:ascii="Times New Roman" w:hAnsi="Times New Roman"/>
          <w:sz w:val="40"/>
        </w:rPr>
        <w:t xml:space="preserve">To Our Stockholders: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pPr>
      <w:r>
        <w:rPr/>
        <w:t> </w:t>
      </w:r>
    </w:p>
    <w:tbl>
      <w:tblPr>
        <w:tblW w:w="7415" w:type="dxa"/>
        <w:jc w:val="left"/>
        <w:tblInd w:w="0" w:type="dxa"/>
        <w:tblLayout w:type="fixed"/>
        <w:tblCellMar>
          <w:top w:w="0" w:type="dxa"/>
          <w:left w:w="0" w:type="dxa"/>
          <w:bottom w:w="0" w:type="dxa"/>
          <w:right w:w="0" w:type="dxa"/>
        </w:tblCellMar>
      </w:tblPr>
      <w:tblGrid>
        <w:gridCol w:w="7415"/>
      </w:tblGrid>
      <w:tr>
        <w:trPr/>
        <w:tc>
          <w:tcPr>
            <w:tcW w:w="7415" w:type="dxa"/>
            <w:tcBorders/>
            <w:vAlign w:val="center"/>
          </w:tcPr>
          <w:p>
            <w:pPr>
              <w:pStyle w:val="TableContents"/>
              <w:bidi w:val="0"/>
              <w:spacing w:before="0" w:after="283"/>
              <w:jc w:val="left"/>
              <w:rPr>
                <w:sz w:val="4"/>
                <w:szCs w:val="4"/>
              </w:rPr>
            </w:pPr>
            <w:r>
              <w:rPr>
                <w:sz w:val="4"/>
                <w:szCs w:val="4"/>
              </w:rPr>
            </w:r>
          </w:p>
        </w:tc>
      </w:tr>
      <w:tr>
        <w:trPr/>
        <w:tc>
          <w:tcPr>
            <w:tcW w:w="7415" w:type="dxa"/>
            <w:tcBorders/>
            <w:vAlign w:val="center"/>
          </w:tcPr>
          <w:p>
            <w:pPr>
              <w:pStyle w:val="TableContents"/>
              <w:bidi w:val="0"/>
              <w:spacing w:before="0" w:after="0"/>
              <w:jc w:val="left"/>
              <w:rPr>
                <w:rFonts w:ascii="ARIAL" w:hAnsi="ARIAL"/>
                <w:sz w:val="28"/>
              </w:rPr>
            </w:pPr>
            <w:r>
              <w:rPr>
                <w:rFonts w:ascii="ARIAL" w:hAnsi="ARIAL"/>
                <w:sz w:val="28"/>
              </w:rPr>
              <w:t>FORTREA HOLDINGS INC.</w:t>
            </w:r>
          </w:p>
          <w:p>
            <w:pPr>
              <w:pStyle w:val="TableContents"/>
              <w:bidi w:val="0"/>
              <w:spacing w:before="0" w:after="20"/>
              <w:jc w:val="left"/>
              <w:rPr>
                <w:rFonts w:ascii="ARIAL" w:hAnsi="ARIAL"/>
                <w:sz w:val="28"/>
              </w:rPr>
            </w:pPr>
            <w:r>
              <w:rPr>
                <w:rFonts w:ascii="ARIAL" w:hAnsi="ARIAL"/>
                <w:sz w:val="28"/>
              </w:rPr>
              <w:t>8 MOORE DRIVE, DURHAM, NORTH CAROLINA 27709</w:t>
            </w:r>
          </w:p>
        </w:tc>
      </w:tr>
    </w:tbl>
    <w:p>
      <w:pPr>
        <w:pStyle w:val="TextBody"/>
        <w:bidi w:val="0"/>
        <w:spacing w:before="240" w:after="0"/>
        <w:jc w:val="left"/>
        <w:rPr>
          <w:rFonts w:ascii="ARIAL" w:hAnsi="ARIAL"/>
          <w:sz w:val="20"/>
        </w:rPr>
      </w:pPr>
      <w:r>
        <w:rPr>
          <w:rFonts w:ascii="ARIAL" w:hAnsi="ARIAL"/>
          <w:sz w:val="20"/>
        </w:rPr>
        <w:t xml:space="preserve">March 28, 2024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28">
                <wp:simplePos x="0" y="0"/>
                <wp:positionH relativeFrom="column">
                  <wp:align>left</wp:align>
                </wp:positionH>
                <wp:positionV relativeFrom="line">
                  <wp:posOffset>635</wp:posOffset>
                </wp:positionV>
                <wp:extent cx="3175000" cy="2311400"/>
                <wp:effectExtent l="0" t="0" r="0" b="0"/>
                <wp:wrapSquare wrapText="right"/>
                <wp:docPr id="2" name="Frame2"/>
                <a:graphic xmlns:a="http://schemas.openxmlformats.org/drawingml/2006/main">
                  <a:graphicData uri="http://schemas.microsoft.com/office/word/2010/wordprocessingShape">
                    <wps:wsp>
                      <wps:cNvSpPr txBox="1"/>
                      <wps:spPr>
                        <a:xfrm>
                          <a:off x="0" y="0"/>
                          <a:ext cx="3175000" cy="2311400"/>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w:t>
                            </w:r>
                          </w:p>
                          <w:p>
                            <w:pPr>
                              <w:pStyle w:val="TextBody"/>
                              <w:bidi w:val="0"/>
                              <w:spacing w:before="160" w:after="0"/>
                              <w:jc w:val="left"/>
                              <w:rPr>
                                <w:rFonts w:ascii="ARIAL" w:hAnsi="ARIAL"/>
                                <w:sz w:val="18"/>
                              </w:rPr>
                            </w:pPr>
                            <w:r>
                              <w:rPr>
                                <w:rFonts w:ascii="ARIAL" w:hAnsi="ARIAL"/>
                                <w:sz w:val="18"/>
                              </w:rPr>
                              <w:t xml:space="preserve">Thank you for your support. </w:t>
                            </w:r>
                          </w:p>
                          <w:p>
                            <w:pPr>
                              <w:pStyle w:val="TextBody"/>
                              <w:bidi w:val="0"/>
                              <w:spacing w:before="360" w:after="0"/>
                              <w:jc w:val="left"/>
                              <w:rPr>
                                <w:rFonts w:ascii="ARIAL" w:hAnsi="ARIAL"/>
                                <w:sz w:val="18"/>
                              </w:rPr>
                            </w:pPr>
                            <w:r>
                              <w:rPr>
                                <w:rFonts w:ascii="ARIAL" w:hAnsi="ARIAL"/>
                                <w:sz w:val="18"/>
                              </w:rPr>
                              <w:t xml:space="preserve">Sincerely, </w:t>
                            </w:r>
                          </w:p>
                          <w:p>
                            <w:pPr>
                              <w:pStyle w:val="TextBody"/>
                              <w:bidi w:val="0"/>
                              <w:spacing w:before="0" w:after="0"/>
                              <w:jc w:val="left"/>
                              <w:rPr/>
                            </w:pPr>
                            <w:r>
                              <w:rPr/>
                              <w:drawing>
                                <wp:inline distT="0" distB="0" distL="0" distR="0">
                                  <wp:extent cx="141605" cy="2667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41605" cy="26670"/>
                                          </a:xfrm>
                                          <a:prstGeom prst="rect">
                                            <a:avLst/>
                                          </a:prstGeom>
                                        </pic:spPr>
                                      </pic:pic>
                                    </a:graphicData>
                                  </a:graphic>
                                </wp:inline>
                              </w:drawing>
                            </w:r>
                            <w:r>
                              <w:rPr/>
                              <w:t xml:space="preserve"> </w:t>
                            </w:r>
                          </w:p>
                          <w:p>
                            <w:pPr>
                              <w:pStyle w:val="TextBody"/>
                              <w:bidi w:val="0"/>
                              <w:spacing w:before="360" w:after="0"/>
                              <w:jc w:val="left"/>
                              <w:rPr>
                                <w:rFonts w:ascii="ARIAL" w:hAnsi="ARIAL"/>
                                <w:sz w:val="18"/>
                              </w:rPr>
                            </w:pPr>
                            <w:r>
                              <w:rPr>
                                <w:rFonts w:ascii="ARIAL" w:hAnsi="ARIAL"/>
                                <w:sz w:val="18"/>
                              </w:rPr>
                              <w:t xml:space="preserve">Thomas H. Pike </w:t>
                            </w:r>
                          </w:p>
                          <w:p>
                            <w:pPr>
                              <w:pStyle w:val="TextBody"/>
                              <w:bidi w:val="0"/>
                              <w:spacing w:before="0" w:after="0"/>
                              <w:jc w:val="left"/>
                              <w:rPr>
                                <w:rFonts w:ascii="ARIAL" w:hAnsi="ARIAL"/>
                                <w:sz w:val="18"/>
                              </w:rPr>
                            </w:pPr>
                            <w:r>
                              <w:rPr>
                                <w:rFonts w:ascii="ARIAL" w:hAnsi="ARIAL"/>
                                <w:sz w:val="18"/>
                              </w:rPr>
                              <w:t xml:space="preserve">Chief Executive Officer and Chairman of the Board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8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w:t>
                      </w:r>
                    </w:p>
                    <w:p>
                      <w:pPr>
                        <w:pStyle w:val="TextBody"/>
                        <w:bidi w:val="0"/>
                        <w:spacing w:before="160" w:after="0"/>
                        <w:jc w:val="left"/>
                        <w:rPr>
                          <w:rFonts w:ascii="ARIAL" w:hAnsi="ARIAL"/>
                          <w:sz w:val="18"/>
                        </w:rPr>
                      </w:pPr>
                      <w:r>
                        <w:rPr>
                          <w:rFonts w:ascii="ARIAL" w:hAnsi="ARIAL"/>
                          <w:sz w:val="18"/>
                        </w:rPr>
                        <w:t xml:space="preserve">Thank you for your support. </w:t>
                      </w:r>
                    </w:p>
                    <w:p>
                      <w:pPr>
                        <w:pStyle w:val="TextBody"/>
                        <w:bidi w:val="0"/>
                        <w:spacing w:before="360" w:after="0"/>
                        <w:jc w:val="left"/>
                        <w:rPr>
                          <w:rFonts w:ascii="ARIAL" w:hAnsi="ARIAL"/>
                          <w:sz w:val="18"/>
                        </w:rPr>
                      </w:pPr>
                      <w:r>
                        <w:rPr>
                          <w:rFonts w:ascii="ARIAL" w:hAnsi="ARIAL"/>
                          <w:sz w:val="18"/>
                        </w:rPr>
                        <w:t xml:space="preserve">Sincerely, </w:t>
                      </w:r>
                    </w:p>
                    <w:p>
                      <w:pPr>
                        <w:pStyle w:val="TextBody"/>
                        <w:bidi w:val="0"/>
                        <w:spacing w:before="0" w:after="0"/>
                        <w:jc w:val="left"/>
                        <w:rPr/>
                      </w:pPr>
                      <w:r>
                        <w:rPr/>
                        <w:drawing>
                          <wp:inline distT="0" distB="0" distL="0" distR="0">
                            <wp:extent cx="141605" cy="2667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4"/>
                                    <a:stretch>
                                      <a:fillRect/>
                                    </a:stretch>
                                  </pic:blipFill>
                                  <pic:spPr bwMode="auto">
                                    <a:xfrm>
                                      <a:off x="0" y="0"/>
                                      <a:ext cx="141605" cy="26670"/>
                                    </a:xfrm>
                                    <a:prstGeom prst="rect">
                                      <a:avLst/>
                                    </a:prstGeom>
                                  </pic:spPr>
                                </pic:pic>
                              </a:graphicData>
                            </a:graphic>
                          </wp:inline>
                        </w:drawing>
                      </w:r>
                      <w:r>
                        <w:rPr/>
                        <w:t xml:space="preserve"> </w:t>
                      </w:r>
                    </w:p>
                    <w:p>
                      <w:pPr>
                        <w:pStyle w:val="TextBody"/>
                        <w:bidi w:val="0"/>
                        <w:spacing w:before="360" w:after="0"/>
                        <w:jc w:val="left"/>
                        <w:rPr>
                          <w:rFonts w:ascii="ARIAL" w:hAnsi="ARIAL"/>
                          <w:sz w:val="18"/>
                        </w:rPr>
                      </w:pPr>
                      <w:r>
                        <w:rPr>
                          <w:rFonts w:ascii="ARIAL" w:hAnsi="ARIAL"/>
                          <w:sz w:val="18"/>
                        </w:rPr>
                        <w:t xml:space="preserve">Thomas H. Pike </w:t>
                      </w:r>
                    </w:p>
                    <w:p>
                      <w:pPr>
                        <w:pStyle w:val="TextBody"/>
                        <w:bidi w:val="0"/>
                        <w:spacing w:before="0" w:after="0"/>
                        <w:jc w:val="left"/>
                        <w:rPr>
                          <w:rFonts w:ascii="ARIAL" w:hAnsi="ARIAL"/>
                          <w:sz w:val="18"/>
                        </w:rPr>
                      </w:pPr>
                      <w:r>
                        <w:rPr>
                          <w:rFonts w:ascii="ARIAL" w:hAnsi="ARIAL"/>
                          <w:sz w:val="18"/>
                        </w:rPr>
                        <w:t xml:space="preserve">Chief Executive Officer and Chairman of the Board </w:t>
                      </w:r>
                    </w:p>
                  </w:txbxContent>
                </v:textbox>
                <w10:wrap type="square" side="right"/>
              </v:rect>
            </w:pict>
          </mc:Fallback>
        </mc:AlternateContent>
      </w:r>
      <w:r>
        <mc:AlternateContent>
          <mc:Choice Requires="wps">
            <w:drawing>
              <wp:anchor behindDoc="0" distT="0" distB="0" distL="0" distR="0" simplePos="0" locked="0" layoutInCell="1" allowOverlap="1" relativeHeight="30">
                <wp:simplePos x="0" y="0"/>
                <wp:positionH relativeFrom="column">
                  <wp:align>left</wp:align>
                </wp:positionH>
                <wp:positionV relativeFrom="line">
                  <wp:posOffset>635</wp:posOffset>
                </wp:positionV>
                <wp:extent cx="3110230" cy="2569210"/>
                <wp:effectExtent l="0" t="0" r="0" b="0"/>
                <wp:wrapSquare wrapText="right"/>
                <wp:docPr id="5" name="Frame1"/>
                <a:graphic xmlns:a="http://schemas.openxmlformats.org/drawingml/2006/main">
                  <a:graphicData uri="http://schemas.microsoft.com/office/word/2010/wordprocessingShape">
                    <wps:wsp>
                      <wps:cNvSpPr txBox="1"/>
                      <wps:spPr>
                        <a:xfrm>
                          <a:off x="0" y="0"/>
                          <a:ext cx="3110230" cy="2569210"/>
                        </a:xfrm>
                        <a:prstGeom prst="rect"/>
                        <a:solidFill>
                          <a:srgbClr val="FFFFFF"/>
                        </a:solidFill>
                      </wps:spPr>
                      <wps:txbx>
                        <w:txbxContent>
                          <w:p>
                            <w:pPr>
                              <w:pStyle w:val="TextBody"/>
                              <w:bidi w:val="0"/>
                              <w:spacing w:before="0" w:after="0"/>
                              <w:jc w:val="left"/>
                              <w:rPr>
                                <w:rFonts w:ascii="ARIAL" w:hAnsi="ARIAL"/>
                                <w:sz w:val="18"/>
                              </w:rPr>
                            </w:pPr>
                            <w:r>
                              <w:rPr>
                                <w:rFonts w:ascii="ARIAL" w:hAnsi="ARIAL"/>
                                <w:sz w:val="18"/>
                              </w:rPr>
                              <w:t xml:space="preserve">You are cordially invited to attend the 2024 Annual Meeting of Stockholders of Fortrea Holdings Inc. at 7:30 a.m. Eastern Time, on Tuesday, May 14, 2024, at The Mayton Inn, 301 South Academy Street, Cary, North Carolina 27511. </w:t>
                            </w:r>
                          </w:p>
                          <w:p>
                            <w:pPr>
                              <w:pStyle w:val="TextBody"/>
                              <w:bidi w:val="0"/>
                              <w:spacing w:before="160" w:after="0"/>
                              <w:jc w:val="left"/>
                              <w:rPr>
                                <w:rFonts w:ascii="ARIAL" w:hAnsi="ARIAL"/>
                                <w:sz w:val="18"/>
                              </w:rPr>
                            </w:pPr>
                            <w:r>
                              <w:rPr>
                                <w:rFonts w:ascii="ARIAL" w:hAnsi="ARIAL"/>
                                <w:sz w:val="18"/>
                              </w:rPr>
                              <w:t xml:space="preserve">The Notice of Meeting and Proxy Statement on the following pages describe the matters to be presented at the Annual Meeting. If you would like to attend the Annual Meeting, please review the section called “Who Can Attend the Annual Meeting?” on page 5 of the proxy statement for more information about how to attend the meeting. </w:t>
                            </w:r>
                          </w:p>
                          <w:p>
                            <w:pPr>
                              <w:pStyle w:val="TextBody"/>
                              <w:bidi w:val="0"/>
                              <w:spacing w:before="160" w:after="0"/>
                              <w:jc w:val="left"/>
                              <w:rPr>
                                <w:rFonts w:ascii="ARIAL" w:hAnsi="ARIAL"/>
                                <w:sz w:val="18"/>
                              </w:rPr>
                            </w:pPr>
                            <w:r>
                              <w:rPr>
                                <w:rFonts w:ascii="ARIAL" w:hAnsi="ARIAL"/>
                                <w:sz w:val="18"/>
                              </w:rPr>
                              <w:t xml:space="preserve">Proxy materials, which include a Notice of Internet Availability, proxy statement and proxy card are first being made available to stockholders of Fortrea Holdings Inc. on or about March 28, 2024. Whether or not you attend the Annual Meeting, it is important that your shares be represented and voted at the Annual Meeting. Therefore, I urge you to promptly vote and submit your proxy by phone, via the Internet, or, if you received paper copies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2.3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left"/>
                        <w:rPr>
                          <w:rFonts w:ascii="ARIAL" w:hAnsi="ARIAL"/>
                          <w:sz w:val="18"/>
                        </w:rPr>
                      </w:pPr>
                      <w:r>
                        <w:rPr>
                          <w:rFonts w:ascii="ARIAL" w:hAnsi="ARIAL"/>
                          <w:sz w:val="18"/>
                        </w:rPr>
                        <w:t xml:space="preserve">You are cordially invited to attend the 2024 Annual Meeting of Stockholders of Fortrea Holdings Inc. at 7:30 a.m. Eastern Time, on Tuesday, May 14, 2024, at The Mayton Inn, 301 South Academy Street, Cary, North Carolina 27511. </w:t>
                      </w:r>
                    </w:p>
                    <w:p>
                      <w:pPr>
                        <w:pStyle w:val="TextBody"/>
                        <w:bidi w:val="0"/>
                        <w:spacing w:before="160" w:after="0"/>
                        <w:jc w:val="left"/>
                        <w:rPr>
                          <w:rFonts w:ascii="ARIAL" w:hAnsi="ARIAL"/>
                          <w:sz w:val="18"/>
                        </w:rPr>
                      </w:pPr>
                      <w:r>
                        <w:rPr>
                          <w:rFonts w:ascii="ARIAL" w:hAnsi="ARIAL"/>
                          <w:sz w:val="18"/>
                        </w:rPr>
                        <w:t xml:space="preserve">The Notice of Meeting and Proxy Statement on the following pages describe the matters to be presented at the Annual Meeting. If you would like to attend the Annual Meeting, please review the section called “Who Can Attend the Annual Meeting?” on page 5 of the proxy statement for more information about how to attend the meeting. </w:t>
                      </w:r>
                    </w:p>
                    <w:p>
                      <w:pPr>
                        <w:pStyle w:val="TextBody"/>
                        <w:bidi w:val="0"/>
                        <w:spacing w:before="160" w:after="0"/>
                        <w:jc w:val="left"/>
                        <w:rPr>
                          <w:rFonts w:ascii="ARIAL" w:hAnsi="ARIAL"/>
                          <w:sz w:val="18"/>
                        </w:rPr>
                      </w:pPr>
                      <w:r>
                        <w:rPr>
                          <w:rFonts w:ascii="ARIAL" w:hAnsi="ARIAL"/>
                          <w:sz w:val="18"/>
                        </w:rPr>
                        <w:t xml:space="preserve">Proxy materials, which include a Notice of Internet Availability, proxy statement and proxy card are first being made available to stockholders of Fortrea Holdings Inc. on or about March 28, 2024. Whether or not you attend the Annual Meeting, it is important that your shares be represented and voted at the Annual Meeting. Therefore, I urge you to promptly vote and submit your proxy by phone, via the Internet, or, if you received paper copies </w:t>
                      </w:r>
                    </w:p>
                  </w:txbxContent>
                </v:textbox>
                <w10:wrap type="square" side="right"/>
              </v:rect>
            </w:pict>
          </mc:Fallback>
        </mc:AlternateContent>
      </w:r>
    </w:p>
    <w:p>
      <w:pPr>
        <w:pStyle w:val="HorizontalLine"/>
        <w:bidi w:val="0"/>
        <w:jc w:val="left"/>
        <w:rPr/>
      </w:pPr>
      <w:r>
        <w:rPr/>
      </w:r>
    </w:p>
    <w:p>
      <w:pPr>
        <w:pStyle w:val="TextBody"/>
        <w:bidi w:val="0"/>
        <w:spacing w:before="0" w:after="0"/>
        <w:jc w:val="left"/>
        <w:rPr>
          <w:rFonts w:ascii="Times New Roman" w:hAnsi="Times New Roman"/>
          <w:sz w:val="40"/>
        </w:rPr>
      </w:pPr>
      <w:bookmarkStart w:id="2" w:name="toc"/>
      <w:bookmarkEnd w:id="2"/>
      <w:r>
        <w:rPr>
          <w:rFonts w:ascii="Times New Roman" w:hAnsi="Times New Roman"/>
          <w:sz w:val="40"/>
        </w:rPr>
        <w:t xml:space="preserve">Table of Contents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w:br w:type="page"/>
      </w:r>
      <w:r>
        <mc:AlternateContent>
          <mc:Choice Requires="wps">
            <w:drawing>
              <wp:anchor behindDoc="0" distT="0" distB="0" distL="0" distR="0" simplePos="0" locked="0" layoutInCell="1" allowOverlap="1" relativeHeight="31">
                <wp:simplePos x="0" y="0"/>
                <wp:positionH relativeFrom="column">
                  <wp:align>left</wp:align>
                </wp:positionH>
                <wp:positionV relativeFrom="line">
                  <wp:posOffset>635</wp:posOffset>
                </wp:positionV>
                <wp:extent cx="3110230" cy="9972040"/>
                <wp:effectExtent l="0" t="0" r="0" b="0"/>
                <wp:wrapSquare wrapText="right"/>
                <wp:docPr id="6" name="Frame3"/>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9160" w:type="dxa"/>
                              <w:jc w:val="left"/>
                              <w:tblInd w:w="0" w:type="dxa"/>
                              <w:tblLayout w:type="fixed"/>
                              <w:tblCellMar>
                                <w:top w:w="0" w:type="dxa"/>
                                <w:left w:w="0" w:type="dxa"/>
                                <w:bottom w:w="0" w:type="dxa"/>
                                <w:right w:w="0" w:type="dxa"/>
                              </w:tblCellMar>
                            </w:tblPr>
                            <w:tblGrid>
                              <w:gridCol w:w="8705"/>
                              <w:gridCol w:w="60"/>
                              <w:gridCol w:w="60"/>
                              <w:gridCol w:w="260"/>
                              <w:gridCol w:w="75"/>
                            </w:tblGrid>
                            <w:tr>
                              <w:trPr/>
                              <w:tc>
                                <w:tcPr>
                                  <w:tcW w:w="87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1">
                                    <w:r>
                                      <w:rPr>
                                        <w:rStyle w:val="InternetLink"/>
                                      </w:rPr>
                                      <w:t>Notice of Annual Meeting of Stockholders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2">
                                    <w:r>
                                      <w:rPr>
                                        <w:rStyle w:val="InternetLink"/>
                                      </w:rPr>
                                      <w:t>Proxy Statement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3">
                                    <w:r>
                                      <w:rPr>
                                        <w:rStyle w:val="InternetLink"/>
                                        <w:rFonts w:ascii="ARIAL" w:hAnsi="ARIAL"/>
                                        <w:sz w:val="18"/>
                                      </w:rPr>
                                      <w:t>Proposals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4">
                                    <w:r>
                                      <w:rPr>
                                        <w:rStyle w:val="InternetLink"/>
                                        <w:rFonts w:ascii="ARIAL" w:hAnsi="ARIAL"/>
                                        <w:sz w:val="18"/>
                                      </w:rPr>
                                      <w:t>Recommendations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5">
                                    <w:r>
                                      <w:rPr>
                                        <w:rStyle w:val="InternetLink"/>
                                        <w:rFonts w:ascii="ARIAL" w:hAnsi="ARIAL"/>
                                        <w:sz w:val="18"/>
                                      </w:rPr>
                                      <w:t>Information About This Proxy Statement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6">
                                    <w:r>
                                      <w:rPr>
                                        <w:rStyle w:val="InternetLink"/>
                                      </w:rPr>
                                      <w:t>Questions and Answers About the 2024 Annual Meeting of Stockholders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7">
                                    <w:r>
                                      <w:rPr>
                                        <w:rStyle w:val="InternetLink"/>
                                      </w:rPr>
                                      <w:t>Proposal 1: Election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8">
                                    <w:r>
                                      <w:rPr>
                                        <w:rStyle w:val="InternetLink"/>
                                        <w:rFonts w:ascii="ARIAL" w:hAnsi="ARIAL"/>
                                        <w:sz w:val="18"/>
                                      </w:rPr>
                                      <w:t>Vote Required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9">
                                    <w:r>
                                      <w:rPr>
                                        <w:rStyle w:val="InternetLink"/>
                                        <w:rFonts w:ascii="ARIAL" w:hAnsi="ARIAL"/>
                                        <w:sz w:val="18"/>
                                      </w:rPr>
                                      <w:t>Recommendation of the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10">
                                    <w:r>
                                      <w:rPr>
                                        <w:rStyle w:val="InternetLink"/>
                                      </w:rPr>
                                      <w:t>Proposal 2: Ratification of Appointment of Independent Registered Public Accounting Firm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11">
                                    <w:r>
                                      <w:rPr>
                                        <w:rStyle w:val="InternetLink"/>
                                        <w:rFonts w:ascii="ARIAL" w:hAnsi="ARIAL"/>
                                        <w:sz w:val="18"/>
                                      </w:rPr>
                                      <w:t>Vote Required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12">
                                    <w:r>
                                      <w:rPr>
                                        <w:rStyle w:val="InternetLink"/>
                                        <w:rFonts w:ascii="ARIAL" w:hAnsi="ARIAL"/>
                                        <w:sz w:val="18"/>
                                      </w:rPr>
                                      <w:t>Recommendation of the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13">
                                    <w:r>
                                      <w:rPr>
                                        <w:rStyle w:val="InternetLink"/>
                                      </w:rPr>
                                      <w:t>Report of the Audit Committee of the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14">
                                    <w:r>
                                      <w:rPr>
                                        <w:rStyle w:val="InternetLink"/>
                                      </w:rPr>
                                      <w:t>Independent Registered Public Accounting Firm Fees and Other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15">
                                    <w:r>
                                      <w:rPr>
                                        <w:rStyle w:val="InternetLink"/>
                                      </w:rPr>
                                      <w:t>Named 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16">
                                    <w:r>
                                      <w:rPr>
                                        <w:rStyle w:val="InternetLink"/>
                                      </w:rPr>
                                      <w:t>Corporate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17">
                                    <w:r>
                                      <w:rPr>
                                        <w:rStyle w:val="InternetLink"/>
                                        <w:rFonts w:ascii="ARIAL" w:hAnsi="ARIAL"/>
                                        <w:sz w:val="18"/>
                                      </w:rPr>
                                      <w:t>General</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18">
                                    <w:r>
                                      <w:rPr>
                                        <w:rStyle w:val="InternetLink"/>
                                        <w:rFonts w:ascii="ARIAL" w:hAnsi="ARIAL"/>
                                        <w:sz w:val="18"/>
                                      </w:rPr>
                                      <w:t>Board Composition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19">
                                    <w:r>
                                      <w:rPr>
                                        <w:rStyle w:val="InternetLink"/>
                                        <w:rFonts w:ascii="ARIAL" w:hAnsi="ARIAL"/>
                                        <w:sz w:val="18"/>
                                      </w:rPr>
                                      <w:t>Board Diversity Matrix (as of March 28, 2024)</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0">
                                    <w:r>
                                      <w:rPr>
                                        <w:rStyle w:val="InternetLink"/>
                                        <w:rFonts w:ascii="ARIAL" w:hAnsi="ARIAL"/>
                                        <w:sz w:val="18"/>
                                      </w:rPr>
                                      <w:t>Director Independence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1">
                                    <w:r>
                                      <w:rPr>
                                        <w:rStyle w:val="InternetLink"/>
                                        <w:rFonts w:ascii="ARIAL" w:hAnsi="ARIAL"/>
                                        <w:sz w:val="18"/>
                                      </w:rPr>
                                      <w:t>Director Candidates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6a">
                                    <w:r>
                                      <w:rPr>
                                        <w:rStyle w:val="InternetLink"/>
                                        <w:rFonts w:ascii="ARIAL" w:hAnsi="ARIAL"/>
                                        <w:sz w:val="18"/>
                                      </w:rPr>
                                      <w:t>Stockholder Engagement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2">
                                    <w:r>
                                      <w:rPr>
                                        <w:rStyle w:val="InternetLink"/>
                                        <w:rFonts w:ascii="ARIAL" w:hAnsi="ARIAL"/>
                                        <w:sz w:val="18"/>
                                      </w:rPr>
                                      <w:t>Communications from Stockholders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3">
                                    <w:r>
                                      <w:rPr>
                                        <w:rStyle w:val="InternetLink"/>
                                        <w:rFonts w:ascii="ARIAL" w:hAnsi="ARIAL"/>
                                        <w:sz w:val="18"/>
                                      </w:rPr>
                                      <w:t>Board Leadership Structure and Role in Risk Oversight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4">
                                    <w:r>
                                      <w:rPr>
                                        <w:rStyle w:val="InternetLink"/>
                                        <w:rFonts w:ascii="ARIAL" w:hAnsi="ARIAL"/>
                                        <w:sz w:val="18"/>
                                      </w:rPr>
                                      <w:t>Periodic Board Evaluation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5">
                                    <w:r>
                                      <w:rPr>
                                        <w:rStyle w:val="InternetLink"/>
                                        <w:rFonts w:ascii="ARIAL" w:hAnsi="ARIAL"/>
                                        <w:sz w:val="18"/>
                                      </w:rPr>
                                      <w:t>Code of Conduct and Ethics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6">
                                    <w:r>
                                      <w:rPr>
                                        <w:rStyle w:val="InternetLink"/>
                                        <w:rFonts w:ascii="ARIAL" w:hAnsi="ARIAL"/>
                                        <w:sz w:val="18"/>
                                      </w:rPr>
                                      <w:t>Attendance by Members of the Board of Directors at Meetings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27">
                                    <w:r>
                                      <w:rPr>
                                        <w:rStyle w:val="InternetLink"/>
                                      </w:rPr>
                                      <w:t>Committees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8">
                                    <w:r>
                                      <w:rPr>
                                        <w:rStyle w:val="InternetLink"/>
                                        <w:rFonts w:ascii="ARIAL" w:hAnsi="ARIAL"/>
                                        <w:sz w:val="18"/>
                                      </w:rPr>
                                      <w:t>Audit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9">
                                    <w:r>
                                      <w:rPr>
                                        <w:rStyle w:val="InternetLink"/>
                                        <w:rFonts w:ascii="ARIAL" w:hAnsi="ARIAL"/>
                                        <w:sz w:val="18"/>
                                      </w:rPr>
                                      <w:t>Management Development and Compensation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30">
                                    <w:r>
                                      <w:rPr>
                                        <w:rStyle w:val="InternetLink"/>
                                        <w:rFonts w:ascii="ARIAL" w:hAnsi="ARIAL"/>
                                        <w:sz w:val="18"/>
                                      </w:rPr>
                                      <w:t>Nominating, Corporate Governance and Compliance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30a">
                                    <w:r>
                                      <w:rPr>
                                        <w:rStyle w:val="InternetLink"/>
                                        <w:rFonts w:ascii="ARIAL" w:hAnsi="ARIAL"/>
                                        <w:sz w:val="18"/>
                                      </w:rPr>
                                      <w:t>Cybersecurity &amp; the Audit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9160" w:type="dxa"/>
                        <w:jc w:val="left"/>
                        <w:tblInd w:w="0" w:type="dxa"/>
                        <w:tblLayout w:type="fixed"/>
                        <w:tblCellMar>
                          <w:top w:w="0" w:type="dxa"/>
                          <w:left w:w="0" w:type="dxa"/>
                          <w:bottom w:w="0" w:type="dxa"/>
                          <w:right w:w="0" w:type="dxa"/>
                        </w:tblCellMar>
                      </w:tblPr>
                      <w:tblGrid>
                        <w:gridCol w:w="8705"/>
                        <w:gridCol w:w="60"/>
                        <w:gridCol w:w="60"/>
                        <w:gridCol w:w="260"/>
                        <w:gridCol w:w="75"/>
                      </w:tblGrid>
                      <w:tr>
                        <w:trPr/>
                        <w:tc>
                          <w:tcPr>
                            <w:tcW w:w="87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1">
                              <w:r>
                                <w:rPr>
                                  <w:rStyle w:val="InternetLink"/>
                                </w:rPr>
                                <w:t>Notice of Annual Meeting of Stockholders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2">
                              <w:r>
                                <w:rPr>
                                  <w:rStyle w:val="InternetLink"/>
                                </w:rPr>
                                <w:t>Proxy Statement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3">
                              <w:r>
                                <w:rPr>
                                  <w:rStyle w:val="InternetLink"/>
                                  <w:rFonts w:ascii="ARIAL" w:hAnsi="ARIAL"/>
                                  <w:sz w:val="18"/>
                                </w:rPr>
                                <w:t>Proposals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4">
                              <w:r>
                                <w:rPr>
                                  <w:rStyle w:val="InternetLink"/>
                                  <w:rFonts w:ascii="ARIAL" w:hAnsi="ARIAL"/>
                                  <w:sz w:val="18"/>
                                </w:rPr>
                                <w:t>Recommendations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5">
                              <w:r>
                                <w:rPr>
                                  <w:rStyle w:val="InternetLink"/>
                                  <w:rFonts w:ascii="ARIAL" w:hAnsi="ARIAL"/>
                                  <w:sz w:val="18"/>
                                </w:rPr>
                                <w:t>Information About This Proxy Statement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6">
                              <w:r>
                                <w:rPr>
                                  <w:rStyle w:val="InternetLink"/>
                                </w:rPr>
                                <w:t>Questions and Answers About the 2024 Annual Meeting of Stockholders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7">
                              <w:r>
                                <w:rPr>
                                  <w:rStyle w:val="InternetLink"/>
                                </w:rPr>
                                <w:t>Proposal 1: Election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8">
                              <w:r>
                                <w:rPr>
                                  <w:rStyle w:val="InternetLink"/>
                                  <w:rFonts w:ascii="ARIAL" w:hAnsi="ARIAL"/>
                                  <w:sz w:val="18"/>
                                </w:rPr>
                                <w:t>Vote Required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9">
                              <w:r>
                                <w:rPr>
                                  <w:rStyle w:val="InternetLink"/>
                                  <w:rFonts w:ascii="ARIAL" w:hAnsi="ARIAL"/>
                                  <w:sz w:val="18"/>
                                </w:rPr>
                                <w:t>Recommendation of the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10">
                              <w:r>
                                <w:rPr>
                                  <w:rStyle w:val="InternetLink"/>
                                </w:rPr>
                                <w:t>Proposal 2: Ratification of Appointment of Independent Registered Public Accounting Firm</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11">
                              <w:r>
                                <w:rPr>
                                  <w:rStyle w:val="InternetLink"/>
                                  <w:rFonts w:ascii="ARIAL" w:hAnsi="ARIAL"/>
                                  <w:sz w:val="18"/>
                                </w:rPr>
                                <w:t>Vote Required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12">
                              <w:r>
                                <w:rPr>
                                  <w:rStyle w:val="InternetLink"/>
                                  <w:rFonts w:ascii="ARIAL" w:hAnsi="ARIAL"/>
                                  <w:sz w:val="18"/>
                                </w:rPr>
                                <w:t>Recommendation of the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13">
                              <w:r>
                                <w:rPr>
                                  <w:rStyle w:val="InternetLink"/>
                                </w:rPr>
                                <w:t>Report of the Audit Committee of the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14">
                              <w:r>
                                <w:rPr>
                                  <w:rStyle w:val="InternetLink"/>
                                </w:rPr>
                                <w:t>Independent Registered Public Accounting Firm Fees and Other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15">
                              <w:r>
                                <w:rPr>
                                  <w:rStyle w:val="InternetLink"/>
                                </w:rPr>
                                <w:t>Named Executive Officers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16</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16">
                              <w:r>
                                <w:rPr>
                                  <w:rStyle w:val="InternetLink"/>
                                </w:rPr>
                                <w:t>Corporate Governance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17">
                              <w:r>
                                <w:rPr>
                                  <w:rStyle w:val="InternetLink"/>
                                  <w:rFonts w:ascii="ARIAL" w:hAnsi="ARIAL"/>
                                  <w:sz w:val="18"/>
                                </w:rPr>
                                <w:t>General</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18">
                              <w:r>
                                <w:rPr>
                                  <w:rStyle w:val="InternetLink"/>
                                  <w:rFonts w:ascii="ARIAL" w:hAnsi="ARIAL"/>
                                  <w:sz w:val="18"/>
                                </w:rPr>
                                <w:t>Board Composition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19">
                              <w:r>
                                <w:rPr>
                                  <w:rStyle w:val="InternetLink"/>
                                  <w:rFonts w:ascii="ARIAL" w:hAnsi="ARIAL"/>
                                  <w:sz w:val="18"/>
                                </w:rPr>
                                <w:t>Board Diversity Matrix (as of March 28, 2024)</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17</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0">
                              <w:r>
                                <w:rPr>
                                  <w:rStyle w:val="InternetLink"/>
                                  <w:rFonts w:ascii="ARIAL" w:hAnsi="ARIAL"/>
                                  <w:sz w:val="18"/>
                                </w:rPr>
                                <w:t>Director Independence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1">
                              <w:r>
                                <w:rPr>
                                  <w:rStyle w:val="InternetLink"/>
                                  <w:rFonts w:ascii="ARIAL" w:hAnsi="ARIAL"/>
                                  <w:sz w:val="18"/>
                                </w:rPr>
                                <w:t>Director Candidates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18</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6a">
                              <w:r>
                                <w:rPr>
                                  <w:rStyle w:val="InternetLink"/>
                                  <w:rFonts w:ascii="ARIAL" w:hAnsi="ARIAL"/>
                                  <w:sz w:val="18"/>
                                </w:rPr>
                                <w:t>Stockholder Engagement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2">
                              <w:r>
                                <w:rPr>
                                  <w:rStyle w:val="InternetLink"/>
                                  <w:rFonts w:ascii="ARIAL" w:hAnsi="ARIAL"/>
                                  <w:sz w:val="18"/>
                                </w:rPr>
                                <w:t>Communications from Stockholders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3">
                              <w:r>
                                <w:rPr>
                                  <w:rStyle w:val="InternetLink"/>
                                  <w:rFonts w:ascii="ARIAL" w:hAnsi="ARIAL"/>
                                  <w:sz w:val="18"/>
                                </w:rPr>
                                <w:t>Board Leadership Structure and Role in Risk Oversight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19</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4">
                              <w:r>
                                <w:rPr>
                                  <w:rStyle w:val="InternetLink"/>
                                  <w:rFonts w:ascii="ARIAL" w:hAnsi="ARIAL"/>
                                  <w:sz w:val="18"/>
                                </w:rPr>
                                <w:t>Periodic Board Evaluation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5">
                              <w:r>
                                <w:rPr>
                                  <w:rStyle w:val="InternetLink"/>
                                  <w:rFonts w:ascii="ARIAL" w:hAnsi="ARIAL"/>
                                  <w:sz w:val="18"/>
                                </w:rPr>
                                <w:t>Code of Conduct and Ethics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6">
                              <w:r>
                                <w:rPr>
                                  <w:rStyle w:val="InternetLink"/>
                                  <w:rFonts w:ascii="ARIAL" w:hAnsi="ARIAL"/>
                                  <w:sz w:val="18"/>
                                </w:rPr>
                                <w:t>Attendance by Members of the Board of Directors at Meetings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20</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283"/>
                              <w:jc w:val="left"/>
                              <w:rPr/>
                            </w:pPr>
                            <w:hyperlink w:anchor="toc814840_27">
                              <w:r>
                                <w:rPr>
                                  <w:rStyle w:val="InternetLink"/>
                                </w:rPr>
                                <w:t>Committees of the Board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8">
                              <w:r>
                                <w:rPr>
                                  <w:rStyle w:val="InternetLink"/>
                                  <w:rFonts w:ascii="ARIAL" w:hAnsi="ARIAL"/>
                                  <w:sz w:val="18"/>
                                </w:rPr>
                                <w:t>Audit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21</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29">
                              <w:r>
                                <w:rPr>
                                  <w:rStyle w:val="InternetLink"/>
                                  <w:rFonts w:ascii="ARIAL" w:hAnsi="ARIAL"/>
                                  <w:sz w:val="18"/>
                                </w:rPr>
                                <w:t>Management Development and Compensation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22</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30">
                              <w:r>
                                <w:rPr>
                                  <w:rStyle w:val="InternetLink"/>
                                  <w:rFonts w:ascii="ARIAL" w:hAnsi="ARIAL"/>
                                  <w:sz w:val="18"/>
                                </w:rPr>
                                <w:t>Nominating, Corporate Governance and Compliance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r>
                        <w:trPr/>
                        <w:tc>
                          <w:tcPr>
                            <w:tcW w:w="8705"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8705" w:type="dxa"/>
                            <w:tcBorders/>
                            <w:vAlign w:val="center"/>
                          </w:tcPr>
                          <w:p>
                            <w:pPr>
                              <w:pStyle w:val="TableContents"/>
                              <w:bidi w:val="0"/>
                              <w:spacing w:before="0" w:after="0"/>
                              <w:jc w:val="left"/>
                              <w:rPr/>
                            </w:pPr>
                            <w:hyperlink w:anchor="toc814840_30a">
                              <w:r>
                                <w:rPr>
                                  <w:rStyle w:val="InternetLink"/>
                                  <w:rFonts w:ascii="ARIAL" w:hAnsi="ARIAL"/>
                                  <w:sz w:val="18"/>
                                </w:rPr>
                                <w:t>Cybersecurity &amp; the Audit Committee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23</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32">
                <wp:simplePos x="0" y="0"/>
                <wp:positionH relativeFrom="column">
                  <wp:align>left</wp:align>
                </wp:positionH>
                <wp:positionV relativeFrom="line">
                  <wp:posOffset>635</wp:posOffset>
                </wp:positionV>
                <wp:extent cx="3175000" cy="9972040"/>
                <wp:effectExtent l="0" t="0" r="0" b="0"/>
                <wp:wrapSquare wrapText="right"/>
                <wp:docPr id="7" name="Frame4"/>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31">
                                    <w:r>
                                      <w:rPr>
                                        <w:rStyle w:val="InternetLink"/>
                                      </w:rPr>
                                      <w:t>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32">
                                    <w:r>
                                      <w:rPr>
                                        <w:rStyle w:val="InternetLink"/>
                                        <w:rFonts w:ascii="ARIAL" w:hAnsi="ARIAL"/>
                                        <w:sz w:val="18"/>
                                      </w:rPr>
                                      <w:t>Compensation Discussion &amp; Analysis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33">
                                    <w:r>
                                      <w:rPr>
                                        <w:rStyle w:val="InternetLink"/>
                                        <w:rFonts w:ascii="ARIAL" w:hAnsi="ARIAL"/>
                                        <w:sz w:val="18"/>
                                      </w:rPr>
                                      <w:t>Summary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34">
                                    <w:r>
                                      <w:rPr>
                                        <w:rStyle w:val="InternetLink"/>
                                        <w:rFonts w:ascii="ARIAL" w:hAnsi="ARIAL"/>
                                        <w:sz w:val="18"/>
                                      </w:rPr>
                                      <w:t>Grants of Plan-Based Awards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36">
                                    <w:r>
                                      <w:rPr>
                                        <w:rStyle w:val="InternetLink"/>
                                        <w:rFonts w:ascii="ARIAL" w:hAnsi="ARIAL"/>
                                        <w:sz w:val="18"/>
                                      </w:rPr>
                                      <w:t>Equity Incentive Awards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37">
                                    <w:r>
                                      <w:rPr>
                                        <w:rStyle w:val="InternetLink"/>
                                        <w:rFonts w:ascii="ARIAL" w:hAnsi="ARIAL"/>
                                        <w:sz w:val="18"/>
                                      </w:rPr>
                                      <w:t>Outstanding Equity Awards at Fiscal Year-End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38">
                                    <w:r>
                                      <w:rPr>
                                        <w:rStyle w:val="InternetLink"/>
                                        <w:rFonts w:ascii="ARIAL" w:hAnsi="ARIAL"/>
                                        <w:sz w:val="18"/>
                                      </w:rPr>
                                      <w:t>Option Exercises and Stock Vested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40">
                                    <w:r>
                                      <w:rPr>
                                        <w:rStyle w:val="InternetLink"/>
                                        <w:rFonts w:ascii="ARIAL" w:hAnsi="ARIAL"/>
                                        <w:sz w:val="18"/>
                                      </w:rPr>
                                      <w:t>Nonqualified Deferred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41">
                                    <w:r>
                                      <w:rPr>
                                        <w:rStyle w:val="InternetLink"/>
                                        <w:rFonts w:ascii="ARIAL" w:hAnsi="ARIAL"/>
                                        <w:sz w:val="18"/>
                                      </w:rPr>
                                      <w:t>Potential Payments Upon Termination or Change in Control</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43">
                                    <w:r>
                                      <w:rPr>
                                        <w:rStyle w:val="InternetLink"/>
                                        <w:rFonts w:ascii="ARIAL" w:hAnsi="ARIAL"/>
                                        <w:sz w:val="18"/>
                                      </w:rPr>
                                      <w:t>Pay versus Performance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44">
                                    <w:r>
                                      <w:rPr>
                                        <w:rStyle w:val="InternetLink"/>
                                      </w:rPr>
                                      <w:t xml:space="preserve">Proposal 3: Advisory Vote on the Compensation of Our Named Executive Officers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45">
                                    <w:r>
                                      <w:rPr>
                                        <w:rStyle w:val="InternetLink"/>
                                        <w:rFonts w:ascii="ARIAL" w:hAnsi="ARIAL"/>
                                        <w:sz w:val="18"/>
                                      </w:rPr>
                                      <w:t>Vote Required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46">
                                    <w:r>
                                      <w:rPr>
                                        <w:rStyle w:val="InternetLink"/>
                                        <w:rFonts w:ascii="ARIAL" w:hAnsi="ARIAL"/>
                                        <w:sz w:val="18"/>
                                      </w:rPr>
                                      <w:t>Recommendation of the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47">
                                    <w:r>
                                      <w:rPr>
                                        <w:rStyle w:val="InternetLink"/>
                                      </w:rPr>
                                      <w:t>Proposal 4: Approval of the Frequency of Future Advisory Votes on Named Executive Officers’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48">
                                    <w:r>
                                      <w:rPr>
                                        <w:rStyle w:val="InternetLink"/>
                                        <w:rFonts w:ascii="ARIAL" w:hAnsi="ARIAL"/>
                                        <w:sz w:val="18"/>
                                      </w:rPr>
                                      <w:t>Vote Required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49">
                                    <w:r>
                                      <w:rPr>
                                        <w:rStyle w:val="InternetLink"/>
                                        <w:rFonts w:ascii="ARIAL" w:hAnsi="ARIAL"/>
                                        <w:sz w:val="18"/>
                                      </w:rPr>
                                      <w:t>Recommendation of the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0">
                                    <w:r>
                                      <w:rPr>
                                        <w:rStyle w:val="InternetLink"/>
                                      </w:rPr>
                                      <w:t>Director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51">
                                    <w:r>
                                      <w:rPr>
                                        <w:rStyle w:val="InternetLink"/>
                                        <w:rFonts w:ascii="ARIAL" w:hAnsi="ARIAL"/>
                                        <w:sz w:val="18"/>
                                      </w:rPr>
                                      <w:t>2023 Director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2">
                                    <w:r>
                                      <w:rPr>
                                        <w:rStyle w:val="InternetLink"/>
                                      </w:rPr>
                                      <w:t>Equity Compensation Plan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3">
                                    <w:r>
                                      <w:rPr>
                                        <w:rStyle w:val="InternetLink"/>
                                      </w:rPr>
                                      <w:t>Security Ownership of Certain Beneficial Owners and Management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4">
                                    <w:r>
                                      <w:rPr>
                                        <w:rStyle w:val="InternetLink"/>
                                      </w:rPr>
                                      <w:t>Certain Relationships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5">
                                    <w:r>
                                      <w:rPr>
                                        <w:rStyle w:val="InternetLink"/>
                                      </w:rPr>
                                      <w:t>Delinquent Section 16(a) Reports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6">
                                    <w:r>
                                      <w:rPr>
                                        <w:rStyle w:val="InternetLink"/>
                                      </w:rPr>
                                      <w:t>Compensation Committee Interlocks and Insider Participation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7">
                                    <w:r>
                                      <w:rPr>
                                        <w:rStyle w:val="InternetLink"/>
                                      </w:rPr>
                                      <w:t>Stockholders’ Proposals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8">
                                    <w:r>
                                      <w:rPr>
                                        <w:rStyle w:val="InternetLink"/>
                                      </w:rPr>
                                      <w:t>Other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9">
                                    <w:r>
                                      <w:rPr>
                                        <w:rStyle w:val="InternetLink"/>
                                      </w:rPr>
                                      <w:t>Solicitation of Proxies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60">
                                    <w:r>
                                      <w:rPr>
                                        <w:rStyle w:val="InternetLink"/>
                                      </w:rPr>
                                      <w:t>Fortrea’s Annual Report on Form 10-K</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61">
                                    <w:r>
                                      <w:rPr>
                                        <w:rStyle w:val="InternetLink"/>
                                      </w:rPr>
                                      <w:t>Appendix A - Supplemental Non-GAAP Financial Information Used in Compensation Performance Metrics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750"/>
                        <w:gridCol w:w="60"/>
                        <w:gridCol w:w="60"/>
                        <w:gridCol w:w="260"/>
                        <w:gridCol w:w="7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31">
                              <w:r>
                                <w:rPr>
                                  <w:rStyle w:val="InternetLink"/>
                                </w:rPr>
                                <w:t>Executive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32">
                              <w:r>
                                <w:rPr>
                                  <w:rStyle w:val="InternetLink"/>
                                  <w:rFonts w:ascii="ARIAL" w:hAnsi="ARIAL"/>
                                  <w:sz w:val="18"/>
                                </w:rPr>
                                <w:t>Compensation Discussion &amp; Analysis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25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33">
                              <w:r>
                                <w:rPr>
                                  <w:rStyle w:val="InternetLink"/>
                                  <w:rFonts w:ascii="ARIAL" w:hAnsi="ARIAL"/>
                                  <w:sz w:val="18"/>
                                </w:rPr>
                                <w:t>Summary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34">
                              <w:r>
                                <w:rPr>
                                  <w:rStyle w:val="InternetLink"/>
                                  <w:rFonts w:ascii="ARIAL" w:hAnsi="ARIAL"/>
                                  <w:sz w:val="18"/>
                                </w:rPr>
                                <w:t>Grants of Plan-Based Awards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36">
                              <w:r>
                                <w:rPr>
                                  <w:rStyle w:val="InternetLink"/>
                                  <w:rFonts w:ascii="ARIAL" w:hAnsi="ARIAL"/>
                                  <w:sz w:val="18"/>
                                </w:rPr>
                                <w:t>Equity Incentive Awards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37">
                              <w:r>
                                <w:rPr>
                                  <w:rStyle w:val="InternetLink"/>
                                  <w:rFonts w:ascii="ARIAL" w:hAnsi="ARIAL"/>
                                  <w:sz w:val="18"/>
                                </w:rPr>
                                <w:t>Outstanding Equity Awards at Fiscal Year-End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38">
                              <w:r>
                                <w:rPr>
                                  <w:rStyle w:val="InternetLink"/>
                                  <w:rFonts w:ascii="ARIAL" w:hAnsi="ARIAL"/>
                                  <w:sz w:val="18"/>
                                </w:rPr>
                                <w:t>Option Exercises and Stock Vested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40">
                              <w:r>
                                <w:rPr>
                                  <w:rStyle w:val="InternetLink"/>
                                  <w:rFonts w:ascii="ARIAL" w:hAnsi="ARIAL"/>
                                  <w:sz w:val="18"/>
                                </w:rPr>
                                <w:t>Nonqualified Deferred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41">
                              <w:r>
                                <w:rPr>
                                  <w:rStyle w:val="InternetLink"/>
                                  <w:rFonts w:ascii="ARIAL" w:hAnsi="ARIAL"/>
                                  <w:sz w:val="18"/>
                                </w:rPr>
                                <w:t>Potential Payments Upon Termination or Change in Control</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43</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43">
                              <w:r>
                                <w:rPr>
                                  <w:rStyle w:val="InternetLink"/>
                                  <w:rFonts w:ascii="ARIAL" w:hAnsi="ARIAL"/>
                                  <w:sz w:val="18"/>
                                </w:rPr>
                                <w:t>Pay versus Performance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44">
                              <w:r>
                                <w:rPr>
                                  <w:rStyle w:val="InternetLink"/>
                                </w:rPr>
                                <w:t xml:space="preserve">Proposal 3: Advisory Vote on the Compensation of Our Named Executive Officers </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45">
                              <w:r>
                                <w:rPr>
                                  <w:rStyle w:val="InternetLink"/>
                                  <w:rFonts w:ascii="ARIAL" w:hAnsi="ARIAL"/>
                                  <w:sz w:val="18"/>
                                </w:rPr>
                                <w:t>Vote Required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46">
                              <w:r>
                                <w:rPr>
                                  <w:rStyle w:val="InternetLink"/>
                                  <w:rFonts w:ascii="ARIAL" w:hAnsi="ARIAL"/>
                                  <w:sz w:val="18"/>
                                </w:rPr>
                                <w:t>Recommendation of the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48</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47">
                              <w:r>
                                <w:rPr>
                                  <w:rStyle w:val="InternetLink"/>
                                </w:rPr>
                                <w:t>Proposal 4: Approval of the Frequency of Future Advisory Votes on Named Executive Officers’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48">
                              <w:r>
                                <w:rPr>
                                  <w:rStyle w:val="InternetLink"/>
                                  <w:rFonts w:ascii="ARIAL" w:hAnsi="ARIAL"/>
                                  <w:sz w:val="18"/>
                                </w:rPr>
                                <w:t>Vote Required</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49">
                              <w:r>
                                <w:rPr>
                                  <w:rStyle w:val="InternetLink"/>
                                  <w:rFonts w:ascii="ARIAL" w:hAnsi="ARIAL"/>
                                  <w:sz w:val="18"/>
                                </w:rPr>
                                <w:t>Recommendation of the Board of Directors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49</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0">
                              <w:r>
                                <w:rPr>
                                  <w:rStyle w:val="InternetLink"/>
                                </w:rPr>
                                <w:t>Director Compensation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oc814840_51">
                              <w:r>
                                <w:rPr>
                                  <w:rStyle w:val="InternetLink"/>
                                  <w:rFonts w:ascii="ARIAL" w:hAnsi="ARIAL"/>
                                  <w:sz w:val="18"/>
                                </w:rPr>
                                <w:t>2023 Director Compensation Table</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2">
                              <w:r>
                                <w:rPr>
                                  <w:rStyle w:val="InternetLink"/>
                                </w:rPr>
                                <w:t>Equity Compensation Plan Information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3">
                              <w:r>
                                <w:rPr>
                                  <w:rStyle w:val="InternetLink"/>
                                </w:rPr>
                                <w:t>Security Ownership of Certain Beneficial Owners and Management</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52</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4">
                              <w:r>
                                <w:rPr>
                                  <w:rStyle w:val="InternetLink"/>
                                </w:rPr>
                                <w:t>Certain Relationships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5">
                              <w:r>
                                <w:rPr>
                                  <w:rStyle w:val="InternetLink"/>
                                </w:rPr>
                                <w:t>Delinquent Section 16(a) Reports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6">
                              <w:r>
                                <w:rPr>
                                  <w:rStyle w:val="InternetLink"/>
                                </w:rPr>
                                <w:t>Compensation Committee Interlocks and Insider Participation</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7">
                              <w:r>
                                <w:rPr>
                                  <w:rStyle w:val="InternetLink"/>
                                </w:rPr>
                                <w:t>Stockholders’ Proposals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54</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8">
                              <w:r>
                                <w:rPr>
                                  <w:rStyle w:val="InternetLink"/>
                                </w:rPr>
                                <w:t>Other Matters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59">
                              <w:r>
                                <w:rPr>
                                  <w:rStyle w:val="InternetLink"/>
                                </w:rPr>
                                <w:t>Solicitation of Proxies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60">
                              <w:r>
                                <w:rPr>
                                  <w:rStyle w:val="InternetLink"/>
                                </w:rPr>
                                <w:t>Fortrea’s Annual Report on Form 10-K</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56</w:t>
                            </w:r>
                          </w:p>
                        </w:tc>
                        <w:tc>
                          <w:tcPr>
                            <w:tcW w:w="75" w:type="dxa"/>
                            <w:tcBorders/>
                            <w:vAlign w:val="center"/>
                          </w:tcPr>
                          <w:p>
                            <w:pPr>
                              <w:pStyle w:val="TableContents"/>
                              <w:bidi w:val="0"/>
                              <w:spacing w:before="0" w:after="283"/>
                              <w:jc w:val="left"/>
                              <w:rPr/>
                            </w:pPr>
                            <w:r>
                              <w:rPr/>
                              <w:t> </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4"/>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283"/>
                              <w:jc w:val="left"/>
                              <w:rPr/>
                            </w:pPr>
                            <w:hyperlink w:anchor="toc814840_61">
                              <w:r>
                                <w:rPr>
                                  <w:rStyle w:val="InternetLink"/>
                                </w:rPr>
                                <w:t>Appendix A - Supplemental Non-GAAP Financial Information Used in Compensation Performance Metrics</w:t>
                              </w:r>
                            </w:hyperlink>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HorizontalLine"/>
        <w:bidi w:val="0"/>
        <w:jc w:val="left"/>
        <w:rPr/>
      </w:pPr>
      <w:r>
        <w:rPr/>
      </w:r>
    </w:p>
    <w:p>
      <w:pPr>
        <w:pStyle w:val="TextBody"/>
        <w:bidi w:val="0"/>
        <w:spacing w:before="0" w:after="0"/>
        <w:jc w:val="left"/>
        <w:rPr/>
      </w:pPr>
      <w:r>
        <w:rPr/>
        <w:t> </w:t>
      </w:r>
    </w:p>
    <w:p>
      <w:pPr>
        <w:pStyle w:val="TextBody"/>
        <w:bidi w:val="0"/>
        <w:spacing w:before="0" w:after="0"/>
        <w:jc w:val="center"/>
        <w:rPr/>
      </w:pPr>
      <w:r>
        <w:rPr/>
        <w:drawing>
          <wp:inline distT="0" distB="0" distL="0" distR="0">
            <wp:extent cx="158115" cy="3619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5"/>
                    <a:stretch>
                      <a:fillRect/>
                    </a:stretch>
                  </pic:blipFill>
                  <pic:spPr bwMode="auto">
                    <a:xfrm>
                      <a:off x="0" y="0"/>
                      <a:ext cx="158115" cy="36195"/>
                    </a:xfrm>
                    <a:prstGeom prst="rect">
                      <a:avLst/>
                    </a:prstGeom>
                  </pic:spPr>
                </pic:pic>
              </a:graphicData>
            </a:graphic>
          </wp:inline>
        </w:drawing>
      </w:r>
      <w:r>
        <w:rPr/>
        <w:t xml:space="preserve"> </w:t>
      </w:r>
    </w:p>
    <w:p>
      <w:pPr>
        <w:pStyle w:val="TextBody"/>
        <w:bidi w:val="0"/>
        <w:spacing w:before="160" w:after="0"/>
        <w:jc w:val="center"/>
        <w:rPr>
          <w:rFonts w:ascii="Times New Roman" w:hAnsi="Times New Roman"/>
          <w:sz w:val="40"/>
        </w:rPr>
      </w:pPr>
      <w:bookmarkStart w:id="3" w:name="toc814840_1"/>
      <w:bookmarkEnd w:id="3"/>
      <w:r>
        <w:rPr>
          <w:rFonts w:ascii="Times New Roman" w:hAnsi="Times New Roman"/>
          <w:sz w:val="40"/>
        </w:rPr>
        <w:t xml:space="preserve">Notice of Annual Meeting of Stockholders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20">
                <wp:simplePos x="0" y="0"/>
                <wp:positionH relativeFrom="column">
                  <wp:align>left</wp:align>
                </wp:positionH>
                <wp:positionV relativeFrom="line">
                  <wp:posOffset>635</wp:posOffset>
                </wp:positionV>
                <wp:extent cx="3175000" cy="6936105"/>
                <wp:effectExtent l="0" t="0" r="0" b="0"/>
                <wp:wrapSquare wrapText="right"/>
                <wp:docPr id="9" name="Frame6"/>
                <a:graphic xmlns:a="http://schemas.openxmlformats.org/drawingml/2006/main">
                  <a:graphicData uri="http://schemas.microsoft.com/office/word/2010/wordprocessingShape">
                    <wps:wsp>
                      <wps:cNvSpPr txBox="1"/>
                      <wps:spPr>
                        <a:xfrm>
                          <a:off x="0" y="0"/>
                          <a:ext cx="3175000" cy="693610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330"/>
                              <w:gridCol w:w="60"/>
                              <w:gridCol w:w="9815"/>
                            </w:tblGrid>
                            <w:tr>
                              <w:trPr/>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15" w:type="dxa"/>
                                  <w:tcBorders/>
                                  <w:vAlign w:val="center"/>
                                </w:tcPr>
                                <w:p>
                                  <w:pPr>
                                    <w:pStyle w:val="TableContents"/>
                                    <w:bidi w:val="0"/>
                                    <w:spacing w:before="0" w:after="283"/>
                                    <w:jc w:val="left"/>
                                    <w:rPr>
                                      <w:sz w:val="4"/>
                                      <w:szCs w:val="4"/>
                                    </w:rPr>
                                  </w:pPr>
                                  <w:r>
                                    <w:rPr>
                                      <w:sz w:val="4"/>
                                      <w:szCs w:val="4"/>
                                    </w:rPr>
                                  </w:r>
                                </w:p>
                              </w:tc>
                            </w:tr>
                            <w:tr>
                              <w:trPr/>
                              <w:tc>
                                <w:tcPr>
                                  <w:tcW w:w="330" w:type="dxa"/>
                                  <w:tcBorders/>
                                  <w:vAlign w:val="center"/>
                                </w:tcPr>
                                <w:p>
                                  <w:pPr>
                                    <w:pStyle w:val="TableContents"/>
                                    <w:bidi w:val="0"/>
                                    <w:spacing w:before="0" w:after="283"/>
                                    <w:jc w:val="left"/>
                                    <w:rPr>
                                      <w:color w:val="0BC11C"/>
                                      <w:sz w:val="48"/>
                                    </w:rPr>
                                  </w:pPr>
                                  <w:r>
                                    <w:rPr>
                                      <w:color w:val="0BC11C"/>
                                      <w:sz w:val="48"/>
                                    </w:rPr>
                                    <w:t>1.</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283"/>
                                    <w:jc w:val="left"/>
                                    <w:rPr/>
                                  </w:pPr>
                                  <w:r>
                                    <w:rPr/>
                                    <w:t>To elect Edward Pesicka and David Smith as Class I Directors to serve until the 2027 Annual Meeting of Stockholders, and until their respective successors shall have been duly elected and qualified;</w:t>
                                  </w:r>
                                </w:p>
                              </w:tc>
                            </w:tr>
                            <w:tr>
                              <w:trPr/>
                              <w:tc>
                                <w:tcPr>
                                  <w:tcW w:w="330" w:type="dxa"/>
                                  <w:tcBorders/>
                                  <w:vAlign w:val="center"/>
                                </w:tcPr>
                                <w:p>
                                  <w:pPr>
                                    <w:pStyle w:val="TableContents"/>
                                    <w:bidi w:val="0"/>
                                    <w:spacing w:before="0" w:after="283"/>
                                    <w:jc w:val="left"/>
                                    <w:rPr>
                                      <w:sz w:val="4"/>
                                      <w:szCs w:val="4"/>
                                    </w:rPr>
                                  </w:pPr>
                                  <w:r>
                                    <w:rPr>
                                      <w:sz w:val="4"/>
                                      <w:szCs w:val="4"/>
                                    </w:rPr>
                                  </w:r>
                                </w:p>
                              </w:tc>
                              <w:tc>
                                <w:tcPr>
                                  <w:tcW w:w="9875" w:type="dxa"/>
                                  <w:gridSpan w:val="2"/>
                                  <w:tcBorders/>
                                  <w:vAlign w:val="center"/>
                                </w:tcPr>
                                <w:p>
                                  <w:pPr>
                                    <w:pStyle w:val="TableContents"/>
                                    <w:bidi w:val="0"/>
                                    <w:spacing w:before="0" w:after="283"/>
                                    <w:jc w:val="left"/>
                                    <w:rPr>
                                      <w:sz w:val="4"/>
                                      <w:szCs w:val="4"/>
                                    </w:rPr>
                                  </w:pPr>
                                  <w:r>
                                    <w:rPr>
                                      <w:sz w:val="4"/>
                                      <w:szCs w:val="4"/>
                                    </w:rPr>
                                  </w:r>
                                </w:p>
                              </w:tc>
                            </w:tr>
                            <w:tr>
                              <w:trPr/>
                              <w:tc>
                                <w:tcPr>
                                  <w:tcW w:w="330" w:type="dxa"/>
                                  <w:tcBorders/>
                                  <w:vAlign w:val="center"/>
                                </w:tcPr>
                                <w:p>
                                  <w:pPr>
                                    <w:pStyle w:val="TableContents"/>
                                    <w:bidi w:val="0"/>
                                    <w:spacing w:before="0" w:after="283"/>
                                    <w:jc w:val="left"/>
                                    <w:rPr>
                                      <w:color w:val="0BC11C"/>
                                      <w:sz w:val="48"/>
                                    </w:rPr>
                                  </w:pPr>
                                  <w:r>
                                    <w:rPr>
                                      <w:color w:val="0BC11C"/>
                                      <w:sz w:val="48"/>
                                    </w:rPr>
                                    <w:t>2.</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283"/>
                                    <w:jc w:val="left"/>
                                    <w:rPr/>
                                  </w:pPr>
                                  <w:r>
                                    <w:rPr/>
                                    <w:t>To ratify the appointment of Deloitte &amp; Touche LLP as our independent registered public accounting firm for the fiscal year ending December 31, 2024;</w:t>
                                  </w:r>
                                </w:p>
                              </w:tc>
                            </w:tr>
                            <w:tr>
                              <w:trPr/>
                              <w:tc>
                                <w:tcPr>
                                  <w:tcW w:w="330" w:type="dxa"/>
                                  <w:tcBorders/>
                                  <w:vAlign w:val="center"/>
                                </w:tcPr>
                                <w:p>
                                  <w:pPr>
                                    <w:pStyle w:val="TableContents"/>
                                    <w:bidi w:val="0"/>
                                    <w:spacing w:before="0" w:after="283"/>
                                    <w:jc w:val="left"/>
                                    <w:rPr>
                                      <w:sz w:val="4"/>
                                      <w:szCs w:val="4"/>
                                    </w:rPr>
                                  </w:pPr>
                                  <w:r>
                                    <w:rPr>
                                      <w:sz w:val="4"/>
                                      <w:szCs w:val="4"/>
                                    </w:rPr>
                                  </w:r>
                                </w:p>
                              </w:tc>
                              <w:tc>
                                <w:tcPr>
                                  <w:tcW w:w="9875" w:type="dxa"/>
                                  <w:gridSpan w:val="2"/>
                                  <w:tcBorders/>
                                  <w:vAlign w:val="center"/>
                                </w:tcPr>
                                <w:p>
                                  <w:pPr>
                                    <w:pStyle w:val="TableContents"/>
                                    <w:bidi w:val="0"/>
                                    <w:spacing w:before="0" w:after="283"/>
                                    <w:jc w:val="left"/>
                                    <w:rPr>
                                      <w:sz w:val="4"/>
                                      <w:szCs w:val="4"/>
                                    </w:rPr>
                                  </w:pPr>
                                  <w:r>
                                    <w:rPr>
                                      <w:sz w:val="4"/>
                                      <w:szCs w:val="4"/>
                                    </w:rPr>
                                  </w:r>
                                </w:p>
                              </w:tc>
                            </w:tr>
                            <w:tr>
                              <w:trPr/>
                              <w:tc>
                                <w:tcPr>
                                  <w:tcW w:w="330" w:type="dxa"/>
                                  <w:tcBorders/>
                                  <w:vAlign w:val="center"/>
                                </w:tcPr>
                                <w:p>
                                  <w:pPr>
                                    <w:pStyle w:val="TableContents"/>
                                    <w:bidi w:val="0"/>
                                    <w:spacing w:before="0" w:after="283"/>
                                    <w:jc w:val="left"/>
                                    <w:rPr>
                                      <w:color w:val="0BC11C"/>
                                      <w:sz w:val="48"/>
                                    </w:rPr>
                                  </w:pPr>
                                  <w:r>
                                    <w:rPr>
                                      <w:color w:val="0BC11C"/>
                                      <w:sz w:val="48"/>
                                    </w:rPr>
                                    <w:t>3.</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283"/>
                                    <w:jc w:val="left"/>
                                    <w:rPr/>
                                  </w:pPr>
                                  <w:r>
                                    <w:rPr/>
                                    <w:t>To conduct an advisory vote to approve compensation for our named executive officers (“Say-on-Pay”);</w:t>
                                  </w:r>
                                </w:p>
                              </w:tc>
                            </w:tr>
                            <w:tr>
                              <w:trPr/>
                              <w:tc>
                                <w:tcPr>
                                  <w:tcW w:w="330" w:type="dxa"/>
                                  <w:tcBorders/>
                                  <w:vAlign w:val="center"/>
                                </w:tcPr>
                                <w:p>
                                  <w:pPr>
                                    <w:pStyle w:val="TableContents"/>
                                    <w:bidi w:val="0"/>
                                    <w:spacing w:before="0" w:after="283"/>
                                    <w:jc w:val="left"/>
                                    <w:rPr>
                                      <w:sz w:val="4"/>
                                      <w:szCs w:val="4"/>
                                    </w:rPr>
                                  </w:pPr>
                                  <w:r>
                                    <w:rPr>
                                      <w:sz w:val="4"/>
                                      <w:szCs w:val="4"/>
                                    </w:rPr>
                                  </w:r>
                                </w:p>
                              </w:tc>
                              <w:tc>
                                <w:tcPr>
                                  <w:tcW w:w="9875" w:type="dxa"/>
                                  <w:gridSpan w:val="2"/>
                                  <w:tcBorders/>
                                  <w:vAlign w:val="center"/>
                                </w:tcPr>
                                <w:p>
                                  <w:pPr>
                                    <w:pStyle w:val="TableContents"/>
                                    <w:bidi w:val="0"/>
                                    <w:spacing w:before="0" w:after="283"/>
                                    <w:jc w:val="left"/>
                                    <w:rPr>
                                      <w:sz w:val="4"/>
                                      <w:szCs w:val="4"/>
                                    </w:rPr>
                                  </w:pPr>
                                  <w:r>
                                    <w:rPr>
                                      <w:sz w:val="4"/>
                                      <w:szCs w:val="4"/>
                                    </w:rPr>
                                  </w:r>
                                </w:p>
                              </w:tc>
                            </w:tr>
                            <w:tr>
                              <w:trPr/>
                              <w:tc>
                                <w:tcPr>
                                  <w:tcW w:w="330" w:type="dxa"/>
                                  <w:tcBorders/>
                                  <w:vAlign w:val="center"/>
                                </w:tcPr>
                                <w:p>
                                  <w:pPr>
                                    <w:pStyle w:val="TableContents"/>
                                    <w:bidi w:val="0"/>
                                    <w:spacing w:before="0" w:after="283"/>
                                    <w:jc w:val="left"/>
                                    <w:rPr>
                                      <w:color w:val="0BC11C"/>
                                      <w:sz w:val="48"/>
                                    </w:rPr>
                                  </w:pPr>
                                  <w:r>
                                    <w:rPr>
                                      <w:color w:val="0BC11C"/>
                                      <w:sz w:val="48"/>
                                    </w:rPr>
                                    <w:t>4.</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283"/>
                                    <w:jc w:val="left"/>
                                    <w:rPr/>
                                  </w:pPr>
                                  <w:r>
                                    <w:rPr/>
                                    <w:t>To conduct an advisory vote on the frequency of future advisory votes on executive compensation (“Say-on-Frequency”); and</w:t>
                                  </w:r>
                                </w:p>
                              </w:tc>
                            </w:tr>
                            <w:tr>
                              <w:trPr/>
                              <w:tc>
                                <w:tcPr>
                                  <w:tcW w:w="330" w:type="dxa"/>
                                  <w:tcBorders/>
                                  <w:vAlign w:val="center"/>
                                </w:tcPr>
                                <w:p>
                                  <w:pPr>
                                    <w:pStyle w:val="TableContents"/>
                                    <w:bidi w:val="0"/>
                                    <w:spacing w:before="0" w:after="283"/>
                                    <w:jc w:val="left"/>
                                    <w:rPr>
                                      <w:sz w:val="4"/>
                                      <w:szCs w:val="4"/>
                                    </w:rPr>
                                  </w:pPr>
                                  <w:r>
                                    <w:rPr>
                                      <w:sz w:val="4"/>
                                      <w:szCs w:val="4"/>
                                    </w:rPr>
                                  </w:r>
                                </w:p>
                              </w:tc>
                              <w:tc>
                                <w:tcPr>
                                  <w:tcW w:w="9875" w:type="dxa"/>
                                  <w:gridSpan w:val="2"/>
                                  <w:tcBorders/>
                                  <w:vAlign w:val="center"/>
                                </w:tcPr>
                                <w:p>
                                  <w:pPr>
                                    <w:pStyle w:val="TableContents"/>
                                    <w:bidi w:val="0"/>
                                    <w:spacing w:before="0" w:after="283"/>
                                    <w:jc w:val="left"/>
                                    <w:rPr>
                                      <w:sz w:val="4"/>
                                      <w:szCs w:val="4"/>
                                    </w:rPr>
                                  </w:pPr>
                                  <w:r>
                                    <w:rPr>
                                      <w:sz w:val="4"/>
                                      <w:szCs w:val="4"/>
                                    </w:rPr>
                                  </w:r>
                                </w:p>
                              </w:tc>
                            </w:tr>
                            <w:tr>
                              <w:trPr/>
                              <w:tc>
                                <w:tcPr>
                                  <w:tcW w:w="330" w:type="dxa"/>
                                  <w:tcBorders/>
                                  <w:vAlign w:val="center"/>
                                </w:tcPr>
                                <w:p>
                                  <w:pPr>
                                    <w:pStyle w:val="TableContents"/>
                                    <w:bidi w:val="0"/>
                                    <w:spacing w:before="0" w:after="283"/>
                                    <w:jc w:val="left"/>
                                    <w:rPr>
                                      <w:color w:val="0BC11C"/>
                                      <w:sz w:val="48"/>
                                    </w:rPr>
                                  </w:pPr>
                                  <w:r>
                                    <w:rPr>
                                      <w:color w:val="0BC11C"/>
                                      <w:sz w:val="48"/>
                                    </w:rPr>
                                    <w:t>5.</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283"/>
                                    <w:jc w:val="left"/>
                                    <w:rPr/>
                                  </w:pPr>
                                  <w:r>
                                    <w:rPr/>
                                    <w:t>To transact such other business as may properly come before the Annual Meeting or any continuation, postponement, or adjournment of the Annual Meeting.</w:t>
                                  </w:r>
                                </w:p>
                              </w:tc>
                            </w:tr>
                          </w:tbl>
                          <w:p>
                            <w:pPr>
                              <w:pStyle w:val="TextBody"/>
                              <w:bidi w:val="0"/>
                              <w:spacing w:before="0" w:after="0"/>
                              <w:jc w:val="left"/>
                              <w:rPr/>
                            </w:pPr>
                            <w:r>
                              <w:rPr/>
                              <w:t> </w:t>
                            </w:r>
                          </w:p>
                          <w:p>
                            <w:pPr>
                              <w:pStyle w:val="TextBody"/>
                              <w:bidi w:val="0"/>
                              <w:spacing w:before="160" w:after="0"/>
                              <w:jc w:val="left"/>
                              <w:rPr>
                                <w:rFonts w:ascii="ARIAL" w:hAnsi="ARIAL"/>
                                <w:sz w:val="18"/>
                              </w:rPr>
                            </w:pPr>
                            <w:r>
                              <w:rPr>
                                <w:rFonts w:ascii="ARIAL" w:hAnsi="ARIAL"/>
                                <w:sz w:val="18"/>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120015" cy="2476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6"/>
                                          <a:stretch>
                                            <a:fillRect/>
                                          </a:stretch>
                                        </pic:blipFill>
                                        <pic:spPr bwMode="auto">
                                          <a:xfrm>
                                            <a:off x="0" y="0"/>
                                            <a:ext cx="120015" cy="24765"/>
                                          </a:xfrm>
                                          <a:prstGeom prst="rect">
                                            <a:avLst/>
                                          </a:prstGeom>
                                        </pic:spPr>
                                      </pic:pic>
                                    </a:graphicData>
                                  </a:graphic>
                                </wp:inline>
                              </w:drawing>
                            </w:r>
                            <w:r>
                              <w:rPr/>
                              <w:t xml:space="preserve"> </w:t>
                            </w:r>
                          </w:p>
                          <w:p>
                            <w:pPr>
                              <w:pStyle w:val="TextBody"/>
                              <w:bidi w:val="0"/>
                              <w:spacing w:before="80" w:after="0"/>
                              <w:jc w:val="left"/>
                              <w:rPr>
                                <w:rFonts w:ascii="ARIAL" w:hAnsi="ARIAL"/>
                                <w:sz w:val="18"/>
                              </w:rPr>
                            </w:pPr>
                            <w:r>
                              <w:rPr>
                                <w:rFonts w:ascii="ARIAL" w:hAnsi="ARIAL"/>
                                <w:sz w:val="18"/>
                              </w:rPr>
                              <w:t xml:space="preserve">Stillman Hanson </w:t>
                            </w:r>
                          </w:p>
                          <w:p>
                            <w:pPr>
                              <w:pStyle w:val="TextBody"/>
                              <w:bidi w:val="0"/>
                              <w:spacing w:before="0" w:after="0"/>
                              <w:jc w:val="left"/>
                              <w:rPr>
                                <w:rFonts w:ascii="ARIAL" w:hAnsi="ARIAL"/>
                                <w:sz w:val="18"/>
                              </w:rPr>
                            </w:pPr>
                            <w:r>
                              <w:rPr>
                                <w:rFonts w:ascii="ARIAL" w:hAnsi="ARIAL"/>
                                <w:sz w:val="18"/>
                              </w:rPr>
                              <w:t xml:space="preserve">General Counsel and Corporate Secretary </w:t>
                            </w:r>
                          </w:p>
                          <w:p>
                            <w:pPr>
                              <w:pStyle w:val="TextBody"/>
                              <w:bidi w:val="0"/>
                              <w:spacing w:before="0" w:after="0"/>
                              <w:jc w:val="left"/>
                              <w:rPr>
                                <w:rFonts w:ascii="ARIAL" w:hAnsi="ARIAL"/>
                                <w:sz w:val="18"/>
                              </w:rPr>
                            </w:pPr>
                            <w:r>
                              <w:rPr>
                                <w:rFonts w:ascii="ARIAL" w:hAnsi="ARIAL"/>
                                <w:sz w:val="18"/>
                              </w:rPr>
                              <w:t xml:space="preserve">Durham, North Carolina </w:t>
                            </w:r>
                          </w:p>
                          <w:p>
                            <w:pPr>
                              <w:pStyle w:val="TextBody"/>
                              <w:bidi w:val="0"/>
                              <w:spacing w:before="240" w:after="0"/>
                              <w:jc w:val="left"/>
                              <w:rPr>
                                <w:rFonts w:ascii="ARIAL" w:hAnsi="ARIAL"/>
                                <w:sz w:val="18"/>
                              </w:rPr>
                            </w:pPr>
                            <w:r>
                              <w:rPr>
                                <w:rFonts w:ascii="ARIAL" w:hAnsi="ARIAL"/>
                                <w:sz w:val="18"/>
                              </w:rPr>
                              <w:t xml:space="preserve">March 28, 2024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46.1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330"/>
                        <w:gridCol w:w="60"/>
                        <w:gridCol w:w="9815"/>
                      </w:tblGrid>
                      <w:tr>
                        <w:trPr/>
                        <w:tc>
                          <w:tcPr>
                            <w:tcW w:w="3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15" w:type="dxa"/>
                            <w:tcBorders/>
                            <w:vAlign w:val="center"/>
                          </w:tcPr>
                          <w:p>
                            <w:pPr>
                              <w:pStyle w:val="TableContents"/>
                              <w:bidi w:val="0"/>
                              <w:spacing w:before="0" w:after="283"/>
                              <w:jc w:val="left"/>
                              <w:rPr>
                                <w:sz w:val="4"/>
                                <w:szCs w:val="4"/>
                              </w:rPr>
                            </w:pPr>
                            <w:r>
                              <w:rPr>
                                <w:sz w:val="4"/>
                                <w:szCs w:val="4"/>
                              </w:rPr>
                            </w:r>
                          </w:p>
                        </w:tc>
                      </w:tr>
                      <w:tr>
                        <w:trPr/>
                        <w:tc>
                          <w:tcPr>
                            <w:tcW w:w="330" w:type="dxa"/>
                            <w:tcBorders/>
                            <w:vAlign w:val="center"/>
                          </w:tcPr>
                          <w:p>
                            <w:pPr>
                              <w:pStyle w:val="TableContents"/>
                              <w:bidi w:val="0"/>
                              <w:spacing w:before="0" w:after="283"/>
                              <w:jc w:val="left"/>
                              <w:rPr>
                                <w:color w:val="0BC11C"/>
                                <w:sz w:val="48"/>
                              </w:rPr>
                            </w:pPr>
                            <w:r>
                              <w:rPr>
                                <w:color w:val="0BC11C"/>
                                <w:sz w:val="48"/>
                              </w:rPr>
                              <w:t>1.</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283"/>
                              <w:jc w:val="left"/>
                              <w:rPr/>
                            </w:pPr>
                            <w:r>
                              <w:rPr/>
                              <w:t>To elect Edward Pesicka and David Smith as Class I Directors to serve until the 2027 Annual Meeting of Stockholders, and until their respective successors shall have been duly elected and qualified;</w:t>
                            </w:r>
                          </w:p>
                        </w:tc>
                      </w:tr>
                      <w:tr>
                        <w:trPr/>
                        <w:tc>
                          <w:tcPr>
                            <w:tcW w:w="330" w:type="dxa"/>
                            <w:tcBorders/>
                            <w:vAlign w:val="center"/>
                          </w:tcPr>
                          <w:p>
                            <w:pPr>
                              <w:pStyle w:val="TableContents"/>
                              <w:bidi w:val="0"/>
                              <w:spacing w:before="0" w:after="283"/>
                              <w:jc w:val="left"/>
                              <w:rPr>
                                <w:sz w:val="4"/>
                                <w:szCs w:val="4"/>
                              </w:rPr>
                            </w:pPr>
                            <w:r>
                              <w:rPr>
                                <w:sz w:val="4"/>
                                <w:szCs w:val="4"/>
                              </w:rPr>
                            </w:r>
                          </w:p>
                        </w:tc>
                        <w:tc>
                          <w:tcPr>
                            <w:tcW w:w="9875" w:type="dxa"/>
                            <w:gridSpan w:val="2"/>
                            <w:tcBorders/>
                            <w:vAlign w:val="center"/>
                          </w:tcPr>
                          <w:p>
                            <w:pPr>
                              <w:pStyle w:val="TableContents"/>
                              <w:bidi w:val="0"/>
                              <w:spacing w:before="0" w:after="283"/>
                              <w:jc w:val="left"/>
                              <w:rPr>
                                <w:sz w:val="4"/>
                                <w:szCs w:val="4"/>
                              </w:rPr>
                            </w:pPr>
                            <w:r>
                              <w:rPr>
                                <w:sz w:val="4"/>
                                <w:szCs w:val="4"/>
                              </w:rPr>
                            </w:r>
                          </w:p>
                        </w:tc>
                      </w:tr>
                      <w:tr>
                        <w:trPr/>
                        <w:tc>
                          <w:tcPr>
                            <w:tcW w:w="330" w:type="dxa"/>
                            <w:tcBorders/>
                            <w:vAlign w:val="center"/>
                          </w:tcPr>
                          <w:p>
                            <w:pPr>
                              <w:pStyle w:val="TableContents"/>
                              <w:bidi w:val="0"/>
                              <w:spacing w:before="0" w:after="283"/>
                              <w:jc w:val="left"/>
                              <w:rPr>
                                <w:color w:val="0BC11C"/>
                                <w:sz w:val="48"/>
                              </w:rPr>
                            </w:pPr>
                            <w:r>
                              <w:rPr>
                                <w:color w:val="0BC11C"/>
                                <w:sz w:val="48"/>
                              </w:rPr>
                              <w:t>2.</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283"/>
                              <w:jc w:val="left"/>
                              <w:rPr/>
                            </w:pPr>
                            <w:r>
                              <w:rPr/>
                              <w:t>To ratify the appointment of Deloitte &amp; Touche LLP as our independent registered public accounting firm for the fiscal year ending December 31, 2024;</w:t>
                            </w:r>
                          </w:p>
                        </w:tc>
                      </w:tr>
                      <w:tr>
                        <w:trPr/>
                        <w:tc>
                          <w:tcPr>
                            <w:tcW w:w="330" w:type="dxa"/>
                            <w:tcBorders/>
                            <w:vAlign w:val="center"/>
                          </w:tcPr>
                          <w:p>
                            <w:pPr>
                              <w:pStyle w:val="TableContents"/>
                              <w:bidi w:val="0"/>
                              <w:spacing w:before="0" w:after="283"/>
                              <w:jc w:val="left"/>
                              <w:rPr>
                                <w:sz w:val="4"/>
                                <w:szCs w:val="4"/>
                              </w:rPr>
                            </w:pPr>
                            <w:r>
                              <w:rPr>
                                <w:sz w:val="4"/>
                                <w:szCs w:val="4"/>
                              </w:rPr>
                            </w:r>
                          </w:p>
                        </w:tc>
                        <w:tc>
                          <w:tcPr>
                            <w:tcW w:w="9875" w:type="dxa"/>
                            <w:gridSpan w:val="2"/>
                            <w:tcBorders/>
                            <w:vAlign w:val="center"/>
                          </w:tcPr>
                          <w:p>
                            <w:pPr>
                              <w:pStyle w:val="TableContents"/>
                              <w:bidi w:val="0"/>
                              <w:spacing w:before="0" w:after="283"/>
                              <w:jc w:val="left"/>
                              <w:rPr>
                                <w:sz w:val="4"/>
                                <w:szCs w:val="4"/>
                              </w:rPr>
                            </w:pPr>
                            <w:r>
                              <w:rPr>
                                <w:sz w:val="4"/>
                                <w:szCs w:val="4"/>
                              </w:rPr>
                            </w:r>
                          </w:p>
                        </w:tc>
                      </w:tr>
                      <w:tr>
                        <w:trPr/>
                        <w:tc>
                          <w:tcPr>
                            <w:tcW w:w="330" w:type="dxa"/>
                            <w:tcBorders/>
                            <w:vAlign w:val="center"/>
                          </w:tcPr>
                          <w:p>
                            <w:pPr>
                              <w:pStyle w:val="TableContents"/>
                              <w:bidi w:val="0"/>
                              <w:spacing w:before="0" w:after="283"/>
                              <w:jc w:val="left"/>
                              <w:rPr>
                                <w:color w:val="0BC11C"/>
                                <w:sz w:val="48"/>
                              </w:rPr>
                            </w:pPr>
                            <w:r>
                              <w:rPr>
                                <w:color w:val="0BC11C"/>
                                <w:sz w:val="48"/>
                              </w:rPr>
                              <w:t>3.</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283"/>
                              <w:jc w:val="left"/>
                              <w:rPr/>
                            </w:pPr>
                            <w:r>
                              <w:rPr/>
                              <w:t>To conduct an advisory vote to approve compensation for our named executive officers (“Say-on-Pay”);</w:t>
                            </w:r>
                          </w:p>
                        </w:tc>
                      </w:tr>
                      <w:tr>
                        <w:trPr/>
                        <w:tc>
                          <w:tcPr>
                            <w:tcW w:w="330" w:type="dxa"/>
                            <w:tcBorders/>
                            <w:vAlign w:val="center"/>
                          </w:tcPr>
                          <w:p>
                            <w:pPr>
                              <w:pStyle w:val="TableContents"/>
                              <w:bidi w:val="0"/>
                              <w:spacing w:before="0" w:after="283"/>
                              <w:jc w:val="left"/>
                              <w:rPr>
                                <w:sz w:val="4"/>
                                <w:szCs w:val="4"/>
                              </w:rPr>
                            </w:pPr>
                            <w:r>
                              <w:rPr>
                                <w:sz w:val="4"/>
                                <w:szCs w:val="4"/>
                              </w:rPr>
                            </w:r>
                          </w:p>
                        </w:tc>
                        <w:tc>
                          <w:tcPr>
                            <w:tcW w:w="9875" w:type="dxa"/>
                            <w:gridSpan w:val="2"/>
                            <w:tcBorders/>
                            <w:vAlign w:val="center"/>
                          </w:tcPr>
                          <w:p>
                            <w:pPr>
                              <w:pStyle w:val="TableContents"/>
                              <w:bidi w:val="0"/>
                              <w:spacing w:before="0" w:after="283"/>
                              <w:jc w:val="left"/>
                              <w:rPr>
                                <w:sz w:val="4"/>
                                <w:szCs w:val="4"/>
                              </w:rPr>
                            </w:pPr>
                            <w:r>
                              <w:rPr>
                                <w:sz w:val="4"/>
                                <w:szCs w:val="4"/>
                              </w:rPr>
                            </w:r>
                          </w:p>
                        </w:tc>
                      </w:tr>
                      <w:tr>
                        <w:trPr/>
                        <w:tc>
                          <w:tcPr>
                            <w:tcW w:w="330" w:type="dxa"/>
                            <w:tcBorders/>
                            <w:vAlign w:val="center"/>
                          </w:tcPr>
                          <w:p>
                            <w:pPr>
                              <w:pStyle w:val="TableContents"/>
                              <w:bidi w:val="0"/>
                              <w:spacing w:before="0" w:after="283"/>
                              <w:jc w:val="left"/>
                              <w:rPr>
                                <w:color w:val="0BC11C"/>
                                <w:sz w:val="48"/>
                              </w:rPr>
                            </w:pPr>
                            <w:r>
                              <w:rPr>
                                <w:color w:val="0BC11C"/>
                                <w:sz w:val="48"/>
                              </w:rPr>
                              <w:t>4.</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283"/>
                              <w:jc w:val="left"/>
                              <w:rPr/>
                            </w:pPr>
                            <w:r>
                              <w:rPr/>
                              <w:t>To conduct an advisory vote on the frequency of future advisory votes on executive compensation (“Say-on-Frequency”); and</w:t>
                            </w:r>
                          </w:p>
                        </w:tc>
                      </w:tr>
                      <w:tr>
                        <w:trPr/>
                        <w:tc>
                          <w:tcPr>
                            <w:tcW w:w="330" w:type="dxa"/>
                            <w:tcBorders/>
                            <w:vAlign w:val="center"/>
                          </w:tcPr>
                          <w:p>
                            <w:pPr>
                              <w:pStyle w:val="TableContents"/>
                              <w:bidi w:val="0"/>
                              <w:spacing w:before="0" w:after="283"/>
                              <w:jc w:val="left"/>
                              <w:rPr>
                                <w:sz w:val="4"/>
                                <w:szCs w:val="4"/>
                              </w:rPr>
                            </w:pPr>
                            <w:r>
                              <w:rPr>
                                <w:sz w:val="4"/>
                                <w:szCs w:val="4"/>
                              </w:rPr>
                            </w:r>
                          </w:p>
                        </w:tc>
                        <w:tc>
                          <w:tcPr>
                            <w:tcW w:w="9875" w:type="dxa"/>
                            <w:gridSpan w:val="2"/>
                            <w:tcBorders/>
                            <w:vAlign w:val="center"/>
                          </w:tcPr>
                          <w:p>
                            <w:pPr>
                              <w:pStyle w:val="TableContents"/>
                              <w:bidi w:val="0"/>
                              <w:spacing w:before="0" w:after="283"/>
                              <w:jc w:val="left"/>
                              <w:rPr>
                                <w:sz w:val="4"/>
                                <w:szCs w:val="4"/>
                              </w:rPr>
                            </w:pPr>
                            <w:r>
                              <w:rPr>
                                <w:sz w:val="4"/>
                                <w:szCs w:val="4"/>
                              </w:rPr>
                            </w:r>
                          </w:p>
                        </w:tc>
                      </w:tr>
                      <w:tr>
                        <w:trPr/>
                        <w:tc>
                          <w:tcPr>
                            <w:tcW w:w="330" w:type="dxa"/>
                            <w:tcBorders/>
                            <w:vAlign w:val="center"/>
                          </w:tcPr>
                          <w:p>
                            <w:pPr>
                              <w:pStyle w:val="TableContents"/>
                              <w:bidi w:val="0"/>
                              <w:spacing w:before="0" w:after="283"/>
                              <w:jc w:val="left"/>
                              <w:rPr>
                                <w:color w:val="0BC11C"/>
                                <w:sz w:val="48"/>
                              </w:rPr>
                            </w:pPr>
                            <w:r>
                              <w:rPr>
                                <w:color w:val="0BC11C"/>
                                <w:sz w:val="48"/>
                              </w:rPr>
                              <w:t>5.</w:t>
                            </w:r>
                          </w:p>
                        </w:tc>
                        <w:tc>
                          <w:tcPr>
                            <w:tcW w:w="60" w:type="dxa"/>
                            <w:tcBorders/>
                            <w:vAlign w:val="center"/>
                          </w:tcPr>
                          <w:p>
                            <w:pPr>
                              <w:pStyle w:val="TableContents"/>
                              <w:bidi w:val="0"/>
                              <w:spacing w:before="0" w:after="283"/>
                              <w:jc w:val="left"/>
                              <w:rPr/>
                            </w:pPr>
                            <w:r>
                              <w:rPr/>
                              <w:t> </w:t>
                            </w:r>
                          </w:p>
                        </w:tc>
                        <w:tc>
                          <w:tcPr>
                            <w:tcW w:w="9815" w:type="dxa"/>
                            <w:tcBorders/>
                            <w:vAlign w:val="center"/>
                          </w:tcPr>
                          <w:p>
                            <w:pPr>
                              <w:pStyle w:val="TableContents"/>
                              <w:bidi w:val="0"/>
                              <w:spacing w:before="0" w:after="283"/>
                              <w:jc w:val="left"/>
                              <w:rPr/>
                            </w:pPr>
                            <w:r>
                              <w:rPr/>
                              <w:t>To transact such other business as may properly come before the Annual Meeting or any continuation, postponement, or adjournment of the Annual Meeting.</w:t>
                            </w:r>
                          </w:p>
                        </w:tc>
                      </w:tr>
                    </w:tbl>
                    <w:p>
                      <w:pPr>
                        <w:pStyle w:val="TextBody"/>
                        <w:bidi w:val="0"/>
                        <w:spacing w:before="0" w:after="0"/>
                        <w:jc w:val="left"/>
                        <w:rPr/>
                      </w:pPr>
                      <w:r>
                        <w:rPr/>
                        <w:t> </w:t>
                      </w:r>
                    </w:p>
                    <w:p>
                      <w:pPr>
                        <w:pStyle w:val="TextBody"/>
                        <w:bidi w:val="0"/>
                        <w:spacing w:before="160" w:after="0"/>
                        <w:jc w:val="left"/>
                        <w:rPr>
                          <w:rFonts w:ascii="ARIAL" w:hAnsi="ARIAL"/>
                          <w:sz w:val="18"/>
                        </w:rPr>
                      </w:pPr>
                      <w:r>
                        <w:rPr>
                          <w:rFonts w:ascii="ARIAL" w:hAnsi="ARIAL"/>
                          <w:sz w:val="18"/>
                        </w:rPr>
                        <w:t xml:space="preserve">By Order of the Board of Directors </w:t>
                      </w:r>
                    </w:p>
                    <w:p>
                      <w:pPr>
                        <w:pStyle w:val="TextBody"/>
                        <w:bidi w:val="0"/>
                        <w:spacing w:before="0" w:after="0"/>
                        <w:jc w:val="left"/>
                        <w:rPr/>
                      </w:pPr>
                      <w:r>
                        <w:rPr/>
                        <w:t> </w:t>
                      </w:r>
                    </w:p>
                    <w:p>
                      <w:pPr>
                        <w:pStyle w:val="TextBody"/>
                        <w:bidi w:val="0"/>
                        <w:spacing w:before="0" w:after="0"/>
                        <w:jc w:val="left"/>
                        <w:rPr/>
                      </w:pPr>
                      <w:r>
                        <w:rPr/>
                        <w:drawing>
                          <wp:inline distT="0" distB="0" distL="0" distR="0">
                            <wp:extent cx="120015" cy="2476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7"/>
                                    <a:stretch>
                                      <a:fillRect/>
                                    </a:stretch>
                                  </pic:blipFill>
                                  <pic:spPr bwMode="auto">
                                    <a:xfrm>
                                      <a:off x="0" y="0"/>
                                      <a:ext cx="120015" cy="24765"/>
                                    </a:xfrm>
                                    <a:prstGeom prst="rect">
                                      <a:avLst/>
                                    </a:prstGeom>
                                  </pic:spPr>
                                </pic:pic>
                              </a:graphicData>
                            </a:graphic>
                          </wp:inline>
                        </w:drawing>
                      </w:r>
                      <w:r>
                        <w:rPr/>
                        <w:t xml:space="preserve"> </w:t>
                      </w:r>
                    </w:p>
                    <w:p>
                      <w:pPr>
                        <w:pStyle w:val="TextBody"/>
                        <w:bidi w:val="0"/>
                        <w:spacing w:before="80" w:after="0"/>
                        <w:jc w:val="left"/>
                        <w:rPr>
                          <w:rFonts w:ascii="ARIAL" w:hAnsi="ARIAL"/>
                          <w:sz w:val="18"/>
                        </w:rPr>
                      </w:pPr>
                      <w:r>
                        <w:rPr>
                          <w:rFonts w:ascii="ARIAL" w:hAnsi="ARIAL"/>
                          <w:sz w:val="18"/>
                        </w:rPr>
                        <w:t xml:space="preserve">Stillman Hanson </w:t>
                      </w:r>
                    </w:p>
                    <w:p>
                      <w:pPr>
                        <w:pStyle w:val="TextBody"/>
                        <w:bidi w:val="0"/>
                        <w:spacing w:before="0" w:after="0"/>
                        <w:jc w:val="left"/>
                        <w:rPr>
                          <w:rFonts w:ascii="ARIAL" w:hAnsi="ARIAL"/>
                          <w:sz w:val="18"/>
                        </w:rPr>
                      </w:pPr>
                      <w:r>
                        <w:rPr>
                          <w:rFonts w:ascii="ARIAL" w:hAnsi="ARIAL"/>
                          <w:sz w:val="18"/>
                        </w:rPr>
                        <w:t xml:space="preserve">General Counsel and Corporate Secretary </w:t>
                      </w:r>
                    </w:p>
                    <w:p>
                      <w:pPr>
                        <w:pStyle w:val="TextBody"/>
                        <w:bidi w:val="0"/>
                        <w:spacing w:before="0" w:after="0"/>
                        <w:jc w:val="left"/>
                        <w:rPr>
                          <w:rFonts w:ascii="ARIAL" w:hAnsi="ARIAL"/>
                          <w:sz w:val="18"/>
                        </w:rPr>
                      </w:pPr>
                      <w:r>
                        <w:rPr>
                          <w:rFonts w:ascii="ARIAL" w:hAnsi="ARIAL"/>
                          <w:sz w:val="18"/>
                        </w:rPr>
                        <w:t xml:space="preserve">Durham, North Carolina </w:t>
                      </w:r>
                    </w:p>
                    <w:p>
                      <w:pPr>
                        <w:pStyle w:val="TextBody"/>
                        <w:bidi w:val="0"/>
                        <w:spacing w:before="240" w:after="0"/>
                        <w:jc w:val="left"/>
                        <w:rPr>
                          <w:rFonts w:ascii="ARIAL" w:hAnsi="ARIAL"/>
                          <w:sz w:val="18"/>
                        </w:rPr>
                      </w:pPr>
                      <w:r>
                        <w:rPr>
                          <w:rFonts w:ascii="ARIAL" w:hAnsi="ARIAL"/>
                          <w:sz w:val="18"/>
                        </w:rPr>
                        <w:t xml:space="preserve">March 28, 2024 </w:t>
                      </w:r>
                    </w:p>
                  </w:txbxContent>
                </v:textbox>
                <w10:wrap type="square" side="right"/>
              </v:rect>
            </w:pict>
          </mc:Fallback>
        </mc:AlternateContent>
      </w:r>
      <w:r>
        <mc:AlternateContent>
          <mc:Choice Requires="wps">
            <w:drawing>
              <wp:anchor behindDoc="0" distT="0" distB="0" distL="0" distR="0" simplePos="0" locked="0" layoutInCell="1" allowOverlap="1" relativeHeight="22">
                <wp:simplePos x="0" y="0"/>
                <wp:positionH relativeFrom="column">
                  <wp:align>left</wp:align>
                </wp:positionH>
                <wp:positionV relativeFrom="line">
                  <wp:posOffset>635</wp:posOffset>
                </wp:positionV>
                <wp:extent cx="3110230" cy="5304155"/>
                <wp:effectExtent l="0" t="0" r="0" b="0"/>
                <wp:wrapSquare wrapText="right"/>
                <wp:docPr id="12" name="Frame5"/>
                <a:graphic xmlns:a="http://schemas.openxmlformats.org/drawingml/2006/main">
                  <a:graphicData uri="http://schemas.microsoft.com/office/word/2010/wordprocessingShape">
                    <wps:wsp>
                      <wps:cNvSpPr txBox="1"/>
                      <wps:spPr>
                        <a:xfrm>
                          <a:off x="0" y="0"/>
                          <a:ext cx="3110230" cy="5304155"/>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Annual Meeting of Stockholders (the “Annual Meeting”) of Fortrea Holdings Inc., a Delaware corporation (the “Company” or “Fortrea”), will be held at 7:30 a.m. Eastern Time, on Tuesday, May 14, 2024. The Annual Meeting will be held in person at The Mayton Inn, 301 South Academy Street, Cary, North Carolina 27511.</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3495" cy="23495"/>
                                        <wp:effectExtent l="0" t="0" r="0" b="0"/>
                                        <wp:docPr id="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4" descr=""/>
                                                <pic:cNvPicPr>
                                                  <a:picLocks noChangeAspect="1" noChangeArrowheads="1"/>
                                                </pic:cNvPicPr>
                                              </pic:nvPicPr>
                                              <pic:blipFill>
                                                <a:blip r:embed="rId8"/>
                                                <a:stretch>
                                                  <a:fillRect/>
                                                </a:stretch>
                                              </pic:blipFill>
                                              <pic:spPr bwMode="auto">
                                                <a:xfrm>
                                                  <a:off x="0" y="0"/>
                                                  <a:ext cx="23495" cy="23495"/>
                                                </a:xfrm>
                                                <a:prstGeom prst="rect">
                                                  <a:avLst/>
                                                </a:prstGeom>
                                              </pic:spPr>
                                            </pic:pic>
                                          </a:graphicData>
                                        </a:graphic>
                                      </wp:inline>
                                    </w:drawing>
                                  </w:r>
                                  <w:r>
                                    <w:rPr/>
                                    <w:t xml:space="preserve"> </w:t>
                                  </w:r>
                                </w:p>
                                <w:p>
                                  <w:pPr>
                                    <w:pStyle w:val="TableContents"/>
                                    <w:bidi w:val="0"/>
                                    <w:spacing w:lineRule="atLeast" w:line="142" w:before="0" w:after="0"/>
                                    <w:jc w:val="left"/>
                                    <w:rPr/>
                                  </w:pPr>
                                  <w:r>
                                    <w:rPr/>
                                    <w:t> </w:t>
                                  </w:r>
                                </w:p>
                                <w:p>
                                  <w:pPr>
                                    <w:pStyle w:val="TableContents"/>
                                    <w:bidi w:val="0"/>
                                    <w:spacing w:before="0" w:after="0"/>
                                    <w:jc w:val="left"/>
                                    <w:rPr>
                                      <w:rFonts w:ascii="ARIAL" w:hAnsi="ARIAL"/>
                                      <w:sz w:val="18"/>
                                    </w:rPr>
                                  </w:pPr>
                                  <w:r>
                                    <w:rPr>
                                      <w:rFonts w:ascii="ARIAL" w:hAnsi="ARIAL"/>
                                      <w:sz w:val="18"/>
                                    </w:rPr>
                                    <w:t>Date:</w:t>
                                  </w:r>
                                </w:p>
                                <w:p>
                                  <w:pPr>
                                    <w:pStyle w:val="TableContents"/>
                                    <w:bidi w:val="0"/>
                                    <w:spacing w:before="0" w:after="0"/>
                                    <w:jc w:val="left"/>
                                    <w:rPr>
                                      <w:rFonts w:ascii="ARIAL" w:hAnsi="ARIAL"/>
                                      <w:sz w:val="18"/>
                                    </w:rPr>
                                  </w:pPr>
                                  <w:r>
                                    <w:rPr>
                                      <w:rFonts w:ascii="ARIAL" w:hAnsi="ARIAL"/>
                                      <w:sz w:val="18"/>
                                    </w:rPr>
                                    <w:t>Tuesday, May 14, 2024</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3495" cy="23495"/>
                                        <wp:effectExtent l="0" t="0" r="0" b="0"/>
                                        <wp:docPr id="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descr=""/>
                                                <pic:cNvPicPr>
                                                  <a:picLocks noChangeAspect="1" noChangeArrowheads="1"/>
                                                </pic:cNvPicPr>
                                              </pic:nvPicPr>
                                              <pic:blipFill>
                                                <a:blip r:embed="rId9"/>
                                                <a:stretch>
                                                  <a:fillRect/>
                                                </a:stretch>
                                              </pic:blipFill>
                                              <pic:spPr bwMode="auto">
                                                <a:xfrm>
                                                  <a:off x="0" y="0"/>
                                                  <a:ext cx="23495" cy="23495"/>
                                                </a:xfrm>
                                                <a:prstGeom prst="rect">
                                                  <a:avLst/>
                                                </a:prstGeom>
                                              </pic:spPr>
                                            </pic:pic>
                                          </a:graphicData>
                                        </a:graphic>
                                      </wp:inline>
                                    </w:drawing>
                                  </w:r>
                                  <w:r>
                                    <w:rPr/>
                                    <w:t xml:space="preserve"> </w:t>
                                  </w:r>
                                </w:p>
                                <w:p>
                                  <w:pPr>
                                    <w:pStyle w:val="TableContents"/>
                                    <w:bidi w:val="0"/>
                                    <w:spacing w:lineRule="atLeast" w:line="142" w:before="0" w:after="0"/>
                                    <w:jc w:val="left"/>
                                    <w:rPr/>
                                  </w:pPr>
                                  <w:r>
                                    <w:rPr/>
                                    <w:t> </w:t>
                                  </w:r>
                                </w:p>
                                <w:p>
                                  <w:pPr>
                                    <w:pStyle w:val="TableContents"/>
                                    <w:bidi w:val="0"/>
                                    <w:spacing w:before="0" w:after="0"/>
                                    <w:jc w:val="left"/>
                                    <w:rPr>
                                      <w:rFonts w:ascii="ARIAL" w:hAnsi="ARIAL"/>
                                      <w:sz w:val="18"/>
                                    </w:rPr>
                                  </w:pPr>
                                  <w:r>
                                    <w:rPr>
                                      <w:rFonts w:ascii="ARIAL" w:hAnsi="ARIAL"/>
                                      <w:sz w:val="18"/>
                                    </w:rPr>
                                    <w:t>Time:</w:t>
                                  </w:r>
                                </w:p>
                                <w:p>
                                  <w:pPr>
                                    <w:pStyle w:val="TableContents"/>
                                    <w:bidi w:val="0"/>
                                    <w:spacing w:before="0" w:after="0"/>
                                    <w:jc w:val="left"/>
                                    <w:rPr>
                                      <w:rFonts w:ascii="ARIAL" w:hAnsi="ARIAL"/>
                                      <w:sz w:val="18"/>
                                    </w:rPr>
                                  </w:pPr>
                                  <w:r>
                                    <w:rPr>
                                      <w:rFonts w:ascii="ARIAL" w:hAnsi="ARIAL"/>
                                      <w:sz w:val="18"/>
                                    </w:rPr>
                                    <w:t>7:30 a.m. Eastern Time</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3495" cy="23495"/>
                                        <wp:effectExtent l="0" t="0" r="0" b="0"/>
                                        <wp:docPr id="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 descr=""/>
                                                <pic:cNvPicPr>
                                                  <a:picLocks noChangeAspect="1" noChangeArrowheads="1"/>
                                                </pic:cNvPicPr>
                                              </pic:nvPicPr>
                                              <pic:blipFill>
                                                <a:blip r:embed="rId10"/>
                                                <a:stretch>
                                                  <a:fillRect/>
                                                </a:stretch>
                                              </pic:blipFill>
                                              <pic:spPr bwMode="auto">
                                                <a:xfrm>
                                                  <a:off x="0" y="0"/>
                                                  <a:ext cx="23495" cy="23495"/>
                                                </a:xfrm>
                                                <a:prstGeom prst="rect">
                                                  <a:avLst/>
                                                </a:prstGeom>
                                              </pic:spPr>
                                            </pic:pic>
                                          </a:graphicData>
                                        </a:graphic>
                                      </wp:inline>
                                    </w:drawing>
                                  </w:r>
                                  <w:r>
                                    <w:rPr/>
                                    <w:t xml:space="preserve"> </w:t>
                                  </w:r>
                                </w:p>
                                <w:p>
                                  <w:pPr>
                                    <w:pStyle w:val="TableContents"/>
                                    <w:bidi w:val="0"/>
                                    <w:spacing w:lineRule="atLeast" w:line="142" w:before="0" w:after="0"/>
                                    <w:jc w:val="left"/>
                                    <w:rPr/>
                                  </w:pPr>
                                  <w:r>
                                    <w:rPr/>
                                    <w:t> </w:t>
                                  </w:r>
                                </w:p>
                                <w:p>
                                  <w:pPr>
                                    <w:pStyle w:val="TableContents"/>
                                    <w:bidi w:val="0"/>
                                    <w:spacing w:before="0" w:after="0"/>
                                    <w:jc w:val="left"/>
                                    <w:rPr>
                                      <w:rFonts w:ascii="ARIAL" w:hAnsi="ARIAL"/>
                                      <w:sz w:val="18"/>
                                    </w:rPr>
                                  </w:pPr>
                                  <w:r>
                                    <w:rPr>
                                      <w:rFonts w:ascii="ARIAL" w:hAnsi="ARIAL"/>
                                      <w:sz w:val="18"/>
                                    </w:rPr>
                                    <w:t>Where:</w:t>
                                  </w:r>
                                </w:p>
                                <w:p>
                                  <w:pPr>
                                    <w:pStyle w:val="TableContents"/>
                                    <w:bidi w:val="0"/>
                                    <w:spacing w:before="0" w:after="0"/>
                                    <w:jc w:val="left"/>
                                    <w:rPr>
                                      <w:rFonts w:ascii="ARIAL" w:hAnsi="ARIAL"/>
                                      <w:sz w:val="18"/>
                                    </w:rPr>
                                  </w:pPr>
                                  <w:r>
                                    <w:rPr>
                                      <w:rFonts w:ascii="ARIAL" w:hAnsi="ARIAL"/>
                                      <w:sz w:val="18"/>
                                    </w:rPr>
                                    <w:t>The Mayton Inn, 301 S. Academy Street, Cary, North Carolina 27511</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3495" cy="23495"/>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11"/>
                                                <a:stretch>
                                                  <a:fillRect/>
                                                </a:stretch>
                                              </pic:blipFill>
                                              <pic:spPr bwMode="auto">
                                                <a:xfrm>
                                                  <a:off x="0" y="0"/>
                                                  <a:ext cx="23495" cy="23495"/>
                                                </a:xfrm>
                                                <a:prstGeom prst="rect">
                                                  <a:avLst/>
                                                </a:prstGeom>
                                              </pic:spPr>
                                            </pic:pic>
                                          </a:graphicData>
                                        </a:graphic>
                                      </wp:inline>
                                    </w:drawing>
                                  </w:r>
                                  <w:r>
                                    <w:rPr/>
                                    <w:t xml:space="preserve"> </w:t>
                                  </w:r>
                                </w:p>
                                <w:p>
                                  <w:pPr>
                                    <w:pStyle w:val="TableContents"/>
                                    <w:bidi w:val="0"/>
                                    <w:spacing w:lineRule="atLeast" w:line="142" w:before="0" w:after="0"/>
                                    <w:jc w:val="left"/>
                                    <w:rPr/>
                                  </w:pPr>
                                  <w:r>
                                    <w:rPr/>
                                    <w:t> </w:t>
                                  </w:r>
                                </w:p>
                                <w:p>
                                  <w:pPr>
                                    <w:pStyle w:val="TableContents"/>
                                    <w:bidi w:val="0"/>
                                    <w:spacing w:before="0" w:after="0"/>
                                    <w:jc w:val="left"/>
                                    <w:rPr>
                                      <w:rFonts w:ascii="ARIAL" w:hAnsi="ARIAL"/>
                                      <w:sz w:val="18"/>
                                    </w:rPr>
                                  </w:pPr>
                                  <w:r>
                                    <w:rPr>
                                      <w:rFonts w:ascii="ARIAL" w:hAnsi="ARIAL"/>
                                      <w:sz w:val="18"/>
                                    </w:rPr>
                                    <w:t>Record Date:</w:t>
                                  </w:r>
                                </w:p>
                                <w:p>
                                  <w:pPr>
                                    <w:pStyle w:val="TableContents"/>
                                    <w:bidi w:val="0"/>
                                    <w:spacing w:before="0" w:after="0"/>
                                    <w:jc w:val="left"/>
                                    <w:rPr>
                                      <w:rFonts w:ascii="ARIAL" w:hAnsi="ARIAL"/>
                                      <w:sz w:val="18"/>
                                    </w:rPr>
                                  </w:pPr>
                                  <w:r>
                                    <w:rPr>
                                      <w:rFonts w:ascii="ARIAL" w:hAnsi="ARIAL"/>
                                      <w:sz w:val="18"/>
                                    </w:rPr>
                                    <w:t>March 20, 2024</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Holders of record of our Common Stock as of the close of business on March 20, 2024 are entitled to notice of and to vote at the Annual Meeting, or any continuation, postponement or adjournment of the Annual Meeting. A complete list of these stockholders will be open to the examination of any stockholder at our principal executive offices at 8 Moore Drive, Durham, North Carolina 27709 for a period of ten days ending on the day prior to the Annual Meeting. The Annual Meeting may be continued or adjourned from time to time without notice other than by announcement at the Annual Meeting.</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17.6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EDEDED"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The Annual Meeting of Stockholders (the “Annual Meeting”) of Fortrea Holdings Inc., a Delaware corporation (the “Company” or “Fortrea”), will be held at 7:30 a.m. Eastern Time, on Tuesday, May 14, 2024. The Annual Meeting will be held in person at The Mayton Inn, 301 South Academy Street, Cary, North Carolina 27511.</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3495" cy="23495"/>
                                  <wp:effectExtent l="0" t="0" r="0" b="0"/>
                                  <wp:docPr id="1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descr=""/>
                                          <pic:cNvPicPr>
                                            <a:picLocks noChangeAspect="1" noChangeArrowheads="1"/>
                                          </pic:cNvPicPr>
                                        </pic:nvPicPr>
                                        <pic:blipFill>
                                          <a:blip r:embed="rId12"/>
                                          <a:stretch>
                                            <a:fillRect/>
                                          </a:stretch>
                                        </pic:blipFill>
                                        <pic:spPr bwMode="auto">
                                          <a:xfrm>
                                            <a:off x="0" y="0"/>
                                            <a:ext cx="23495" cy="23495"/>
                                          </a:xfrm>
                                          <a:prstGeom prst="rect">
                                            <a:avLst/>
                                          </a:prstGeom>
                                        </pic:spPr>
                                      </pic:pic>
                                    </a:graphicData>
                                  </a:graphic>
                                </wp:inline>
                              </w:drawing>
                            </w:r>
                            <w:r>
                              <w:rPr/>
                              <w:t xml:space="preserve"> </w:t>
                            </w:r>
                          </w:p>
                          <w:p>
                            <w:pPr>
                              <w:pStyle w:val="TableContents"/>
                              <w:bidi w:val="0"/>
                              <w:spacing w:lineRule="atLeast" w:line="142" w:before="0" w:after="0"/>
                              <w:jc w:val="left"/>
                              <w:rPr/>
                            </w:pPr>
                            <w:r>
                              <w:rPr/>
                              <w:t> </w:t>
                            </w:r>
                          </w:p>
                          <w:p>
                            <w:pPr>
                              <w:pStyle w:val="TableContents"/>
                              <w:bidi w:val="0"/>
                              <w:spacing w:before="0" w:after="0"/>
                              <w:jc w:val="left"/>
                              <w:rPr>
                                <w:rFonts w:ascii="ARIAL" w:hAnsi="ARIAL"/>
                                <w:sz w:val="18"/>
                              </w:rPr>
                            </w:pPr>
                            <w:r>
                              <w:rPr>
                                <w:rFonts w:ascii="ARIAL" w:hAnsi="ARIAL"/>
                                <w:sz w:val="18"/>
                              </w:rPr>
                              <w:t>Date:</w:t>
                            </w:r>
                          </w:p>
                          <w:p>
                            <w:pPr>
                              <w:pStyle w:val="TableContents"/>
                              <w:bidi w:val="0"/>
                              <w:spacing w:before="0" w:after="0"/>
                              <w:jc w:val="left"/>
                              <w:rPr>
                                <w:rFonts w:ascii="ARIAL" w:hAnsi="ARIAL"/>
                                <w:sz w:val="18"/>
                              </w:rPr>
                            </w:pPr>
                            <w:r>
                              <w:rPr>
                                <w:rFonts w:ascii="ARIAL" w:hAnsi="ARIAL"/>
                                <w:sz w:val="18"/>
                              </w:rPr>
                              <w:t>Tuesday, May 14, 2024</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3495" cy="23495"/>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13"/>
                                          <a:stretch>
                                            <a:fillRect/>
                                          </a:stretch>
                                        </pic:blipFill>
                                        <pic:spPr bwMode="auto">
                                          <a:xfrm>
                                            <a:off x="0" y="0"/>
                                            <a:ext cx="23495" cy="23495"/>
                                          </a:xfrm>
                                          <a:prstGeom prst="rect">
                                            <a:avLst/>
                                          </a:prstGeom>
                                        </pic:spPr>
                                      </pic:pic>
                                    </a:graphicData>
                                  </a:graphic>
                                </wp:inline>
                              </w:drawing>
                            </w:r>
                            <w:r>
                              <w:rPr/>
                              <w:t xml:space="preserve"> </w:t>
                            </w:r>
                          </w:p>
                          <w:p>
                            <w:pPr>
                              <w:pStyle w:val="TableContents"/>
                              <w:bidi w:val="0"/>
                              <w:spacing w:lineRule="atLeast" w:line="142" w:before="0" w:after="0"/>
                              <w:jc w:val="left"/>
                              <w:rPr/>
                            </w:pPr>
                            <w:r>
                              <w:rPr/>
                              <w:t> </w:t>
                            </w:r>
                          </w:p>
                          <w:p>
                            <w:pPr>
                              <w:pStyle w:val="TableContents"/>
                              <w:bidi w:val="0"/>
                              <w:spacing w:before="0" w:after="0"/>
                              <w:jc w:val="left"/>
                              <w:rPr>
                                <w:rFonts w:ascii="ARIAL" w:hAnsi="ARIAL"/>
                                <w:sz w:val="18"/>
                              </w:rPr>
                            </w:pPr>
                            <w:r>
                              <w:rPr>
                                <w:rFonts w:ascii="ARIAL" w:hAnsi="ARIAL"/>
                                <w:sz w:val="18"/>
                              </w:rPr>
                              <w:t>Time:</w:t>
                            </w:r>
                          </w:p>
                          <w:p>
                            <w:pPr>
                              <w:pStyle w:val="TableContents"/>
                              <w:bidi w:val="0"/>
                              <w:spacing w:before="0" w:after="0"/>
                              <w:jc w:val="left"/>
                              <w:rPr>
                                <w:rFonts w:ascii="ARIAL" w:hAnsi="ARIAL"/>
                                <w:sz w:val="18"/>
                              </w:rPr>
                            </w:pPr>
                            <w:r>
                              <w:rPr>
                                <w:rFonts w:ascii="ARIAL" w:hAnsi="ARIAL"/>
                                <w:sz w:val="18"/>
                              </w:rPr>
                              <w:t>7:30 a.m. Eastern Time</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3495" cy="23495"/>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14"/>
                                          <a:stretch>
                                            <a:fillRect/>
                                          </a:stretch>
                                        </pic:blipFill>
                                        <pic:spPr bwMode="auto">
                                          <a:xfrm>
                                            <a:off x="0" y="0"/>
                                            <a:ext cx="23495" cy="23495"/>
                                          </a:xfrm>
                                          <a:prstGeom prst="rect">
                                            <a:avLst/>
                                          </a:prstGeom>
                                        </pic:spPr>
                                      </pic:pic>
                                    </a:graphicData>
                                  </a:graphic>
                                </wp:inline>
                              </w:drawing>
                            </w:r>
                            <w:r>
                              <w:rPr/>
                              <w:t xml:space="preserve"> </w:t>
                            </w:r>
                          </w:p>
                          <w:p>
                            <w:pPr>
                              <w:pStyle w:val="TableContents"/>
                              <w:bidi w:val="0"/>
                              <w:spacing w:lineRule="atLeast" w:line="142" w:before="0" w:after="0"/>
                              <w:jc w:val="left"/>
                              <w:rPr/>
                            </w:pPr>
                            <w:r>
                              <w:rPr/>
                              <w:t> </w:t>
                            </w:r>
                          </w:p>
                          <w:p>
                            <w:pPr>
                              <w:pStyle w:val="TableContents"/>
                              <w:bidi w:val="0"/>
                              <w:spacing w:before="0" w:after="0"/>
                              <w:jc w:val="left"/>
                              <w:rPr>
                                <w:rFonts w:ascii="ARIAL" w:hAnsi="ARIAL"/>
                                <w:sz w:val="18"/>
                              </w:rPr>
                            </w:pPr>
                            <w:r>
                              <w:rPr>
                                <w:rFonts w:ascii="ARIAL" w:hAnsi="ARIAL"/>
                                <w:sz w:val="18"/>
                              </w:rPr>
                              <w:t>Where:</w:t>
                            </w:r>
                          </w:p>
                          <w:p>
                            <w:pPr>
                              <w:pStyle w:val="TableContents"/>
                              <w:bidi w:val="0"/>
                              <w:spacing w:before="0" w:after="0"/>
                              <w:jc w:val="left"/>
                              <w:rPr>
                                <w:rFonts w:ascii="ARIAL" w:hAnsi="ARIAL"/>
                                <w:sz w:val="18"/>
                              </w:rPr>
                            </w:pPr>
                            <w:r>
                              <w:rPr>
                                <w:rFonts w:ascii="ARIAL" w:hAnsi="ARIAL"/>
                                <w:sz w:val="18"/>
                              </w:rPr>
                              <w:t>The Mayton Inn, 301 S. Academy Street, Cary, North Carolina 27511</w:t>
                            </w:r>
                          </w:p>
                          <w:p>
                            <w:pPr>
                              <w:pStyle w:val="TableContents"/>
                              <w:bidi w:val="0"/>
                              <w:spacing w:before="0" w:after="0"/>
                              <w:jc w:val="left"/>
                              <w:rPr/>
                            </w:pPr>
                            <w:r>
                              <w:rPr/>
                              <w:t> </w:t>
                            </w:r>
                          </w:p>
                          <w:p>
                            <w:pPr>
                              <w:pStyle w:val="TableContents"/>
                              <w:bidi w:val="0"/>
                              <w:spacing w:before="0" w:after="0"/>
                              <w:jc w:val="left"/>
                              <w:rPr/>
                            </w:pPr>
                            <w:r>
                              <w:rPr/>
                              <w:drawing>
                                <wp:inline distT="0" distB="0" distL="0" distR="0">
                                  <wp:extent cx="23495" cy="23495"/>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15"/>
                                          <a:stretch>
                                            <a:fillRect/>
                                          </a:stretch>
                                        </pic:blipFill>
                                        <pic:spPr bwMode="auto">
                                          <a:xfrm>
                                            <a:off x="0" y="0"/>
                                            <a:ext cx="23495" cy="23495"/>
                                          </a:xfrm>
                                          <a:prstGeom prst="rect">
                                            <a:avLst/>
                                          </a:prstGeom>
                                        </pic:spPr>
                                      </pic:pic>
                                    </a:graphicData>
                                  </a:graphic>
                                </wp:inline>
                              </w:drawing>
                            </w:r>
                            <w:r>
                              <w:rPr/>
                              <w:t xml:space="preserve"> </w:t>
                            </w:r>
                          </w:p>
                          <w:p>
                            <w:pPr>
                              <w:pStyle w:val="TableContents"/>
                              <w:bidi w:val="0"/>
                              <w:spacing w:lineRule="atLeast" w:line="142" w:before="0" w:after="0"/>
                              <w:jc w:val="left"/>
                              <w:rPr/>
                            </w:pPr>
                            <w:r>
                              <w:rPr/>
                              <w:t> </w:t>
                            </w:r>
                          </w:p>
                          <w:p>
                            <w:pPr>
                              <w:pStyle w:val="TableContents"/>
                              <w:bidi w:val="0"/>
                              <w:spacing w:before="0" w:after="0"/>
                              <w:jc w:val="left"/>
                              <w:rPr>
                                <w:rFonts w:ascii="ARIAL" w:hAnsi="ARIAL"/>
                                <w:sz w:val="18"/>
                              </w:rPr>
                            </w:pPr>
                            <w:r>
                              <w:rPr>
                                <w:rFonts w:ascii="ARIAL" w:hAnsi="ARIAL"/>
                                <w:sz w:val="18"/>
                              </w:rPr>
                              <w:t>Record Date:</w:t>
                            </w:r>
                          </w:p>
                          <w:p>
                            <w:pPr>
                              <w:pStyle w:val="TableContents"/>
                              <w:bidi w:val="0"/>
                              <w:spacing w:before="0" w:after="0"/>
                              <w:jc w:val="left"/>
                              <w:rPr>
                                <w:rFonts w:ascii="ARIAL" w:hAnsi="ARIAL"/>
                                <w:sz w:val="18"/>
                              </w:rPr>
                            </w:pPr>
                            <w:r>
                              <w:rPr>
                                <w:rFonts w:ascii="ARIAL" w:hAnsi="ARIAL"/>
                                <w:sz w:val="18"/>
                              </w:rPr>
                              <w:t>March 20, 2024</w:t>
                            </w:r>
                          </w:p>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Holders of record of our Common Stock as of the close of business on March 20, 2024 are entitled to notice of and to vote at the Annual Meeting, or any continuation, postponement or adjournment of the Annual Meeting. A complete list of these stockholders will be open to the examination of any stockholder at our principal executive offices at 8 Moore Drive, Durham, North Carolina 27709 for a period of ten days ending on the day prior to the Annual Meeting. The Annual Meeting may be continued or adjourned from time to time without notice other than by announcement at the Annual Meeting.</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160" w:after="0"/>
        <w:jc w:val="center"/>
        <w:rPr>
          <w:rFonts w:ascii="ARIAL" w:hAnsi="ARIAL"/>
          <w:sz w:val="18"/>
        </w:rPr>
      </w:pPr>
      <w:r>
        <w:rPr>
          <w:rFonts w:ascii="ARIAL" w:hAnsi="ARIAL"/>
          <w:sz w:val="18"/>
        </w:rPr>
        <w:t xml:space="preserve">It is important that your shares be represented regardless of the number of shares you may hold. Whether or not you plan to attend the Annual Meeting, we urge you to vote your shares via the toll-free telephone number or over the Internet, as described in the enclosed materials. If you received a copy of the proxy card by mail, you may sign, date and mail the proxy card in the enclosed postage-paid return envelope. Promptly voting your shares will ensure the presence of a quorum at the Annual Meeting and will save us the expense of further solicitation. Submitting your proxy now will not prevent you from voting your shares at the Annual Meeting if you desire to do so, as your proxy is revocable at your option.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1</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40"/>
        </w:rPr>
      </w:pPr>
      <w:bookmarkStart w:id="4" w:name="toc814840_2"/>
      <w:bookmarkEnd w:id="4"/>
      <w:r>
        <w:rPr>
          <w:rFonts w:ascii="Times New Roman" w:hAnsi="Times New Roman"/>
          <w:sz w:val="40"/>
        </w:rPr>
        <w:t xml:space="preserve">Proxy Statement </w:t>
      </w:r>
    </w:p>
    <w:p>
      <w:pPr>
        <w:pStyle w:val="TextBody"/>
        <w:bidi w:val="0"/>
        <w:spacing w:before="0" w:after="0"/>
        <w:jc w:val="left"/>
        <w:rPr/>
      </w:pPr>
      <w:r>
        <w:rPr/>
        <w:t> </w:t>
      </w:r>
    </w:p>
    <w:p>
      <w:pPr>
        <w:pStyle w:val="TextBody"/>
        <w:pBdr>
          <w:bottom w:val="single" w:sz="8" w:space="1" w:color="0BC11C"/>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120" w:after="0"/>
        <w:jc w:val="left"/>
        <w:rPr>
          <w:rFonts w:ascii="ARIAL" w:hAnsi="ARIAL"/>
          <w:sz w:val="18"/>
        </w:rPr>
      </w:pPr>
      <w:r>
        <w:rPr>
          <w:rFonts w:ascii="ARIAL" w:hAnsi="ARIAL"/>
          <w:sz w:val="18"/>
        </w:rPr>
        <w:t xml:space="preserve">This proxy statement is furnished in connection with the solicitation by the Board of Directors of Fortrea Holdings Inc. of proxies to be voted at our Annual Meeting of Stockholders to be held on Tuesday, May 14, 2024 (the “Annual Meeting”). Holders of record of shares of our Common Stock, $0.01 par value (“Common Stock”), as of the close of business on March 20, 2024 (the “Record Date”), will be entitled to notice of and to vote at the Annual Meeting and any continuation, postponement, or adjournment of the Annual Meeting. As of the Record Date, there were 89,374,032 shares of Common Stock outstanding and entitled to vote at the Annual Meeting. Each share of Common Stock is entitled to one vote on any matter presented to stockholders at the Annual Meeting. </w:t>
      </w:r>
    </w:p>
    <w:p>
      <w:pPr>
        <w:pStyle w:val="TextBody"/>
        <w:bidi w:val="0"/>
        <w:spacing w:before="160" w:after="0"/>
        <w:jc w:val="left"/>
        <w:rPr>
          <w:rFonts w:ascii="ARIAL" w:hAnsi="ARIAL"/>
          <w:sz w:val="18"/>
        </w:rPr>
      </w:pPr>
      <w:r>
        <w:rPr>
          <w:rFonts w:ascii="ARIAL" w:hAnsi="ARIAL"/>
          <w:sz w:val="18"/>
        </w:rPr>
        <w:t xml:space="preserve">In this proxy statement, “Fortrea,” “Company,” “we,” “us,” and “our” refer to Fortrea Holdings Inc. and where applicable, our subsidiaries and predecessor entities. </w:t>
      </w:r>
    </w:p>
    <w:p>
      <w:pPr>
        <w:pStyle w:val="TextBody"/>
        <w:bidi w:val="0"/>
        <w:spacing w:before="160" w:after="0"/>
        <w:jc w:val="left"/>
        <w:rPr>
          <w:rFonts w:ascii="ARIAL" w:hAnsi="ARIAL"/>
          <w:sz w:val="18"/>
        </w:rPr>
      </w:pPr>
      <w:r>
        <w:rPr>
          <w:rFonts w:ascii="ARIAL" w:hAnsi="ARIAL"/>
          <w:sz w:val="18"/>
        </w:rPr>
        <w:t xml:space="preserve">This proxy statement contains certain forward-looking statements within the meaning of the Private Securities Litigation Reform Act of 1995, Section 27A of the Securities Act of 1933, as amended, and Section 21E of the Securities Exchange Act of 1934, as amended (the “Exchange Act”), that are based on current expectations, forecasts, assumptions and other information available to Fortrea as of the date hereof. Forward-looking statements involve inherent risks and uncertainties, include statements regarding Fortrea’s expectations, beliefs, intentions, or strategies regarding the future, including with respect to business, financial, operational, compensation, and environmental, social and governance matters, and can be identified by forward-looking words such as “anticipate,” “believe,” “could,” “estimate,” “expect,” “should,” “seeks,” “approximately,” “estimate,” “goal,” “intend,” “may,” “plan,” “should,” “will,” and “would” or similar words. Fortrea’s actual results, performance or events may differ materially from these forward-looking statements made or implied due to a number of risks and uncertainties relating to Fortrea’s business, including if we do not generate a large number of net new business awards, or if net new business awards are delayed, terminated, reduced in scope, or fail to go to contract, if we are unable to contract with suitable investigators and recruit and enroll patients for clinical trials, our international operations could subject us to additional risks and expenses that could adversely impact our business or results of operations, and the risks and uncertainties discussed in Fortrea’s Annual Report on Form 10-K for fiscal year ended December 31, 2023 filed with the Securities and Exchange Commission (the “SEC”) on March 13, 2024 (“Annual Report on Form 10-K”) as well as Fortrea’s other filings with the SEC. Fortrea undertakes no obligation to revise or update any forward-looking statements made in this proxy statement, whether as a result of new information, future events or circumstances, or otherwise, except as required by law. </w:t>
      </w:r>
    </w:p>
    <w:p>
      <w:pPr>
        <w:pStyle w:val="TextBody"/>
        <w:bidi w:val="0"/>
        <w:spacing w:before="0" w:after="0"/>
        <w:jc w:val="left"/>
        <w:rPr/>
      </w:pPr>
      <w:r>
        <w:rPr/>
        <w:t> </w:t>
      </w:r>
    </w:p>
    <w:tbl>
      <w:tblPr>
        <w:tblW w:w="9300" w:type="dxa"/>
        <w:jc w:val="left"/>
        <w:tblInd w:w="0" w:type="dxa"/>
        <w:tblLayout w:type="fixed"/>
        <w:tblCellMar>
          <w:top w:w="0" w:type="dxa"/>
          <w:left w:w="0" w:type="dxa"/>
          <w:bottom w:w="0" w:type="dxa"/>
          <w:right w:w="0" w:type="dxa"/>
        </w:tblCellMar>
      </w:tblPr>
      <w:tblGrid>
        <w:gridCol w:w="2060"/>
        <w:gridCol w:w="120"/>
        <w:gridCol w:w="5570"/>
        <w:gridCol w:w="120"/>
        <w:gridCol w:w="1430"/>
      </w:tblGrid>
      <w:tr>
        <w:trPr/>
        <w:tc>
          <w:tcPr>
            <w:tcW w:w="20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5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2060" w:type="dxa"/>
            <w:tcBorders/>
            <w:shd w:fill="EDEDED" w:val="clear"/>
            <w:vAlign w:val="center"/>
          </w:tcPr>
          <w:p>
            <w:pPr>
              <w:pStyle w:val="TableContents"/>
              <w:bidi w:val="0"/>
              <w:spacing w:before="0" w:after="283"/>
              <w:jc w:val="left"/>
              <w:rPr>
                <w:sz w:val="4"/>
                <w:szCs w:val="4"/>
              </w:rPr>
            </w:pPr>
            <w:r>
              <w:rPr>
                <w:sz w:val="4"/>
                <w:szCs w:val="4"/>
              </w:rPr>
            </w:r>
          </w:p>
        </w:tc>
        <w:tc>
          <w:tcPr>
            <w:tcW w:w="5690" w:type="dxa"/>
            <w:gridSpan w:val="2"/>
            <w:tcBorders/>
            <w:shd w:fill="EDEDED" w:val="clear"/>
            <w:vAlign w:val="center"/>
          </w:tcPr>
          <w:p>
            <w:pPr>
              <w:pStyle w:val="TableContents"/>
              <w:bidi w:val="0"/>
              <w:spacing w:before="0" w:after="283"/>
              <w:jc w:val="left"/>
              <w:rPr>
                <w:sz w:val="4"/>
                <w:szCs w:val="4"/>
              </w:rPr>
            </w:pPr>
            <w:r>
              <w:rPr>
                <w:sz w:val="4"/>
                <w:szCs w:val="4"/>
              </w:rPr>
            </w:r>
          </w:p>
        </w:tc>
        <w:tc>
          <w:tcPr>
            <w:tcW w:w="1550"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060" w:type="dxa"/>
            <w:tcBorders/>
            <w:shd w:fill="EDEDED" w:val="clear"/>
            <w:vAlign w:val="center"/>
          </w:tcPr>
          <w:p>
            <w:pPr>
              <w:pStyle w:val="TableContents"/>
              <w:bidi w:val="0"/>
              <w:spacing w:before="0" w:after="0"/>
              <w:jc w:val="left"/>
              <w:rPr/>
            </w:pPr>
            <w:r>
              <w:rPr/>
              <w:t xml:space="preserve">  </w:t>
            </w:r>
            <w:r>
              <w:rPr/>
              <w:drawing>
                <wp:inline distT="0" distB="0" distL="0" distR="0">
                  <wp:extent cx="23495" cy="23495"/>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6"/>
                          <a:stretch>
                            <a:fillRect/>
                          </a:stretch>
                        </pic:blipFill>
                        <pic:spPr bwMode="auto">
                          <a:xfrm>
                            <a:off x="0" y="0"/>
                            <a:ext cx="23495" cy="2349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DATE &amp; TIME:</w:t>
            </w:r>
          </w:p>
          <w:p>
            <w:pPr>
              <w:pStyle w:val="TableContents"/>
              <w:bidi w:val="0"/>
              <w:spacing w:before="0" w:after="0"/>
              <w:jc w:val="left"/>
              <w:rPr/>
            </w:pPr>
            <w:r>
              <w:rPr/>
              <w:t> </w:t>
            </w:r>
            <w:r>
              <w:rPr>
                <w:rFonts w:ascii="ARIAL" w:hAnsi="ARIAL"/>
                <w:sz w:val="18"/>
              </w:rPr>
              <w:t>Tuesday, May 14, 2024</w:t>
            </w:r>
          </w:p>
          <w:p>
            <w:pPr>
              <w:pStyle w:val="TableContents"/>
              <w:bidi w:val="0"/>
              <w:spacing w:before="0" w:after="20"/>
              <w:jc w:val="left"/>
              <w:rPr/>
            </w:pPr>
            <w:r>
              <w:rPr/>
              <w:t> </w:t>
            </w:r>
            <w:r>
              <w:rPr>
                <w:rFonts w:ascii="ARIAL" w:hAnsi="ARIAL"/>
                <w:sz w:val="18"/>
              </w:rPr>
              <w:t>7:30 a.m. Eastern Time</w:t>
            </w:r>
          </w:p>
        </w:tc>
        <w:tc>
          <w:tcPr>
            <w:tcW w:w="120" w:type="dxa"/>
            <w:tcBorders/>
            <w:shd w:fill="EDEDED" w:val="clear"/>
            <w:vAlign w:val="center"/>
          </w:tcPr>
          <w:p>
            <w:pPr>
              <w:pStyle w:val="TableContents"/>
              <w:bidi w:val="0"/>
              <w:spacing w:before="0" w:after="283"/>
              <w:jc w:val="left"/>
              <w:rPr/>
            </w:pPr>
            <w:r>
              <w:rPr/>
              <w:t>  </w:t>
            </w:r>
          </w:p>
        </w:tc>
        <w:tc>
          <w:tcPr>
            <w:tcW w:w="5570" w:type="dxa"/>
            <w:tcBorders/>
            <w:shd w:fill="EDEDED" w:val="clear"/>
            <w:vAlign w:val="center"/>
          </w:tcPr>
          <w:p>
            <w:pPr>
              <w:pStyle w:val="TableContents"/>
              <w:bidi w:val="0"/>
              <w:spacing w:before="0" w:after="0"/>
              <w:jc w:val="left"/>
              <w:rPr/>
            </w:pPr>
            <w:r>
              <w:rPr/>
              <w:drawing>
                <wp:inline distT="0" distB="0" distL="0" distR="0">
                  <wp:extent cx="23495" cy="23495"/>
                  <wp:effectExtent l="0" t="0" r="0" b="0"/>
                  <wp:docPr id="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0" descr=""/>
                          <pic:cNvPicPr>
                            <a:picLocks noChangeAspect="1" noChangeArrowheads="1"/>
                          </pic:cNvPicPr>
                        </pic:nvPicPr>
                        <pic:blipFill>
                          <a:blip r:embed="rId17"/>
                          <a:stretch>
                            <a:fillRect/>
                          </a:stretch>
                        </pic:blipFill>
                        <pic:spPr bwMode="auto">
                          <a:xfrm>
                            <a:off x="0" y="0"/>
                            <a:ext cx="23495" cy="2349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HELD IN PERSON AT:</w:t>
            </w:r>
          </w:p>
          <w:p>
            <w:pPr>
              <w:pStyle w:val="TableContents"/>
              <w:bidi w:val="0"/>
              <w:spacing w:before="0" w:after="20"/>
              <w:jc w:val="left"/>
              <w:rPr>
                <w:rFonts w:ascii="ARIAL" w:hAnsi="ARIAL"/>
                <w:sz w:val="18"/>
              </w:rPr>
            </w:pPr>
            <w:r>
              <w:rPr>
                <w:rFonts w:ascii="ARIAL" w:hAnsi="ARIAL"/>
                <w:sz w:val="18"/>
              </w:rPr>
              <w:t>The Mayton Inn, 301 S. Academy Street, Cary, North Carolina 27511</w:t>
            </w:r>
          </w:p>
        </w:tc>
        <w:tc>
          <w:tcPr>
            <w:tcW w:w="120" w:type="dxa"/>
            <w:tcBorders/>
            <w:shd w:fill="EDEDED" w:val="clear"/>
            <w:vAlign w:val="center"/>
          </w:tcPr>
          <w:p>
            <w:pPr>
              <w:pStyle w:val="TableContents"/>
              <w:bidi w:val="0"/>
              <w:spacing w:before="0" w:after="283"/>
              <w:jc w:val="left"/>
              <w:rPr/>
            </w:pPr>
            <w:r>
              <w:rPr/>
              <w:t>  </w:t>
            </w:r>
          </w:p>
        </w:tc>
        <w:tc>
          <w:tcPr>
            <w:tcW w:w="1430" w:type="dxa"/>
            <w:tcBorders/>
            <w:shd w:fill="EDEDED" w:val="clear"/>
            <w:vAlign w:val="center"/>
          </w:tcPr>
          <w:p>
            <w:pPr>
              <w:pStyle w:val="TableContents"/>
              <w:bidi w:val="0"/>
              <w:spacing w:before="0" w:after="0"/>
              <w:jc w:val="left"/>
              <w:rPr/>
            </w:pPr>
            <w:r>
              <w:rPr/>
              <w:drawing>
                <wp:inline distT="0" distB="0" distL="0" distR="0">
                  <wp:extent cx="23495" cy="23495"/>
                  <wp:effectExtent l="0" t="0" r="0" b="0"/>
                  <wp:docPr id="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 descr=""/>
                          <pic:cNvPicPr>
                            <a:picLocks noChangeAspect="1" noChangeArrowheads="1"/>
                          </pic:cNvPicPr>
                        </pic:nvPicPr>
                        <pic:blipFill>
                          <a:blip r:embed="rId18"/>
                          <a:stretch>
                            <a:fillRect/>
                          </a:stretch>
                        </pic:blipFill>
                        <pic:spPr bwMode="auto">
                          <a:xfrm>
                            <a:off x="0" y="0"/>
                            <a:ext cx="23495" cy="2349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rFonts w:ascii="ARIAL" w:hAnsi="ARIAL"/>
                <w:b/>
                <w:sz w:val="18"/>
              </w:rPr>
            </w:pPr>
            <w:r>
              <w:rPr>
                <w:rFonts w:ascii="ARIAL" w:hAnsi="ARIAL"/>
                <w:b/>
                <w:sz w:val="18"/>
              </w:rPr>
              <w:t>RECORD DATE:</w:t>
            </w:r>
          </w:p>
          <w:p>
            <w:pPr>
              <w:pStyle w:val="TableContents"/>
              <w:bidi w:val="0"/>
              <w:spacing w:before="0" w:after="20"/>
              <w:jc w:val="left"/>
              <w:rPr>
                <w:rFonts w:ascii="ARIAL" w:hAnsi="ARIAL"/>
                <w:sz w:val="18"/>
              </w:rPr>
            </w:pPr>
            <w:r>
              <w:rPr>
                <w:rFonts w:ascii="ARIAL" w:hAnsi="ARIAL"/>
                <w:sz w:val="18"/>
              </w:rPr>
              <w:t>March 20, 2024</w:t>
            </w:r>
          </w:p>
        </w:tc>
      </w:tr>
    </w:tbl>
    <w:p>
      <w:pPr>
        <w:pStyle w:val="TextBody"/>
        <w:bidi w:val="0"/>
        <w:spacing w:before="160" w:after="0"/>
        <w:jc w:val="left"/>
        <w:rPr>
          <w:rFonts w:ascii="ARIAL" w:hAnsi="ARIAL"/>
          <w:sz w:val="18"/>
        </w:rPr>
      </w:pPr>
      <w:r>
        <w:rPr>
          <w:rFonts w:ascii="ARIAL" w:hAnsi="ARIAL"/>
          <w:sz w:val="18"/>
        </w:rPr>
        <w:t xml:space="preserve">This proxy statement and the Company’s Annual Report to Stockholders for the year ended December 31, 2023 (the “2023 Annual Report”) will be released on or about March 28, 2024 to our stockholders on the Record Date. </w:t>
      </w:r>
    </w:p>
    <w:p>
      <w:pPr>
        <w:pStyle w:val="TextBody"/>
        <w:bidi w:val="0"/>
        <w:spacing w:before="160" w:after="0"/>
        <w:jc w:val="center"/>
        <w:rPr>
          <w:rFonts w:ascii="ARIAL" w:hAnsi="ARIAL"/>
          <w:b/>
          <w:sz w:val="18"/>
        </w:rPr>
      </w:pPr>
      <w:r>
        <w:rPr>
          <w:rFonts w:ascii="ARIAL" w:hAnsi="ARIAL"/>
          <w:b/>
          <w:sz w:val="18"/>
        </w:rPr>
        <w:t xml:space="preserve">IMPORTANT NOTICE REGARDING THE AVAILABILITY OF PROXY MATERIALS FOR THE STOCKHOLDER MEETING TO BE HELD ON TUESDAY, MAY 14, 2024 </w:t>
      </w:r>
    </w:p>
    <w:p>
      <w:pPr>
        <w:pStyle w:val="TextBody"/>
        <w:bidi w:val="0"/>
        <w:spacing w:before="160" w:after="0"/>
        <w:jc w:val="left"/>
        <w:rPr>
          <w:rFonts w:ascii="ARIAL" w:hAnsi="ARIAL"/>
          <w:sz w:val="20"/>
        </w:rPr>
      </w:pPr>
      <w:r>
        <w:rPr>
          <w:rFonts w:ascii="ARIAL" w:hAnsi="ARIAL"/>
          <w:b/>
          <w:sz w:val="20"/>
        </w:rPr>
        <w:t xml:space="preserve">This Proxy Statement and our 2023 Annual Report are available at </w:t>
      </w:r>
      <w:r>
        <w:rPr>
          <w:rFonts w:ascii="ARIAL" w:hAnsi="ARIAL"/>
          <w:b/>
          <w:i/>
          <w:sz w:val="20"/>
        </w:rPr>
        <w:t>www.proxyvote.com</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Where Can You Find More Information? </w:t>
      </w:r>
    </w:p>
    <w:p>
      <w:pPr>
        <w:pStyle w:val="TextBody"/>
        <w:bidi w:val="0"/>
        <w:spacing w:before="160" w:after="0"/>
        <w:jc w:val="left"/>
        <w:rPr>
          <w:rFonts w:ascii="ARIAL" w:hAnsi="ARIAL"/>
          <w:sz w:val="18"/>
        </w:rPr>
      </w:pPr>
      <w:r>
        <w:rPr>
          <w:rFonts w:ascii="ARIAL" w:hAnsi="ARIAL"/>
          <w:sz w:val="18"/>
        </w:rPr>
        <w:t xml:space="preserve">See “Questions and Answers about the 2024 Annual Meeting of Stockholders” on page 5. </w:t>
      </w:r>
    </w:p>
    <w:p>
      <w:pPr>
        <w:pStyle w:val="TextBody"/>
        <w:bidi w:val="0"/>
        <w:spacing w:before="160" w:after="0"/>
        <w:jc w:val="left"/>
        <w:rPr>
          <w:rFonts w:ascii="ARIAL" w:hAnsi="ARIAL"/>
          <w:sz w:val="18"/>
        </w:rPr>
      </w:pPr>
      <w:r>
        <w:rPr>
          <w:rFonts w:ascii="ARIAL" w:hAnsi="ARIAL"/>
          <w:sz w:val="18"/>
        </w:rPr>
        <w:t xml:space="preserve">References to our website in this proxy statement, the 2023 Annual Report or the Annual Report on Form 10-K are for the convenience of readers, and information available at or through our website is not a part of, nor is it incorporated by reference in, these documents. </w:t>
      </w:r>
    </w:p>
    <w:p>
      <w:pPr>
        <w:pStyle w:val="TextBody"/>
        <w:bidi w:val="0"/>
        <w:spacing w:before="160" w:after="0"/>
        <w:jc w:val="left"/>
        <w:rPr>
          <w:rFonts w:ascii="ARIAL" w:hAnsi="ARIAL"/>
          <w:sz w:val="18"/>
        </w:rPr>
      </w:pPr>
      <w:r>
        <w:rPr>
          <w:rFonts w:ascii="ARIAL" w:hAnsi="ARIAL"/>
          <w:sz w:val="18"/>
        </w:rPr>
        <w:t xml:space="preserve">Stockholders may obtain directions for accessing the meeting by visiting our website at </w:t>
      </w:r>
      <w:r>
        <w:rPr>
          <w:rFonts w:ascii="ARIAL" w:hAnsi="ARIAL"/>
          <w:i/>
          <w:sz w:val="18"/>
        </w:rPr>
        <w:t>www.fortrea.com</w:t>
      </w:r>
      <w:r>
        <w:rPr>
          <w:rFonts w:ascii="ARIAL" w:hAnsi="ARIAL"/>
          <w:sz w:val="18"/>
        </w:rPr>
        <w:t xml:space="preserve">.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2</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Proxy Statement </w:t>
      </w:r>
    </w:p>
    <w:p>
      <w:pPr>
        <w:pStyle w:val="TextBody"/>
        <w:bidi w:val="0"/>
        <w:spacing w:before="0" w:after="0"/>
        <w:jc w:val="left"/>
        <w:rPr/>
      </w:pPr>
      <w:r>
        <w:rPr/>
        <w:t> </w:t>
      </w:r>
    </w:p>
    <w:p>
      <w:pPr>
        <w:pStyle w:val="TextBody"/>
        <w:bidi w:val="0"/>
        <w:spacing w:before="0" w:after="0"/>
        <w:jc w:val="left"/>
        <w:rPr>
          <w:rFonts w:ascii="ARIAL" w:hAnsi="ARIAL"/>
          <w:b/>
          <w:sz w:val="20"/>
        </w:rPr>
      </w:pPr>
      <w:bookmarkStart w:id="5" w:name="toc814840_3"/>
      <w:bookmarkEnd w:id="5"/>
      <w:r>
        <w:rPr>
          <w:rFonts w:ascii="ARIAL" w:hAnsi="ARIAL"/>
          <w:b/>
          <w:sz w:val="20"/>
        </w:rPr>
        <w:t xml:space="preserve">Proposals </w:t>
      </w:r>
    </w:p>
    <w:p>
      <w:pPr>
        <w:pStyle w:val="TextBody"/>
        <w:bidi w:val="0"/>
        <w:spacing w:before="160" w:after="0"/>
        <w:jc w:val="left"/>
        <w:rPr>
          <w:rFonts w:ascii="ARIAL" w:hAnsi="ARIAL"/>
          <w:sz w:val="18"/>
        </w:rPr>
      </w:pPr>
      <w:r>
        <w:rPr>
          <w:rFonts w:ascii="ARIAL" w:hAnsi="ARIAL"/>
          <w:sz w:val="18"/>
        </w:rPr>
        <w:t xml:space="preserve">At the Annual Meeting, our stockholders will be asked: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To elect Edward Pesicka and David Smith as Class I Directors to serve until the 2027 Annual Meeting of Stockholders, and until their respective successors shall have been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To ratify the appointment of Deloitte &amp; Touche LLP as our independent registered public accounting firm for the fiscal year ending December 31, 2024; </w:t>
            </w:r>
          </w:p>
        </w:tc>
      </w:tr>
    </w:tbl>
    <w:p>
      <w:pPr>
        <w:pStyle w:val="TextBody"/>
        <w:bidi w:val="0"/>
        <w:spacing w:before="0" w:after="0"/>
        <w:jc w:val="left"/>
        <w:rPr/>
      </w:pPr>
      <w:r>
        <w:rPr/>
        <w:t> </w:t>
      </w:r>
    </w:p>
    <w:tbl>
      <w:tblPr>
        <w:tblW w:w="9010" w:type="dxa"/>
        <w:jc w:val="left"/>
        <w:tblInd w:w="0" w:type="dxa"/>
        <w:tblLayout w:type="fixed"/>
        <w:tblCellMar>
          <w:top w:w="0" w:type="dxa"/>
          <w:left w:w="0" w:type="dxa"/>
          <w:bottom w:w="0" w:type="dxa"/>
          <w:right w:w="0" w:type="dxa"/>
        </w:tblCellMar>
      </w:tblPr>
      <w:tblGrid>
        <w:gridCol w:w="125"/>
        <w:gridCol w:w="60"/>
        <w:gridCol w:w="88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jc w:val="left"/>
              <w:rPr>
                <w:rFonts w:ascii="ARIAL" w:hAnsi="ARIAL"/>
                <w:sz w:val="18"/>
              </w:rPr>
            </w:pPr>
            <w:r>
              <w:rPr>
                <w:rFonts w:ascii="ARIAL" w:hAnsi="ARIAL"/>
                <w:sz w:val="18"/>
              </w:rPr>
              <w:t xml:space="preserve">To conduct an advisory vote to approve compensation for our named executive officers (“Say-on-Pay Vote”);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To conduct an advisory vote on the frequency of future advisory votes on executive compensation (“Say-on-Frequency”);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To transact such other business as may properly come before the Annual Meeting or any continuation, postponement, or adjournment of the Annual Meeting. </w:t>
            </w:r>
          </w:p>
        </w:tc>
      </w:tr>
    </w:tbl>
    <w:p>
      <w:pPr>
        <w:pStyle w:val="TextBody"/>
        <w:bidi w:val="0"/>
        <w:spacing w:before="160" w:after="0"/>
        <w:jc w:val="left"/>
        <w:rPr>
          <w:rFonts w:ascii="ARIAL" w:hAnsi="ARIAL"/>
          <w:sz w:val="18"/>
        </w:rPr>
      </w:pPr>
      <w:r>
        <w:rPr>
          <w:rFonts w:ascii="ARIAL" w:hAnsi="ARIAL"/>
          <w:sz w:val="18"/>
        </w:rPr>
        <w:t xml:space="preserve">We know of no other business that will be presented at the Annual Meeting. If any other matter properly comes before the stockholders for a vote at the Annual Meeting, however, the proxy holders named on the Company’s proxy card will vote your shares in their discretion. </w:t>
      </w:r>
    </w:p>
    <w:p>
      <w:pPr>
        <w:pStyle w:val="TextBody"/>
        <w:bidi w:val="0"/>
        <w:spacing w:before="360" w:after="0"/>
        <w:jc w:val="left"/>
        <w:rPr>
          <w:rFonts w:ascii="ARIAL" w:hAnsi="ARIAL"/>
          <w:sz w:val="20"/>
        </w:rPr>
      </w:pPr>
      <w:r>
        <w:rPr>
          <w:rFonts w:ascii="ARIAL" w:hAnsi="ARIAL"/>
          <w:b/>
          <w:sz w:val="20"/>
        </w:rPr>
        <w:t>Separation and Company Overview</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On June 29, 2023, Fortrea and Laboratory Corporation of America Holdings (“Labcorp”) entered into a Separation and Distribution Agreement pursuant to which Labcorp agreed to spin-off its contract research organization business into Fortrea, a new, publicly traded company (the “Spin” or “Separation”). The Spin was effected through a pro-rata distribution of one share of Fortrea’s common stock for every share of Labcorp common stock held at the close of business on the record date of June 20, 2023. As a result, Fortrea became a standalone publicly traded company and its common stock is listed under the symbol “FTRE” on the Nasdaq Stock Market LLC (“Nasdaq”). </w:t>
      </w:r>
    </w:p>
    <w:p>
      <w:pPr>
        <w:pStyle w:val="TextBody"/>
        <w:bidi w:val="0"/>
        <w:spacing w:before="160" w:after="0"/>
        <w:jc w:val="left"/>
        <w:rPr>
          <w:rFonts w:ascii="ARIAL" w:hAnsi="ARIAL"/>
          <w:sz w:val="18"/>
        </w:rPr>
      </w:pPr>
      <w:r>
        <w:rPr>
          <w:rFonts w:ascii="ARIAL" w:hAnsi="ARIAL"/>
          <w:sz w:val="18"/>
        </w:rPr>
        <w:t xml:space="preserve">We are a leading global provider of clinical development and patient access solutions to the life sciences industry. We provide phase I-IV clinical trial management, clinical pharmacology, consulting services, differentiated technology enabled trial solutions and post-approval services. Our talented and diverse team of approximately 18,000 people working in more than 90 countries is scaled to deliver focused and agile solutions to customers globally. </w:t>
      </w:r>
    </w:p>
    <w:p>
      <w:pPr>
        <w:pStyle w:val="TextBody"/>
        <w:bidi w:val="0"/>
        <w:spacing w:before="240" w:after="0"/>
        <w:jc w:val="left"/>
        <w:rPr>
          <w:rFonts w:ascii="ARIAL" w:hAnsi="ARIAL"/>
          <w:sz w:val="20"/>
        </w:rPr>
      </w:pPr>
      <w:bookmarkStart w:id="6" w:name="toc814840_4"/>
      <w:bookmarkEnd w:id="6"/>
      <w:r>
        <w:rPr>
          <w:rFonts w:ascii="ARIAL" w:hAnsi="ARIAL"/>
          <w:b/>
          <w:sz w:val="20"/>
        </w:rPr>
        <w:t>Recommendations of the Board</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The Board of Directors (the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in accordance with the Board’s recommendations which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242"/>
        <w:gridCol w:w="120"/>
        <w:gridCol w:w="63"/>
        <w:gridCol w:w="152"/>
        <w:gridCol w:w="1628"/>
      </w:tblGrid>
      <w:tr>
        <w:trPr/>
        <w:tc>
          <w:tcPr>
            <w:tcW w:w="82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8242" w:type="dxa"/>
            <w:tcBorders/>
            <w:shd w:fill="0BC11C" w:val="clear"/>
            <w:vAlign w:val="center"/>
          </w:tcPr>
          <w:p>
            <w:pPr>
              <w:pStyle w:val="TableContents"/>
              <w:bidi w:val="0"/>
              <w:spacing w:before="0" w:after="283"/>
              <w:jc w:val="left"/>
              <w:rPr>
                <w:sz w:val="4"/>
                <w:szCs w:val="4"/>
              </w:rPr>
            </w:pPr>
            <w:r>
              <w:rPr>
                <w:sz w:val="4"/>
                <w:szCs w:val="4"/>
              </w:rPr>
            </w:r>
          </w:p>
        </w:tc>
        <w:tc>
          <w:tcPr>
            <w:tcW w:w="1963" w:type="dxa"/>
            <w:gridSpan w:val="4"/>
            <w:tcBorders/>
            <w:shd w:fill="0BC11C" w:val="clear"/>
            <w:vAlign w:val="center"/>
          </w:tcPr>
          <w:p>
            <w:pPr>
              <w:pStyle w:val="TableContents"/>
              <w:bidi w:val="0"/>
              <w:spacing w:before="0" w:after="283"/>
              <w:jc w:val="left"/>
              <w:rPr>
                <w:sz w:val="4"/>
                <w:szCs w:val="4"/>
              </w:rPr>
            </w:pPr>
            <w:r>
              <w:rPr>
                <w:sz w:val="4"/>
                <w:szCs w:val="4"/>
              </w:rPr>
            </w:r>
          </w:p>
        </w:tc>
      </w:tr>
      <w:tr>
        <w:trPr/>
        <w:tc>
          <w:tcPr>
            <w:tcW w:w="8242" w:type="dxa"/>
            <w:tcBorders/>
            <w:shd w:fill="0BC11C" w:val="clear"/>
            <w:vAlign w:val="center"/>
          </w:tcPr>
          <w:p>
            <w:pPr>
              <w:pStyle w:val="TableContents"/>
              <w:bidi w:val="0"/>
              <w:spacing w:before="0" w:after="283"/>
              <w:jc w:val="left"/>
              <w:rPr>
                <w:color w:val="FFFFFF"/>
              </w:rPr>
            </w:pPr>
            <w:r>
              <w:rPr>
                <w:color w:val="FFFFFF"/>
              </w:rPr>
              <w:t>  </w:t>
            </w:r>
            <w:r>
              <w:rPr>
                <w:b/>
                <w:color w:val="FFFFFF"/>
              </w:rPr>
              <w:t>Proposals</w:t>
            </w:r>
          </w:p>
        </w:tc>
        <w:tc>
          <w:tcPr>
            <w:tcW w:w="120" w:type="dxa"/>
            <w:tcBorders/>
            <w:shd w:fill="0BC11C" w:val="clear"/>
            <w:vAlign w:val="center"/>
          </w:tcPr>
          <w:p>
            <w:pPr>
              <w:pStyle w:val="TableContents"/>
              <w:bidi w:val="0"/>
              <w:spacing w:before="0" w:after="283"/>
              <w:jc w:val="left"/>
              <w:rPr/>
            </w:pPr>
            <w:r>
              <w:rPr/>
              <w:t>  </w:t>
            </w:r>
          </w:p>
        </w:tc>
        <w:tc>
          <w:tcPr>
            <w:tcW w:w="1843" w:type="dxa"/>
            <w:gridSpan w:val="3"/>
            <w:tcBorders/>
            <w:shd w:fill="0BC11C" w:val="clear"/>
            <w:vAlign w:val="center"/>
          </w:tcPr>
          <w:p>
            <w:pPr>
              <w:pStyle w:val="TableContents"/>
              <w:bidi w:val="0"/>
              <w:spacing w:before="0" w:after="283"/>
              <w:jc w:val="left"/>
              <w:rPr>
                <w:b/>
                <w:color w:val="FFFFFF"/>
              </w:rPr>
            </w:pPr>
            <w:r>
              <w:rPr>
                <w:b/>
                <w:color w:val="FFFFFF"/>
              </w:rPr>
              <w:t>Board</w:t>
              <w:br/>
              <w:t>Recommendation</w:t>
            </w:r>
          </w:p>
        </w:tc>
      </w:tr>
      <w:tr>
        <w:trPr/>
        <w:tc>
          <w:tcPr>
            <w:tcW w:w="8242" w:type="dxa"/>
            <w:tcBorders/>
            <w:vAlign w:val="center"/>
          </w:tcPr>
          <w:p>
            <w:pPr>
              <w:pStyle w:val="TableContents"/>
              <w:bidi w:val="0"/>
              <w:spacing w:before="0" w:after="283"/>
              <w:jc w:val="left"/>
              <w:rPr>
                <w:sz w:val="4"/>
                <w:szCs w:val="4"/>
              </w:rPr>
            </w:pPr>
            <w:r>
              <w:rPr>
                <w:sz w:val="4"/>
                <w:szCs w:val="4"/>
              </w:rPr>
            </w:r>
          </w:p>
        </w:tc>
        <w:tc>
          <w:tcPr>
            <w:tcW w:w="183" w:type="dxa"/>
            <w:gridSpan w:val="2"/>
            <w:tcBorders/>
            <w:vAlign w:val="center"/>
          </w:tcPr>
          <w:p>
            <w:pPr>
              <w:pStyle w:val="TableContents"/>
              <w:bidi w:val="0"/>
              <w:spacing w:before="0" w:after="283"/>
              <w:jc w:val="left"/>
              <w:rPr>
                <w:sz w:val="4"/>
                <w:szCs w:val="4"/>
              </w:rPr>
            </w:pPr>
            <w:r>
              <w:rPr>
                <w:sz w:val="4"/>
                <w:szCs w:val="4"/>
              </w:rPr>
            </w:r>
          </w:p>
        </w:tc>
        <w:tc>
          <w:tcPr>
            <w:tcW w:w="1780" w:type="dxa"/>
            <w:gridSpan w:val="2"/>
            <w:tcBorders/>
            <w:vAlign w:val="center"/>
          </w:tcPr>
          <w:p>
            <w:pPr>
              <w:pStyle w:val="TableContents"/>
              <w:bidi w:val="0"/>
              <w:spacing w:before="0" w:after="283"/>
              <w:jc w:val="left"/>
              <w:rPr>
                <w:sz w:val="4"/>
                <w:szCs w:val="4"/>
              </w:rPr>
            </w:pPr>
            <w:r>
              <w:rPr>
                <w:sz w:val="4"/>
                <w:szCs w:val="4"/>
              </w:rPr>
            </w:r>
          </w:p>
        </w:tc>
      </w:tr>
      <w:tr>
        <w:trPr/>
        <w:tc>
          <w:tcPr>
            <w:tcW w:w="8242" w:type="dxa"/>
            <w:tcBorders/>
            <w:vAlign w:val="center"/>
          </w:tcPr>
          <w:p>
            <w:pPr>
              <w:pStyle w:val="TableContents"/>
              <w:bidi w:val="0"/>
              <w:spacing w:before="0" w:after="0"/>
              <w:jc w:val="left"/>
              <w:rPr/>
            </w:pPr>
            <w:r>
              <w:rPr/>
              <w:t> </w:t>
            </w:r>
            <w:r>
              <w:rPr>
                <w:rFonts w:ascii="ARIAL" w:hAnsi="ARIAL"/>
                <w:b/>
                <w:sz w:val="18"/>
              </w:rPr>
              <w:t>1.  </w:t>
            </w:r>
            <w:r>
              <w:rPr>
                <w:rFonts w:ascii="ARIAL" w:hAnsi="ARIAL"/>
                <w:sz w:val="18"/>
              </w:rPr>
              <w:t>To elect Edward Pesicka and David Smith as Class I Directors to serve until the 2027 Annual Meeting of Stockholders, and until their respective successors shall have been duly elected and qualified</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drawing>
                <wp:inline distT="0" distB="0" distL="0" distR="0">
                  <wp:extent cx="20955" cy="15240"/>
                  <wp:effectExtent l="0" t="0" r="0" b="0"/>
                  <wp:docPr id="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 descr=""/>
                          <pic:cNvPicPr>
                            <a:picLocks noChangeAspect="1" noChangeArrowheads="1"/>
                          </pic:cNvPicPr>
                        </pic:nvPicPr>
                        <pic:blipFill>
                          <a:blip r:embed="rId19"/>
                          <a:stretch>
                            <a:fillRect/>
                          </a:stretch>
                        </pic:blipFill>
                        <pic:spPr bwMode="auto">
                          <a:xfrm>
                            <a:off x="0" y="0"/>
                            <a:ext cx="20955" cy="15240"/>
                          </a:xfrm>
                          <a:prstGeom prst="rect">
                            <a:avLst/>
                          </a:prstGeom>
                        </pic:spPr>
                      </pic:pic>
                    </a:graphicData>
                  </a:graphic>
                </wp:inline>
              </w:drawing>
            </w:r>
            <w:r>
              <w:rPr/>
              <w:t xml:space="preserve"> </w:t>
            </w:r>
          </w:p>
        </w:tc>
        <w:tc>
          <w:tcPr>
            <w:tcW w:w="152"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center"/>
              <w:rPr/>
            </w:pPr>
            <w:r>
              <w:rPr/>
              <w:t>FOR</w:t>
            </w:r>
          </w:p>
        </w:tc>
      </w:tr>
      <w:tr>
        <w:trPr/>
        <w:tc>
          <w:tcPr>
            <w:tcW w:w="8242" w:type="dxa"/>
            <w:tcBorders/>
            <w:shd w:fill="EDEDED" w:val="clear"/>
            <w:vAlign w:val="center"/>
          </w:tcPr>
          <w:p>
            <w:pPr>
              <w:pStyle w:val="TableContents"/>
              <w:bidi w:val="0"/>
              <w:spacing w:before="0" w:after="283"/>
              <w:jc w:val="left"/>
              <w:rPr>
                <w:sz w:val="4"/>
                <w:szCs w:val="4"/>
              </w:rPr>
            </w:pPr>
            <w:r>
              <w:rPr>
                <w:sz w:val="4"/>
                <w:szCs w:val="4"/>
              </w:rPr>
            </w:r>
          </w:p>
        </w:tc>
        <w:tc>
          <w:tcPr>
            <w:tcW w:w="183" w:type="dxa"/>
            <w:gridSpan w:val="2"/>
            <w:tcBorders/>
            <w:shd w:fill="EDEDED" w:val="clear"/>
            <w:vAlign w:val="center"/>
          </w:tcPr>
          <w:p>
            <w:pPr>
              <w:pStyle w:val="TableContents"/>
              <w:bidi w:val="0"/>
              <w:spacing w:before="0" w:after="283"/>
              <w:jc w:val="left"/>
              <w:rPr>
                <w:sz w:val="4"/>
                <w:szCs w:val="4"/>
              </w:rPr>
            </w:pPr>
            <w:r>
              <w:rPr>
                <w:sz w:val="4"/>
                <w:szCs w:val="4"/>
              </w:rPr>
            </w:r>
          </w:p>
        </w:tc>
        <w:tc>
          <w:tcPr>
            <w:tcW w:w="1780"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8242" w:type="dxa"/>
            <w:tcBorders/>
            <w:shd w:fill="EDEDED" w:val="clear"/>
            <w:vAlign w:val="center"/>
          </w:tcPr>
          <w:p>
            <w:pPr>
              <w:pStyle w:val="TableContents"/>
              <w:bidi w:val="0"/>
              <w:spacing w:before="0" w:after="0"/>
              <w:jc w:val="left"/>
              <w:rPr/>
            </w:pPr>
            <w:r>
              <w:rPr/>
              <w:t> </w:t>
            </w:r>
            <w:r>
              <w:rPr>
                <w:rFonts w:ascii="ARIAL" w:hAnsi="ARIAL"/>
                <w:b/>
                <w:sz w:val="18"/>
              </w:rPr>
              <w:t>2.  </w:t>
            </w:r>
            <w:r>
              <w:rPr>
                <w:rFonts w:ascii="ARIAL" w:hAnsi="ARIAL"/>
                <w:sz w:val="18"/>
              </w:rPr>
              <w:t>To ratify the appointment of Deloitte &amp; Touche LLP as our independent registered public accounting firm for the fiscal year ending December 31, 2024</w:t>
            </w:r>
          </w:p>
        </w:tc>
        <w:tc>
          <w:tcPr>
            <w:tcW w:w="120"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pPr>
            <w:r>
              <w:rPr/>
              <w:drawing>
                <wp:inline distT="0" distB="0" distL="0" distR="0">
                  <wp:extent cx="20955" cy="15240"/>
                  <wp:effectExtent l="0" t="0" r="0" b="0"/>
                  <wp:docPr id="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3" descr=""/>
                          <pic:cNvPicPr>
                            <a:picLocks noChangeAspect="1" noChangeArrowheads="1"/>
                          </pic:cNvPicPr>
                        </pic:nvPicPr>
                        <pic:blipFill>
                          <a:blip r:embed="rId20"/>
                          <a:stretch>
                            <a:fillRect/>
                          </a:stretch>
                        </pic:blipFill>
                        <pic:spPr bwMode="auto">
                          <a:xfrm>
                            <a:off x="0" y="0"/>
                            <a:ext cx="20955" cy="15240"/>
                          </a:xfrm>
                          <a:prstGeom prst="rect">
                            <a:avLst/>
                          </a:prstGeom>
                        </pic:spPr>
                      </pic:pic>
                    </a:graphicData>
                  </a:graphic>
                </wp:inline>
              </w:drawing>
            </w:r>
            <w:r>
              <w:rPr/>
              <w:t xml:space="preserve"> </w:t>
            </w:r>
          </w:p>
        </w:tc>
        <w:tc>
          <w:tcPr>
            <w:tcW w:w="152" w:type="dxa"/>
            <w:tcBorders/>
            <w:shd w:fill="EDEDED" w:val="clear"/>
            <w:vAlign w:val="center"/>
          </w:tcPr>
          <w:p>
            <w:pPr>
              <w:pStyle w:val="TableContents"/>
              <w:bidi w:val="0"/>
              <w:spacing w:before="0" w:after="283"/>
              <w:jc w:val="left"/>
              <w:rPr/>
            </w:pPr>
            <w:r>
              <w:rPr/>
              <w:t>  </w:t>
            </w:r>
          </w:p>
        </w:tc>
        <w:tc>
          <w:tcPr>
            <w:tcW w:w="1628" w:type="dxa"/>
            <w:tcBorders/>
            <w:shd w:fill="EDEDED" w:val="clear"/>
            <w:vAlign w:val="center"/>
          </w:tcPr>
          <w:p>
            <w:pPr>
              <w:pStyle w:val="TableContents"/>
              <w:bidi w:val="0"/>
              <w:spacing w:before="0" w:after="283"/>
              <w:jc w:val="center"/>
              <w:rPr/>
            </w:pPr>
            <w:r>
              <w:rPr/>
              <w:t>FOR</w:t>
            </w:r>
          </w:p>
        </w:tc>
      </w:tr>
      <w:tr>
        <w:trPr/>
        <w:tc>
          <w:tcPr>
            <w:tcW w:w="8242" w:type="dxa"/>
            <w:tcBorders/>
            <w:vAlign w:val="center"/>
          </w:tcPr>
          <w:p>
            <w:pPr>
              <w:pStyle w:val="TableContents"/>
              <w:bidi w:val="0"/>
              <w:spacing w:before="0" w:after="283"/>
              <w:jc w:val="left"/>
              <w:rPr>
                <w:sz w:val="4"/>
                <w:szCs w:val="4"/>
              </w:rPr>
            </w:pPr>
            <w:r>
              <w:rPr>
                <w:sz w:val="4"/>
                <w:szCs w:val="4"/>
              </w:rPr>
            </w:r>
          </w:p>
        </w:tc>
        <w:tc>
          <w:tcPr>
            <w:tcW w:w="183" w:type="dxa"/>
            <w:gridSpan w:val="2"/>
            <w:tcBorders/>
            <w:vAlign w:val="center"/>
          </w:tcPr>
          <w:p>
            <w:pPr>
              <w:pStyle w:val="TableContents"/>
              <w:bidi w:val="0"/>
              <w:spacing w:before="0" w:after="283"/>
              <w:jc w:val="left"/>
              <w:rPr>
                <w:sz w:val="4"/>
                <w:szCs w:val="4"/>
              </w:rPr>
            </w:pPr>
            <w:r>
              <w:rPr>
                <w:sz w:val="4"/>
                <w:szCs w:val="4"/>
              </w:rPr>
            </w:r>
          </w:p>
        </w:tc>
        <w:tc>
          <w:tcPr>
            <w:tcW w:w="1780" w:type="dxa"/>
            <w:gridSpan w:val="2"/>
            <w:tcBorders/>
            <w:vAlign w:val="center"/>
          </w:tcPr>
          <w:p>
            <w:pPr>
              <w:pStyle w:val="TableContents"/>
              <w:bidi w:val="0"/>
              <w:spacing w:before="0" w:after="283"/>
              <w:jc w:val="left"/>
              <w:rPr>
                <w:sz w:val="4"/>
                <w:szCs w:val="4"/>
              </w:rPr>
            </w:pPr>
            <w:r>
              <w:rPr>
                <w:sz w:val="4"/>
                <w:szCs w:val="4"/>
              </w:rPr>
            </w:r>
          </w:p>
        </w:tc>
      </w:tr>
      <w:tr>
        <w:trPr/>
        <w:tc>
          <w:tcPr>
            <w:tcW w:w="8242" w:type="dxa"/>
            <w:tcBorders/>
            <w:vAlign w:val="center"/>
          </w:tcPr>
          <w:p>
            <w:pPr>
              <w:pStyle w:val="TableContents"/>
              <w:bidi w:val="0"/>
              <w:spacing w:before="0" w:after="0"/>
              <w:jc w:val="left"/>
              <w:rPr/>
            </w:pPr>
            <w:r>
              <w:rPr/>
              <w:t> </w:t>
            </w:r>
            <w:r>
              <w:rPr>
                <w:rFonts w:ascii="ARIAL" w:hAnsi="ARIAL"/>
                <w:b/>
                <w:sz w:val="18"/>
              </w:rPr>
              <w:t>3.  </w:t>
            </w:r>
            <w:r>
              <w:rPr>
                <w:rFonts w:ascii="ARIAL" w:hAnsi="ARIAL"/>
                <w:sz w:val="18"/>
              </w:rPr>
              <w:t>To conduct an advisory vote to approve compensation for our named executive officers (“Say-on-Pay Vote”)</w:t>
            </w:r>
          </w:p>
        </w:tc>
        <w:tc>
          <w:tcPr>
            <w:tcW w:w="12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drawing>
                <wp:inline distT="0" distB="0" distL="0" distR="0">
                  <wp:extent cx="20955" cy="15240"/>
                  <wp:effectExtent l="0" t="0" r="0" b="0"/>
                  <wp:docPr id="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4" descr=""/>
                          <pic:cNvPicPr>
                            <a:picLocks noChangeAspect="1" noChangeArrowheads="1"/>
                          </pic:cNvPicPr>
                        </pic:nvPicPr>
                        <pic:blipFill>
                          <a:blip r:embed="rId21"/>
                          <a:stretch>
                            <a:fillRect/>
                          </a:stretch>
                        </pic:blipFill>
                        <pic:spPr bwMode="auto">
                          <a:xfrm>
                            <a:off x="0" y="0"/>
                            <a:ext cx="20955" cy="15240"/>
                          </a:xfrm>
                          <a:prstGeom prst="rect">
                            <a:avLst/>
                          </a:prstGeom>
                        </pic:spPr>
                      </pic:pic>
                    </a:graphicData>
                  </a:graphic>
                </wp:inline>
              </w:drawing>
            </w:r>
            <w:r>
              <w:rPr/>
              <w:t xml:space="preserve"> </w:t>
            </w:r>
          </w:p>
        </w:tc>
        <w:tc>
          <w:tcPr>
            <w:tcW w:w="152" w:type="dxa"/>
            <w:tcBorders/>
            <w:vAlign w:val="center"/>
          </w:tcPr>
          <w:p>
            <w:pPr>
              <w:pStyle w:val="TableContents"/>
              <w:bidi w:val="0"/>
              <w:spacing w:before="0" w:after="283"/>
              <w:jc w:val="left"/>
              <w:rPr/>
            </w:pPr>
            <w:r>
              <w:rPr/>
              <w:t>  </w:t>
            </w:r>
          </w:p>
        </w:tc>
        <w:tc>
          <w:tcPr>
            <w:tcW w:w="1628" w:type="dxa"/>
            <w:tcBorders/>
            <w:vAlign w:val="center"/>
          </w:tcPr>
          <w:p>
            <w:pPr>
              <w:pStyle w:val="TableContents"/>
              <w:bidi w:val="0"/>
              <w:spacing w:before="0" w:after="283"/>
              <w:jc w:val="center"/>
              <w:rPr/>
            </w:pPr>
            <w:r>
              <w:rPr/>
              <w:t>FOR</w:t>
            </w:r>
          </w:p>
        </w:tc>
      </w:tr>
      <w:tr>
        <w:trPr/>
        <w:tc>
          <w:tcPr>
            <w:tcW w:w="8242" w:type="dxa"/>
            <w:tcBorders/>
            <w:shd w:fill="EDEDED" w:val="clear"/>
            <w:vAlign w:val="center"/>
          </w:tcPr>
          <w:p>
            <w:pPr>
              <w:pStyle w:val="TableContents"/>
              <w:bidi w:val="0"/>
              <w:spacing w:before="0" w:after="283"/>
              <w:jc w:val="left"/>
              <w:rPr>
                <w:sz w:val="4"/>
                <w:szCs w:val="4"/>
              </w:rPr>
            </w:pPr>
            <w:r>
              <w:rPr>
                <w:sz w:val="4"/>
                <w:szCs w:val="4"/>
              </w:rPr>
            </w:r>
          </w:p>
        </w:tc>
        <w:tc>
          <w:tcPr>
            <w:tcW w:w="183" w:type="dxa"/>
            <w:gridSpan w:val="2"/>
            <w:tcBorders/>
            <w:shd w:fill="EDEDED" w:val="clear"/>
            <w:vAlign w:val="center"/>
          </w:tcPr>
          <w:p>
            <w:pPr>
              <w:pStyle w:val="TableContents"/>
              <w:bidi w:val="0"/>
              <w:spacing w:before="0" w:after="283"/>
              <w:jc w:val="left"/>
              <w:rPr>
                <w:sz w:val="4"/>
                <w:szCs w:val="4"/>
              </w:rPr>
            </w:pPr>
            <w:r>
              <w:rPr>
                <w:sz w:val="4"/>
                <w:szCs w:val="4"/>
              </w:rPr>
            </w:r>
          </w:p>
        </w:tc>
        <w:tc>
          <w:tcPr>
            <w:tcW w:w="1780"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8242" w:type="dxa"/>
            <w:tcBorders/>
            <w:shd w:fill="EDEDED" w:val="clear"/>
            <w:vAlign w:val="center"/>
          </w:tcPr>
          <w:p>
            <w:pPr>
              <w:pStyle w:val="TableContents"/>
              <w:bidi w:val="0"/>
              <w:spacing w:before="0" w:after="0"/>
              <w:jc w:val="left"/>
              <w:rPr/>
            </w:pPr>
            <w:r>
              <w:rPr/>
              <w:t> </w:t>
            </w:r>
            <w:r>
              <w:rPr>
                <w:rFonts w:ascii="ARIAL" w:hAnsi="ARIAL"/>
                <w:b/>
                <w:sz w:val="18"/>
              </w:rPr>
              <w:t>4.  </w:t>
            </w:r>
            <w:r>
              <w:rPr>
                <w:rFonts w:ascii="ARIAL" w:hAnsi="ARIAL"/>
                <w:sz w:val="18"/>
              </w:rPr>
              <w:t>To hold an advisory vote on the frequency of future advisory votes on executive compensation (“Say-on-Frequency Vote”)</w:t>
            </w:r>
          </w:p>
        </w:tc>
        <w:tc>
          <w:tcPr>
            <w:tcW w:w="120" w:type="dxa"/>
            <w:tcBorders/>
            <w:shd w:fill="EDEDED" w:val="clear"/>
            <w:vAlign w:val="center"/>
          </w:tcPr>
          <w:p>
            <w:pPr>
              <w:pStyle w:val="TableContents"/>
              <w:bidi w:val="0"/>
              <w:spacing w:before="0" w:after="283"/>
              <w:jc w:val="left"/>
              <w:rPr/>
            </w:pPr>
            <w:r>
              <w:rPr/>
              <w:t>  </w:t>
            </w:r>
          </w:p>
        </w:tc>
        <w:tc>
          <w:tcPr>
            <w:tcW w:w="63" w:type="dxa"/>
            <w:tcBorders/>
            <w:shd w:fill="EDEDED" w:val="clear"/>
            <w:vAlign w:val="center"/>
          </w:tcPr>
          <w:p>
            <w:pPr>
              <w:pStyle w:val="TableContents"/>
              <w:bidi w:val="0"/>
              <w:spacing w:before="0" w:after="283"/>
              <w:jc w:val="left"/>
              <w:rPr/>
            </w:pPr>
            <w:r>
              <w:rPr/>
              <w:drawing>
                <wp:inline distT="0" distB="0" distL="0" distR="0">
                  <wp:extent cx="20955" cy="15240"/>
                  <wp:effectExtent l="0" t="0" r="0" b="0"/>
                  <wp:docPr id="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5" descr=""/>
                          <pic:cNvPicPr>
                            <a:picLocks noChangeAspect="1" noChangeArrowheads="1"/>
                          </pic:cNvPicPr>
                        </pic:nvPicPr>
                        <pic:blipFill>
                          <a:blip r:embed="rId22"/>
                          <a:stretch>
                            <a:fillRect/>
                          </a:stretch>
                        </pic:blipFill>
                        <pic:spPr bwMode="auto">
                          <a:xfrm>
                            <a:off x="0" y="0"/>
                            <a:ext cx="20955" cy="15240"/>
                          </a:xfrm>
                          <a:prstGeom prst="rect">
                            <a:avLst/>
                          </a:prstGeom>
                        </pic:spPr>
                      </pic:pic>
                    </a:graphicData>
                  </a:graphic>
                </wp:inline>
              </w:drawing>
            </w:r>
            <w:r>
              <w:rPr/>
              <w:t xml:space="preserve"> </w:t>
            </w:r>
          </w:p>
        </w:tc>
        <w:tc>
          <w:tcPr>
            <w:tcW w:w="152" w:type="dxa"/>
            <w:tcBorders/>
            <w:shd w:fill="EDEDED" w:val="clear"/>
            <w:vAlign w:val="center"/>
          </w:tcPr>
          <w:p>
            <w:pPr>
              <w:pStyle w:val="TableContents"/>
              <w:bidi w:val="0"/>
              <w:spacing w:before="0" w:after="283"/>
              <w:jc w:val="left"/>
              <w:rPr/>
            </w:pPr>
            <w:r>
              <w:rPr/>
              <w:t>  </w:t>
            </w:r>
          </w:p>
        </w:tc>
        <w:tc>
          <w:tcPr>
            <w:tcW w:w="1628" w:type="dxa"/>
            <w:tcBorders/>
            <w:shd w:fill="EDEDED" w:val="clear"/>
            <w:vAlign w:val="center"/>
          </w:tcPr>
          <w:p>
            <w:pPr>
              <w:pStyle w:val="TableContents"/>
              <w:bidi w:val="0"/>
              <w:spacing w:before="0" w:after="283"/>
              <w:jc w:val="center"/>
              <w:rPr/>
            </w:pPr>
            <w:r>
              <w:rPr/>
              <w:t>ONE YEAR</w:t>
            </w:r>
          </w:p>
        </w:tc>
      </w:tr>
    </w:tbl>
    <w:p>
      <w:pPr>
        <w:pStyle w:val="TextBody"/>
        <w:bidi w:val="0"/>
        <w:spacing w:before="160" w:after="0"/>
        <w:jc w:val="left"/>
        <w:rPr>
          <w:rFonts w:ascii="ARIAL" w:hAnsi="ARIAL"/>
          <w:sz w:val="18"/>
        </w:rPr>
      </w:pPr>
      <w:r>
        <w:rPr>
          <w:rFonts w:ascii="ARIAL" w:hAnsi="ARIAL"/>
          <w:sz w:val="18"/>
        </w:rPr>
        <w:t xml:space="preserve">If any other matter properly comes before the stockholders for a vote at the Annual Meeting, the proxy holders named on the Company’s proxy card will vote your shares in their discretion.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3</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Proxy Statement </w:t>
      </w:r>
    </w:p>
    <w:p>
      <w:pPr>
        <w:pStyle w:val="TextBody"/>
        <w:bidi w:val="0"/>
        <w:spacing w:before="0" w:after="0"/>
        <w:jc w:val="left"/>
        <w:rPr/>
      </w:pPr>
      <w:r>
        <w:rPr/>
        <w:t> </w:t>
      </w:r>
    </w:p>
    <w:p>
      <w:pPr>
        <w:pStyle w:val="TextBody"/>
        <w:bidi w:val="0"/>
        <w:spacing w:before="0" w:after="0"/>
        <w:jc w:val="left"/>
        <w:rPr>
          <w:rFonts w:ascii="ARIAL" w:hAnsi="ARIAL"/>
          <w:b/>
          <w:sz w:val="20"/>
        </w:rPr>
      </w:pPr>
      <w:bookmarkStart w:id="7" w:name="toc814840_5"/>
      <w:bookmarkEnd w:id="7"/>
      <w:r>
        <w:rPr>
          <w:rFonts w:ascii="ARIAL" w:hAnsi="ARIAL"/>
          <w:b/>
          <w:sz w:val="20"/>
        </w:rPr>
        <w:t xml:space="preserve">Information About This Proxy Statement </w:t>
      </w:r>
    </w:p>
    <w:p>
      <w:pPr>
        <w:pStyle w:val="TextBody"/>
        <w:bidi w:val="0"/>
        <w:spacing w:before="160" w:after="0"/>
        <w:jc w:val="left"/>
        <w:rPr>
          <w:rFonts w:ascii="ARIAL" w:hAnsi="ARIAL"/>
          <w:sz w:val="18"/>
        </w:rPr>
      </w:pPr>
      <w:r>
        <w:rPr>
          <w:rFonts w:ascii="ARIAL" w:hAnsi="ARIAL"/>
          <w:b/>
          <w:sz w:val="18"/>
        </w:rPr>
        <w:t>Why you received this proxy statement</w:t>
      </w:r>
      <w:r>
        <w:rPr>
          <w:rFonts w:ascii="ARIAL" w:hAnsi="ARIAL"/>
          <w:sz w:val="18"/>
        </w:rPr>
        <w:t xml:space="preserve">. You are viewing or have received these proxy materials because the Board is soliciting your proxy to vote your shares at the Annual Meeting. This proxy statement includes information that we are required to provide to you under the rules of SEC and that is designed to assist you in voting your shares. </w:t>
      </w:r>
    </w:p>
    <w:p>
      <w:pPr>
        <w:pStyle w:val="TextBody"/>
        <w:bidi w:val="0"/>
        <w:spacing w:before="160" w:after="0"/>
        <w:jc w:val="left"/>
        <w:rPr>
          <w:rFonts w:ascii="ARIAL" w:hAnsi="ARIAL"/>
          <w:sz w:val="18"/>
        </w:rPr>
      </w:pPr>
      <w:r>
        <w:rPr>
          <w:rFonts w:ascii="ARIAL" w:hAnsi="ARIAL"/>
          <w:b/>
          <w:sz w:val="18"/>
        </w:rPr>
        <w:t>Notice of Internet Availability of Proxy Materials</w:t>
      </w:r>
      <w:r>
        <w:rPr>
          <w:rFonts w:ascii="ARIAL" w:hAnsi="ARIAL"/>
          <w:sz w:val="18"/>
        </w:rPr>
        <w:t xml:space="preserve">. As permitted by SEC rules, Fortrea is making this proxy statement and its 2023 Annual Report available to its stockholders electronically via the Internet. On or about March 28, 2024, we mailed to our stockholders a Notice of Internet Availability of Proxy Materials (the “Internet Notice”) containing instructions on how to access this proxy statement and our 2023 Annual Report and vote online. If you received an Internet Notice by mail, you will not receive a printed copy of the proxy materials in the mail unless you specifically request them. Instead, the Internet Notice instructs you on how to access and review all of the important information contained in the proxy statement and 2023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on the Internet Notice. </w:t>
      </w:r>
    </w:p>
    <w:p>
      <w:pPr>
        <w:pStyle w:val="TextBody"/>
        <w:bidi w:val="0"/>
        <w:spacing w:before="160" w:after="0"/>
        <w:jc w:val="left"/>
        <w:rPr>
          <w:rFonts w:ascii="ARIAL" w:hAnsi="ARIAL"/>
          <w:sz w:val="18"/>
        </w:rPr>
      </w:pPr>
      <w:r>
        <w:rPr>
          <w:rFonts w:ascii="ARIAL" w:hAnsi="ARIAL"/>
          <w:b/>
          <w:sz w:val="18"/>
        </w:rPr>
        <w:t xml:space="preserve">Printed Copies of Our Proxy Materials. </w:t>
      </w:r>
      <w:r>
        <w:rPr>
          <w:rFonts w:ascii="ARIAL" w:hAnsi="ARIAL"/>
          <w:sz w:val="18"/>
        </w:rPr>
        <w:t xml:space="preserve">If you received printed copies of our proxy materials, then instructions regarding how you can vote are contained on the proxy card included in the materials. </w:t>
      </w:r>
    </w:p>
    <w:p>
      <w:pPr>
        <w:pStyle w:val="TextBody"/>
        <w:bidi w:val="0"/>
        <w:spacing w:before="160" w:after="0"/>
        <w:jc w:val="left"/>
        <w:rPr>
          <w:rFonts w:ascii="ARIAL" w:hAnsi="ARIAL"/>
          <w:sz w:val="18"/>
        </w:rPr>
      </w:pPr>
      <w:r>
        <w:rPr>
          <w:rFonts w:ascii="ARIAL" w:hAnsi="ARIAL"/>
          <w:b/>
          <w:sz w:val="18"/>
        </w:rPr>
        <w:t>Householding.</w:t>
      </w:r>
      <w:r>
        <w:rPr>
          <w:rFonts w:ascii="ARIAL" w:hAnsi="ARIAL"/>
          <w:sz w:val="18"/>
        </w:rPr>
        <w:t xml:space="preserve"> The SEC’s rules permit us to deliver a single Internet Notice or set of proxy materials to one address shared by two or more of our stockholders. This delivery method is referred to as “householding” and can result in significant cost savings. To take advantage of this opportunity, we have delivered only one Internet Notice or one set of proxy materials to multiple stockholders who share an address, unless we received contrary instructions from the impacted stockholders prior to the mailing date. We agree to deliver promptly, upon written or oral request, a separate copy of the Internet Notice or proxy materials, as requested, to any stockholder at the shared address to which a single copy of those documents was delivered. If you prefer to receive separate copies of the Internet Notice or proxy materials, contact Broadridge Financial Solutions, Inc. at (866) 540-7095 or in writing at Broadridge, Householding Department, 51 Mercedes Way, Edgewood, New York 11717. </w:t>
      </w:r>
    </w:p>
    <w:p>
      <w:pPr>
        <w:pStyle w:val="TextBody"/>
        <w:bidi w:val="0"/>
        <w:spacing w:before="160" w:after="0"/>
        <w:jc w:val="left"/>
        <w:rPr>
          <w:rFonts w:ascii="ARIAL" w:hAnsi="ARIAL"/>
          <w:sz w:val="18"/>
        </w:rPr>
      </w:pPr>
      <w:r>
        <w:rPr>
          <w:rFonts w:ascii="ARIAL" w:hAnsi="ARIAL"/>
          <w:sz w:val="18"/>
        </w:rPr>
        <w:t xml:space="preserve">If you are currently a stockholder sharing an address with another stockholder and wish to receive only one copy of future Internet Notices or proxy materials for your household, please contact Broadridge at the above phone number or address.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4</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40"/>
        </w:rPr>
      </w:pPr>
      <w:bookmarkStart w:id="8" w:name="toc814840_6"/>
      <w:bookmarkEnd w:id="8"/>
      <w:r>
        <w:rPr>
          <w:rFonts w:ascii="Times New Roman" w:hAnsi="Times New Roman"/>
          <w:sz w:val="40"/>
        </w:rPr>
        <w:t xml:space="preserve">Questions and Answers about the 2024 Annual Meeting of Stockholders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120" w:after="0"/>
        <w:jc w:val="left"/>
        <w:rPr>
          <w:rFonts w:ascii="ARIAL" w:hAnsi="ARIAL"/>
          <w:sz w:val="20"/>
        </w:rPr>
      </w:pPr>
      <w:r>
        <w:rPr>
          <w:rFonts w:ascii="ARIAL" w:hAnsi="ARIAL"/>
          <w:b/>
          <w:sz w:val="20"/>
        </w:rPr>
        <w:t>Who is entitled to vote at the Annual Meeting?</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The Record Date for the Annual Meeting is March 20, 2024. You are entitled to vote at the Annual Meeting only if you were a stockholder of record at the close of business on that date or if you hold a valid proxy for the Annual Meeting. Each outstanding share of Common Stock is entitled to one vote for all matters before the Annual Meeting. At the close of business on the Record Date, there were 89,374,032 shares of Common Stock outstanding and entitled to vote at the Annual Meeting. </w:t>
      </w:r>
    </w:p>
    <w:p>
      <w:pPr>
        <w:pStyle w:val="TextBody"/>
        <w:bidi w:val="0"/>
        <w:spacing w:before="360" w:after="0"/>
        <w:jc w:val="left"/>
        <w:rPr>
          <w:rFonts w:ascii="ARIAL" w:hAnsi="ARIAL"/>
          <w:sz w:val="20"/>
        </w:rPr>
      </w:pPr>
      <w:r>
        <w:rPr>
          <w:rFonts w:ascii="ARIAL" w:hAnsi="ARIAL"/>
          <w:b/>
          <w:sz w:val="20"/>
        </w:rPr>
        <w:t>What is the difference between being a “record holder” and holding shares in “street name”?</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A record holder holds shares in his or her name. That is, shares are registered in your name with our transfer agent. Shares held in “street name” means shares that are held in the name of a bank or broker on a person’s behalf. </w:t>
      </w:r>
    </w:p>
    <w:p>
      <w:pPr>
        <w:pStyle w:val="TextBody"/>
        <w:bidi w:val="0"/>
        <w:spacing w:before="360" w:after="0"/>
        <w:jc w:val="left"/>
        <w:rPr>
          <w:rFonts w:ascii="ARIAL" w:hAnsi="ARIAL"/>
          <w:sz w:val="20"/>
        </w:rPr>
      </w:pPr>
      <w:r>
        <w:rPr>
          <w:rFonts w:ascii="ARIAL" w:hAnsi="ARIAL"/>
          <w:b/>
          <w:sz w:val="20"/>
        </w:rPr>
        <w:t>Am I entitled to vote if my shares are held in “street name”?</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Yes. If your shares are held by a bank or a brokerage firm, you are considered the “beneficial owner” of those shares held in “street name.” If your shares are held in street name, these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your shares are held in street name, you may not vote your shares at the Annual Meeting, unless you obtain a legal proxy from your bank or brokerage firm, signed on behalf of the broker or nominee, granting you authority to vote the shares. </w:t>
      </w:r>
    </w:p>
    <w:p>
      <w:pPr>
        <w:pStyle w:val="TextBody"/>
        <w:bidi w:val="0"/>
        <w:spacing w:before="360" w:after="0"/>
        <w:jc w:val="left"/>
        <w:rPr>
          <w:rFonts w:ascii="ARIAL" w:hAnsi="ARIAL"/>
          <w:sz w:val="20"/>
        </w:rPr>
      </w:pPr>
      <w:r>
        <w:rPr>
          <w:rFonts w:ascii="ARIAL" w:hAnsi="ARIAL"/>
          <w:b/>
          <w:sz w:val="20"/>
        </w:rPr>
        <w:t>How many shares must be present to hold the Annual Meeting?</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A quorum must be present at the Annual Meeting for any business to be conducted. The presence at the Annual Meeting, in person or by proxy, of the holders of a majority in voting power of the Common Stock issued and outstanding and entitled to vote on the Record Date will constitute a quorum. </w:t>
      </w:r>
    </w:p>
    <w:p>
      <w:pPr>
        <w:pStyle w:val="TextBody"/>
        <w:bidi w:val="0"/>
        <w:spacing w:before="360" w:after="0"/>
        <w:jc w:val="left"/>
        <w:rPr>
          <w:rFonts w:ascii="ARIAL" w:hAnsi="ARIAL"/>
          <w:sz w:val="20"/>
        </w:rPr>
      </w:pPr>
      <w:r>
        <w:rPr>
          <w:rFonts w:ascii="ARIAL" w:hAnsi="ARIAL"/>
          <w:b/>
          <w:sz w:val="20"/>
        </w:rPr>
        <w:t>Who can attend the Annual Meeting?</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We will be hosting the Annual Meeting in person. The meeting will start at 7:30 a.m. Eastern Time on May 14, 2024. You may attend the Annual Meeting only if you are a Fortrea stockholder who is entitled to vote at the Annual Meeting or if you hold a valid proxy for the Annual Meeting. </w:t>
      </w:r>
    </w:p>
    <w:p>
      <w:pPr>
        <w:pStyle w:val="TextBody"/>
        <w:bidi w:val="0"/>
        <w:spacing w:before="360" w:after="0"/>
        <w:jc w:val="left"/>
        <w:rPr>
          <w:rFonts w:ascii="ARIAL" w:hAnsi="ARIAL"/>
          <w:sz w:val="20"/>
        </w:rPr>
      </w:pPr>
      <w:r>
        <w:rPr>
          <w:rFonts w:ascii="ARIAL" w:hAnsi="ARIAL"/>
          <w:b/>
          <w:sz w:val="20"/>
        </w:rPr>
        <w:t>What if a quorum is not present at the Annual Meeting?</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If a quorum is not present at the scheduled time of the Annual Meeting, the presiding officer of the Annual Meeting may postpone or adjourn the Annual Meeting until a quorum is present or represented. </w:t>
      </w:r>
    </w:p>
    <w:p>
      <w:pPr>
        <w:pStyle w:val="TextBody"/>
        <w:bidi w:val="0"/>
        <w:spacing w:before="360" w:after="0"/>
        <w:jc w:val="left"/>
        <w:rPr>
          <w:rFonts w:ascii="ARIAL" w:hAnsi="ARIAL"/>
          <w:sz w:val="20"/>
        </w:rPr>
      </w:pPr>
      <w:r>
        <w:rPr>
          <w:rFonts w:ascii="ARIAL" w:hAnsi="ARIAL"/>
          <w:b/>
          <w:sz w:val="20"/>
        </w:rPr>
        <w:t>What does it mean if I receive more than one Internet Notice or more than one set of proxy materials?</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postage-paid envelope. </w:t>
      </w:r>
    </w:p>
    <w:p>
      <w:pPr>
        <w:pStyle w:val="TextBody"/>
        <w:bidi w:val="0"/>
        <w:spacing w:before="360" w:after="0"/>
        <w:jc w:val="left"/>
        <w:rPr>
          <w:rFonts w:ascii="ARIAL" w:hAnsi="ARIAL"/>
          <w:sz w:val="20"/>
        </w:rPr>
      </w:pPr>
      <w:r>
        <w:rPr>
          <w:rFonts w:ascii="ARIAL" w:hAnsi="ARIAL"/>
          <w:b/>
          <w:sz w:val="20"/>
        </w:rPr>
        <w:t>How do I vote?</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Whether you plan to attend the annual meeting or not, we recommend that stockholders vote by proxy. If you are a stockholder of record, there are three ways to vote by proxy: </w:t>
      </w:r>
    </w:p>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125"/>
        <w:gridCol w:w="60"/>
        <w:gridCol w:w="94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ARIAL" w:hAnsi="ARIAL"/>
                <w:sz w:val="18"/>
              </w:rPr>
            </w:pPr>
            <w:r>
              <w:rPr>
                <w:rFonts w:ascii="ARIAL" w:hAnsi="ARIAL"/>
                <w:b/>
                <w:sz w:val="18"/>
              </w:rPr>
              <w:t>By Internet or by Telephone</w:t>
            </w:r>
            <w:r>
              <w:rPr>
                <w:rFonts w:ascii="ARIAL" w:hAnsi="ARIAL"/>
                <w:sz w:val="18"/>
              </w:rPr>
              <w:t xml:space="preserve">—You can vote by Internet or telephone by following the instructions on the proxy card.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5</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QUESTIONS AND ANSWERS ABOUT THE 2024 ANNUAL MEETING OF STOCKHOLDERS </w:t>
      </w:r>
    </w:p>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125"/>
        <w:gridCol w:w="60"/>
        <w:gridCol w:w="94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55" w:type="dxa"/>
            <w:tcBorders/>
            <w:vAlign w:val="center"/>
          </w:tcPr>
          <w:p>
            <w:pPr>
              <w:pStyle w:val="TableContents"/>
              <w:bidi w:val="0"/>
              <w:spacing w:before="0" w:after="0"/>
              <w:jc w:val="left"/>
              <w:rPr>
                <w:rFonts w:ascii="ARIAL" w:hAnsi="ARIAL"/>
                <w:sz w:val="18"/>
              </w:rPr>
            </w:pPr>
            <w:r>
              <w:rPr>
                <w:rFonts w:ascii="ARIAL" w:hAnsi="ARIAL"/>
                <w:b/>
                <w:sz w:val="18"/>
              </w:rPr>
              <w:t>By Mail</w:t>
            </w:r>
            <w:r>
              <w:rPr>
                <w:rFonts w:ascii="ARIAL" w:hAnsi="ARIAL"/>
                <w:sz w:val="18"/>
              </w:rPr>
              <w:t xml:space="preserve">—You can vote by mail by signing, dating and mailing the proxy card, which you may have received by mail.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In person at the meeting</w:t>
            </w:r>
            <w:r>
              <w:rPr>
                <w:rFonts w:ascii="ARIAL" w:hAnsi="ARIAL"/>
                <w:sz w:val="18"/>
              </w:rPr>
              <w:t xml:space="preserve">—If you attend the meeting, you may deliver a completed proxy card in person or you may vote by completing a ballot, which will be available at the meeting. </w:t>
            </w:r>
          </w:p>
        </w:tc>
      </w:tr>
    </w:tbl>
    <w:p>
      <w:pPr>
        <w:pStyle w:val="TextBody"/>
        <w:bidi w:val="0"/>
        <w:spacing w:before="160" w:after="0"/>
        <w:jc w:val="left"/>
        <w:rPr>
          <w:rFonts w:ascii="ARIAL" w:hAnsi="ARIAL"/>
          <w:sz w:val="18"/>
        </w:rPr>
      </w:pPr>
      <w:r>
        <w:rPr>
          <w:rFonts w:ascii="ARIAL" w:hAnsi="ARIAL"/>
          <w:sz w:val="18"/>
        </w:rPr>
        <w:t xml:space="preserve">Telephone and Internet voting facilities for stockholders of record will be available 24 hours a day and will close at 11:59 p.m., Eastern Time, on May 13, 2024. If your shares are held in street name through a bank or broker, you will receive instructions on how to vote from the bank or broker. You must follow their instructions in order for your shares to be voted. Telephone and Internet voting also may be offered to stockholders owning shares through certain banks and brokers. If your shares are not registered in your own name and you would like to vote your shares at the Annual Meeting, you should contact your bank or broker to obtain a legal proxy. </w:t>
      </w:r>
    </w:p>
    <w:p>
      <w:pPr>
        <w:pStyle w:val="TextBody"/>
        <w:bidi w:val="0"/>
        <w:spacing w:before="360" w:after="0"/>
        <w:jc w:val="left"/>
        <w:rPr>
          <w:rFonts w:ascii="ARIAL" w:hAnsi="ARIAL"/>
          <w:sz w:val="20"/>
        </w:rPr>
      </w:pPr>
      <w:r>
        <w:rPr>
          <w:rFonts w:ascii="ARIAL" w:hAnsi="ARIAL"/>
          <w:b/>
          <w:sz w:val="20"/>
        </w:rPr>
        <w:t>Can I change my vote after I submit my proxy?</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Yes. </w:t>
      </w:r>
    </w:p>
    <w:p>
      <w:pPr>
        <w:pStyle w:val="TextBody"/>
        <w:bidi w:val="0"/>
        <w:spacing w:before="160" w:after="0"/>
        <w:jc w:val="left"/>
        <w:rPr>
          <w:rFonts w:ascii="ARIAL" w:hAnsi="ARIAL"/>
          <w:sz w:val="18"/>
        </w:rPr>
      </w:pPr>
      <w:r>
        <w:rPr>
          <w:rFonts w:ascii="ARIAL" w:hAnsi="ARIAL"/>
          <w:sz w:val="18"/>
        </w:rPr>
        <w:t xml:space="preserve">If you are a record stockholder (i.e., your shares are registered in your name with our transfer agent), you may revoke your proxy and change your vote: </w:t>
      </w:r>
    </w:p>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125"/>
        <w:gridCol w:w="60"/>
        <w:gridCol w:w="72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left"/>
              <w:rPr>
                <w:rFonts w:ascii="ARIAL" w:hAnsi="ARIAL"/>
                <w:sz w:val="18"/>
              </w:rPr>
            </w:pPr>
            <w:r>
              <w:rPr>
                <w:rFonts w:ascii="ARIAL" w:hAnsi="ARIAL"/>
                <w:sz w:val="18"/>
              </w:rPr>
              <w:t xml:space="preserve">by delivering to our Corporate Secretary a duly executed new proxy bearing a later date;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125"/>
        <w:gridCol w:w="60"/>
        <w:gridCol w:w="540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05" w:type="dxa"/>
            <w:tcBorders/>
            <w:vAlign w:val="center"/>
          </w:tcPr>
          <w:p>
            <w:pPr>
              <w:pStyle w:val="TableContents"/>
              <w:bidi w:val="0"/>
              <w:spacing w:before="0" w:after="0"/>
              <w:jc w:val="left"/>
              <w:rPr>
                <w:rFonts w:ascii="ARIAL" w:hAnsi="ARIAL"/>
                <w:sz w:val="18"/>
              </w:rPr>
            </w:pPr>
            <w:r>
              <w:rPr>
                <w:rFonts w:ascii="ARIAL" w:hAnsi="ARIAL"/>
                <w:sz w:val="18"/>
              </w:rPr>
              <w:t xml:space="preserve">by granting a subsequent proxy through the Internet or telephone; </w:t>
            </w:r>
          </w:p>
        </w:tc>
      </w:tr>
    </w:tbl>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125"/>
        <w:gridCol w:w="60"/>
        <w:gridCol w:w="83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315" w:type="dxa"/>
            <w:tcBorders/>
            <w:vAlign w:val="center"/>
          </w:tcPr>
          <w:p>
            <w:pPr>
              <w:pStyle w:val="TableContents"/>
              <w:bidi w:val="0"/>
              <w:spacing w:before="0" w:after="0"/>
              <w:jc w:val="left"/>
              <w:rPr>
                <w:rFonts w:ascii="ARIAL" w:hAnsi="ARIAL"/>
                <w:sz w:val="18"/>
              </w:rPr>
            </w:pPr>
            <w:r>
              <w:rPr>
                <w:rFonts w:ascii="ARIAL" w:hAnsi="ARIAL"/>
                <w:sz w:val="18"/>
              </w:rPr>
              <w:t xml:space="preserve">by delivering a revocation of the proxy to our Corporate Secretary prior to or when the vote is taken; or </w:t>
            </w:r>
          </w:p>
        </w:tc>
      </w:tr>
    </w:tbl>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125"/>
        <w:gridCol w:w="60"/>
        <w:gridCol w:w="350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left"/>
              <w:rPr>
                <w:rFonts w:ascii="ARIAL" w:hAnsi="ARIAL"/>
                <w:sz w:val="18"/>
              </w:rPr>
            </w:pPr>
            <w:r>
              <w:rPr>
                <w:rFonts w:ascii="ARIAL" w:hAnsi="ARIAL"/>
                <w:sz w:val="18"/>
              </w:rPr>
              <w:t xml:space="preserve">by voting in person at the Annual Meeting. </w:t>
            </w:r>
          </w:p>
        </w:tc>
      </w:tr>
    </w:tbl>
    <w:p>
      <w:pPr>
        <w:pStyle w:val="TextBody"/>
        <w:bidi w:val="0"/>
        <w:spacing w:before="120" w:after="0"/>
        <w:jc w:val="left"/>
        <w:rPr>
          <w:rFonts w:ascii="ARIAL" w:hAnsi="ARIAL"/>
          <w:sz w:val="18"/>
        </w:rPr>
      </w:pPr>
      <w:r>
        <w:rPr>
          <w:rFonts w:ascii="ARIAL" w:hAnsi="ARIAL"/>
          <w:sz w:val="18"/>
        </w:rPr>
        <w:t xml:space="preserve">Your most recent proxy card or telephone or Internet proxy is the one that is counted. Your attendance at the Annual Meeting by itself will not revoke your proxy unless you give written notice of revocation to the Corporate Secretary before your proxy is voted or you vote at the Annual Meeting. </w:t>
      </w:r>
    </w:p>
    <w:p>
      <w:pPr>
        <w:pStyle w:val="TextBody"/>
        <w:bidi w:val="0"/>
        <w:spacing w:before="120" w:after="0"/>
        <w:jc w:val="left"/>
        <w:rPr>
          <w:rFonts w:ascii="ARIAL" w:hAnsi="ARIAL"/>
          <w:sz w:val="18"/>
        </w:rPr>
      </w:pPr>
      <w:r>
        <w:rPr>
          <w:rFonts w:ascii="ARIAL" w:hAnsi="ARIAL"/>
          <w:sz w:val="18"/>
        </w:rPr>
        <w:t xml:space="preserve">If your shares are held in street name (i.e., through a broker or bank), you may change or revoke your voting instructions by following the specific directions provided to you by your bank or broker, or you may vote in person at the Annual Meeting by obtaining a legal proxy from your bank or broker and submitting the legal proxy along with your ballot. </w:t>
      </w:r>
    </w:p>
    <w:p>
      <w:pPr>
        <w:pStyle w:val="TextBody"/>
        <w:bidi w:val="0"/>
        <w:spacing w:before="360" w:after="0"/>
        <w:jc w:val="left"/>
        <w:rPr>
          <w:rFonts w:ascii="ARIAL" w:hAnsi="ARIAL"/>
          <w:sz w:val="20"/>
        </w:rPr>
      </w:pPr>
      <w:r>
        <w:rPr>
          <w:rFonts w:ascii="ARIAL" w:hAnsi="ARIAL"/>
          <w:b/>
          <w:sz w:val="20"/>
        </w:rPr>
        <w:t>Who will count the votes?</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Broadridge Financial Solutions, our independent proxy tabulator, will count the votes. Stillman Hanson, our General Counsel and Corporate Secretary, or his designee, will act as inspector of elections for the Annual Meeting. </w:t>
      </w:r>
    </w:p>
    <w:p>
      <w:pPr>
        <w:pStyle w:val="TextBody"/>
        <w:bidi w:val="0"/>
        <w:spacing w:before="360" w:after="0"/>
        <w:jc w:val="left"/>
        <w:rPr>
          <w:rFonts w:ascii="ARIAL" w:hAnsi="ARIAL"/>
          <w:sz w:val="20"/>
        </w:rPr>
      </w:pPr>
      <w:r>
        <w:rPr>
          <w:rFonts w:ascii="ARIAL" w:hAnsi="ARIAL"/>
          <w:b/>
          <w:sz w:val="20"/>
        </w:rPr>
        <w:t>What if I do not specify how my shares are to be voted?</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If you submit a proxy but do not indicate any voting instructions, the persons named as proxies will vote in accordance with the recommendations of the Board. The Board’s recommendations are indicated on page 3 of this proxy statement, along with the description of each proposal in this proxy statement. </w:t>
      </w:r>
    </w:p>
    <w:p>
      <w:pPr>
        <w:pStyle w:val="TextBody"/>
        <w:bidi w:val="0"/>
        <w:spacing w:before="360" w:after="0"/>
        <w:jc w:val="left"/>
        <w:rPr>
          <w:rFonts w:ascii="ARIAL" w:hAnsi="ARIAL"/>
          <w:sz w:val="20"/>
        </w:rPr>
      </w:pPr>
      <w:r>
        <w:rPr>
          <w:rFonts w:ascii="ARIAL" w:hAnsi="ARIAL"/>
          <w:b/>
          <w:sz w:val="20"/>
        </w:rPr>
        <w:t>Will any other business be conducted at the Annual Meeting?</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We know of no other business that will be presented at the Annual Meeting. If any other matter properly comes before the stockholders for a vote at the Annual Meeting, however, the proxy holders named on the Company’s proxy card will vote your shares in their discretion.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6</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0"/>
        </w:rPr>
      </w:pPr>
      <w:r>
        <w:rPr>
          <w:rFonts w:ascii="Times New Roman" w:hAnsi="Times New Roman"/>
          <w:b/>
          <w:sz w:val="20"/>
        </w:rPr>
        <w:t xml:space="preserve">QUESTIONS AND ANSWERS ABOUT THE 2024 ANNUAL MEETING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How many votes are required for the approval of the proposals to be voted upon and how will abstentions and broker non-votes be treated?</w:t>
      </w:r>
      <w:r>
        <w:rPr>
          <w:rFonts w:ascii="ARIAL" w:hAnsi="ARIAL"/>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8"/>
        <w:gridCol w:w="120"/>
        <w:gridCol w:w="3926"/>
        <w:gridCol w:w="120"/>
        <w:gridCol w:w="3231"/>
      </w:tblGrid>
      <w:tr>
        <w:trPr/>
        <w:tc>
          <w:tcPr>
            <w:tcW w:w="28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31" w:type="dxa"/>
            <w:tcBorders/>
            <w:vAlign w:val="center"/>
          </w:tcPr>
          <w:p>
            <w:pPr>
              <w:pStyle w:val="TableContents"/>
              <w:bidi w:val="0"/>
              <w:spacing w:before="0" w:after="283"/>
              <w:jc w:val="left"/>
              <w:rPr>
                <w:sz w:val="4"/>
                <w:szCs w:val="4"/>
              </w:rPr>
            </w:pPr>
            <w:r>
              <w:rPr>
                <w:sz w:val="4"/>
                <w:szCs w:val="4"/>
              </w:rPr>
            </w:r>
          </w:p>
        </w:tc>
      </w:tr>
      <w:tr>
        <w:trPr/>
        <w:tc>
          <w:tcPr>
            <w:tcW w:w="2808" w:type="dxa"/>
            <w:tcBorders/>
            <w:shd w:fill="0BC11C" w:val="clear"/>
            <w:vAlign w:val="center"/>
          </w:tcPr>
          <w:p>
            <w:pPr>
              <w:pStyle w:val="TableContents"/>
              <w:bidi w:val="0"/>
              <w:spacing w:before="0" w:after="283"/>
              <w:jc w:val="left"/>
              <w:rPr>
                <w:sz w:val="4"/>
                <w:szCs w:val="4"/>
              </w:rPr>
            </w:pPr>
            <w:r>
              <w:rPr>
                <w:sz w:val="4"/>
                <w:szCs w:val="4"/>
              </w:rPr>
            </w:r>
          </w:p>
        </w:tc>
        <w:tc>
          <w:tcPr>
            <w:tcW w:w="4046" w:type="dxa"/>
            <w:gridSpan w:val="2"/>
            <w:tcBorders/>
            <w:shd w:fill="0BC11C" w:val="clear"/>
            <w:vAlign w:val="center"/>
          </w:tcPr>
          <w:p>
            <w:pPr>
              <w:pStyle w:val="TableContents"/>
              <w:bidi w:val="0"/>
              <w:spacing w:before="0" w:after="283"/>
              <w:jc w:val="left"/>
              <w:rPr>
                <w:sz w:val="4"/>
                <w:szCs w:val="4"/>
              </w:rPr>
            </w:pPr>
            <w:r>
              <w:rPr>
                <w:sz w:val="4"/>
                <w:szCs w:val="4"/>
              </w:rPr>
            </w:r>
          </w:p>
        </w:tc>
        <w:tc>
          <w:tcPr>
            <w:tcW w:w="3351" w:type="dxa"/>
            <w:gridSpan w:val="2"/>
            <w:tcBorders/>
            <w:shd w:fill="0BC11C" w:val="clear"/>
            <w:vAlign w:val="center"/>
          </w:tcPr>
          <w:p>
            <w:pPr>
              <w:pStyle w:val="TableContents"/>
              <w:bidi w:val="0"/>
              <w:spacing w:before="0" w:after="283"/>
              <w:jc w:val="left"/>
              <w:rPr>
                <w:sz w:val="4"/>
                <w:szCs w:val="4"/>
              </w:rPr>
            </w:pPr>
            <w:r>
              <w:rPr>
                <w:sz w:val="4"/>
                <w:szCs w:val="4"/>
              </w:rPr>
            </w:r>
          </w:p>
        </w:tc>
      </w:tr>
      <w:tr>
        <w:trPr/>
        <w:tc>
          <w:tcPr>
            <w:tcW w:w="2808" w:type="dxa"/>
            <w:tcBorders/>
            <w:shd w:fill="0BC11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Proposal</w:t>
            </w:r>
          </w:p>
        </w:tc>
        <w:tc>
          <w:tcPr>
            <w:tcW w:w="120" w:type="dxa"/>
            <w:tcBorders/>
            <w:shd w:fill="0BC11C" w:val="clear"/>
            <w:vAlign w:val="center"/>
          </w:tcPr>
          <w:p>
            <w:pPr>
              <w:pStyle w:val="TableContents"/>
              <w:bidi w:val="0"/>
              <w:spacing w:before="0" w:after="283"/>
              <w:jc w:val="left"/>
              <w:rPr/>
            </w:pPr>
            <w:r>
              <w:rPr/>
              <w:t>  </w:t>
            </w:r>
          </w:p>
        </w:tc>
        <w:tc>
          <w:tcPr>
            <w:tcW w:w="3926" w:type="dxa"/>
            <w:tcBorders/>
            <w:shd w:fill="0BC11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Votes required</w:t>
            </w:r>
          </w:p>
        </w:tc>
        <w:tc>
          <w:tcPr>
            <w:tcW w:w="120" w:type="dxa"/>
            <w:tcBorders/>
            <w:shd w:fill="0BC11C" w:val="clear"/>
            <w:vAlign w:val="center"/>
          </w:tcPr>
          <w:p>
            <w:pPr>
              <w:pStyle w:val="TableContents"/>
              <w:bidi w:val="0"/>
              <w:spacing w:before="0" w:after="283"/>
              <w:jc w:val="left"/>
              <w:rPr/>
            </w:pPr>
            <w:r>
              <w:rPr/>
              <w:t>  </w:t>
            </w:r>
          </w:p>
        </w:tc>
        <w:tc>
          <w:tcPr>
            <w:tcW w:w="3231" w:type="dxa"/>
            <w:tcBorders/>
            <w:shd w:fill="0BC11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Effect of Abstentions and</w:t>
            </w:r>
          </w:p>
          <w:p>
            <w:pPr>
              <w:pStyle w:val="TableContents"/>
              <w:bidi w:val="0"/>
              <w:spacing w:before="0" w:after="20"/>
              <w:jc w:val="left"/>
              <w:rPr>
                <w:rFonts w:ascii="ARIAL" w:hAnsi="ARIAL"/>
                <w:b/>
                <w:color w:val="FFFFFF"/>
                <w:sz w:val="16"/>
              </w:rPr>
            </w:pPr>
            <w:r>
              <w:rPr>
                <w:rFonts w:ascii="ARIAL" w:hAnsi="ARIAL"/>
                <w:b/>
                <w:color w:val="FFFFFF"/>
                <w:sz w:val="16"/>
              </w:rPr>
              <w:t>Broker Non-Votes</w:t>
            </w:r>
          </w:p>
        </w:tc>
      </w:tr>
      <w:tr>
        <w:trPr/>
        <w:tc>
          <w:tcPr>
            <w:tcW w:w="2808" w:type="dxa"/>
            <w:tcBorders/>
            <w:vAlign w:val="center"/>
          </w:tcPr>
          <w:p>
            <w:pPr>
              <w:pStyle w:val="TableContents"/>
              <w:bidi w:val="0"/>
              <w:spacing w:before="0" w:after="283"/>
              <w:jc w:val="left"/>
              <w:rPr>
                <w:sz w:val="4"/>
                <w:szCs w:val="4"/>
              </w:rPr>
            </w:pPr>
            <w:r>
              <w:rPr>
                <w:sz w:val="4"/>
                <w:szCs w:val="4"/>
              </w:rPr>
            </w:r>
          </w:p>
        </w:tc>
        <w:tc>
          <w:tcPr>
            <w:tcW w:w="4046" w:type="dxa"/>
            <w:gridSpan w:val="2"/>
            <w:tcBorders/>
            <w:vAlign w:val="center"/>
          </w:tcPr>
          <w:p>
            <w:pPr>
              <w:pStyle w:val="TableContents"/>
              <w:bidi w:val="0"/>
              <w:spacing w:before="0" w:after="283"/>
              <w:jc w:val="left"/>
              <w:rPr>
                <w:sz w:val="4"/>
                <w:szCs w:val="4"/>
              </w:rPr>
            </w:pPr>
            <w:r>
              <w:rPr>
                <w:sz w:val="4"/>
                <w:szCs w:val="4"/>
              </w:rPr>
            </w:r>
          </w:p>
        </w:tc>
        <w:tc>
          <w:tcPr>
            <w:tcW w:w="3351" w:type="dxa"/>
            <w:gridSpan w:val="2"/>
            <w:tcBorders/>
            <w:vAlign w:val="center"/>
          </w:tcPr>
          <w:p>
            <w:pPr>
              <w:pStyle w:val="TableContents"/>
              <w:bidi w:val="0"/>
              <w:spacing w:before="0" w:after="283"/>
              <w:jc w:val="left"/>
              <w:rPr>
                <w:sz w:val="4"/>
                <w:szCs w:val="4"/>
              </w:rPr>
            </w:pPr>
            <w:r>
              <w:rPr>
                <w:sz w:val="4"/>
                <w:szCs w:val="4"/>
              </w:rPr>
            </w:r>
          </w:p>
        </w:tc>
      </w:tr>
      <w:tr>
        <w:trPr/>
        <w:tc>
          <w:tcPr>
            <w:tcW w:w="2808" w:type="dxa"/>
            <w:tcBorders/>
            <w:vAlign w:val="center"/>
          </w:tcPr>
          <w:p>
            <w:pPr>
              <w:pStyle w:val="TableContents"/>
              <w:bidi w:val="0"/>
              <w:spacing w:before="0" w:after="0"/>
              <w:jc w:val="left"/>
              <w:rPr>
                <w:rFonts w:ascii="ARIAL" w:hAnsi="ARIAL"/>
                <w:sz w:val="18"/>
              </w:rPr>
            </w:pPr>
            <w:r>
              <w:rPr>
                <w:rFonts w:ascii="ARIAL" w:hAnsi="ARIAL"/>
                <w:b/>
                <w:sz w:val="18"/>
              </w:rPr>
              <w:t xml:space="preserve">Proposal 1: </w:t>
            </w:r>
            <w:r>
              <w:rPr>
                <w:rFonts w:ascii="ARIAL" w:hAnsi="ARIAL"/>
                <w:sz w:val="18"/>
              </w:rPr>
              <w:t>Election of Directors</w:t>
            </w:r>
          </w:p>
        </w:tc>
        <w:tc>
          <w:tcPr>
            <w:tcW w:w="120" w:type="dxa"/>
            <w:tcBorders/>
            <w:vAlign w:val="center"/>
          </w:tcPr>
          <w:p>
            <w:pPr>
              <w:pStyle w:val="TableContents"/>
              <w:bidi w:val="0"/>
              <w:spacing w:before="0" w:after="283"/>
              <w:jc w:val="left"/>
              <w:rPr/>
            </w:pPr>
            <w:r>
              <w:rPr/>
              <w:t>  </w:t>
            </w:r>
          </w:p>
        </w:tc>
        <w:tc>
          <w:tcPr>
            <w:tcW w:w="3926" w:type="dxa"/>
            <w:tcBorders/>
            <w:vAlign w:val="center"/>
          </w:tcPr>
          <w:p>
            <w:pPr>
              <w:pStyle w:val="TableContents"/>
              <w:bidi w:val="0"/>
              <w:spacing w:before="0" w:after="283"/>
              <w:jc w:val="left"/>
              <w:rPr/>
            </w:pPr>
            <w:r>
              <w:rPr/>
              <w:t>The majority of the votes cast. This means that the number of shares voted “for” a director’s election exceeds 50% of the number of votes cast with respect to that director’s election.</w:t>
            </w:r>
          </w:p>
        </w:tc>
        <w:tc>
          <w:tcPr>
            <w:tcW w:w="120" w:type="dxa"/>
            <w:tcBorders/>
            <w:vAlign w:val="center"/>
          </w:tcPr>
          <w:p>
            <w:pPr>
              <w:pStyle w:val="TableContents"/>
              <w:bidi w:val="0"/>
              <w:spacing w:before="0" w:after="283"/>
              <w:jc w:val="left"/>
              <w:rPr/>
            </w:pPr>
            <w:r>
              <w:rPr/>
              <w:t>  </w:t>
            </w:r>
          </w:p>
        </w:tc>
        <w:tc>
          <w:tcPr>
            <w:tcW w:w="3231" w:type="dxa"/>
            <w:tcBorders/>
            <w:vAlign w:val="center"/>
          </w:tcPr>
          <w:p>
            <w:pPr>
              <w:pStyle w:val="TableContents"/>
              <w:bidi w:val="0"/>
              <w:spacing w:before="0" w:after="283"/>
              <w:jc w:val="left"/>
              <w:rPr/>
            </w:pPr>
            <w:r>
              <w:rPr/>
              <w:t>Abstentions and broker non-votes will have no effect.</w:t>
            </w:r>
          </w:p>
        </w:tc>
      </w:tr>
      <w:tr>
        <w:trPr/>
        <w:tc>
          <w:tcPr>
            <w:tcW w:w="2808" w:type="dxa"/>
            <w:tcBorders/>
            <w:shd w:fill="EDEDED" w:val="clear"/>
            <w:vAlign w:val="center"/>
          </w:tcPr>
          <w:p>
            <w:pPr>
              <w:pStyle w:val="TableContents"/>
              <w:bidi w:val="0"/>
              <w:spacing w:before="0" w:after="283"/>
              <w:jc w:val="left"/>
              <w:rPr>
                <w:sz w:val="4"/>
                <w:szCs w:val="4"/>
              </w:rPr>
            </w:pPr>
            <w:r>
              <w:rPr>
                <w:sz w:val="4"/>
                <w:szCs w:val="4"/>
              </w:rPr>
            </w:r>
          </w:p>
        </w:tc>
        <w:tc>
          <w:tcPr>
            <w:tcW w:w="4046" w:type="dxa"/>
            <w:gridSpan w:val="2"/>
            <w:tcBorders/>
            <w:shd w:fill="EDEDED" w:val="clear"/>
            <w:vAlign w:val="center"/>
          </w:tcPr>
          <w:p>
            <w:pPr>
              <w:pStyle w:val="TableContents"/>
              <w:bidi w:val="0"/>
              <w:spacing w:before="0" w:after="283"/>
              <w:jc w:val="left"/>
              <w:rPr>
                <w:sz w:val="4"/>
                <w:szCs w:val="4"/>
              </w:rPr>
            </w:pPr>
            <w:r>
              <w:rPr>
                <w:sz w:val="4"/>
                <w:szCs w:val="4"/>
              </w:rPr>
            </w:r>
          </w:p>
        </w:tc>
        <w:tc>
          <w:tcPr>
            <w:tcW w:w="3351"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808" w:type="dxa"/>
            <w:tcBorders/>
            <w:shd w:fill="EDEDED" w:val="clear"/>
            <w:vAlign w:val="center"/>
          </w:tcPr>
          <w:p>
            <w:pPr>
              <w:pStyle w:val="TableContents"/>
              <w:bidi w:val="0"/>
              <w:spacing w:before="0" w:after="0"/>
              <w:jc w:val="left"/>
              <w:rPr>
                <w:rFonts w:ascii="ARIAL" w:hAnsi="ARIAL"/>
                <w:sz w:val="18"/>
              </w:rPr>
            </w:pPr>
            <w:r>
              <w:rPr>
                <w:rFonts w:ascii="ARIAL" w:hAnsi="ARIAL"/>
                <w:b/>
                <w:sz w:val="18"/>
              </w:rPr>
              <w:t xml:space="preserve">Proposal 2: </w:t>
            </w:r>
            <w:r>
              <w:rPr>
                <w:rFonts w:ascii="ARIAL" w:hAnsi="ARIAL"/>
                <w:sz w:val="18"/>
              </w:rPr>
              <w:t>Ratification of Appointment of Independent Registered Public Accounting Firm</w:t>
            </w:r>
          </w:p>
        </w:tc>
        <w:tc>
          <w:tcPr>
            <w:tcW w:w="120" w:type="dxa"/>
            <w:tcBorders/>
            <w:shd w:fill="EDEDED" w:val="clear"/>
            <w:vAlign w:val="center"/>
          </w:tcPr>
          <w:p>
            <w:pPr>
              <w:pStyle w:val="TableContents"/>
              <w:bidi w:val="0"/>
              <w:spacing w:before="0" w:after="283"/>
              <w:jc w:val="left"/>
              <w:rPr/>
            </w:pPr>
            <w:r>
              <w:rPr/>
              <w:t>  </w:t>
            </w:r>
          </w:p>
        </w:tc>
        <w:tc>
          <w:tcPr>
            <w:tcW w:w="3926" w:type="dxa"/>
            <w:tcBorders/>
            <w:shd w:fill="EDEDED" w:val="clear"/>
            <w:vAlign w:val="center"/>
          </w:tcPr>
          <w:p>
            <w:pPr>
              <w:pStyle w:val="TableContents"/>
              <w:bidi w:val="0"/>
              <w:spacing w:before="0" w:after="283"/>
              <w:jc w:val="left"/>
              <w:rPr/>
            </w:pPr>
            <w:r>
              <w:rPr/>
              <w:t>The affirmative vote of the holders of a majority in voting power of the shares present or represented by proxy and entitled to vote on the matter.</w:t>
            </w:r>
          </w:p>
        </w:tc>
        <w:tc>
          <w:tcPr>
            <w:tcW w:w="120" w:type="dxa"/>
            <w:tcBorders/>
            <w:shd w:fill="EDEDED" w:val="clear"/>
            <w:vAlign w:val="center"/>
          </w:tcPr>
          <w:p>
            <w:pPr>
              <w:pStyle w:val="TableContents"/>
              <w:bidi w:val="0"/>
              <w:spacing w:before="0" w:after="283"/>
              <w:jc w:val="left"/>
              <w:rPr/>
            </w:pPr>
            <w:r>
              <w:rPr/>
              <w:t>  </w:t>
            </w:r>
          </w:p>
        </w:tc>
        <w:tc>
          <w:tcPr>
            <w:tcW w:w="3231" w:type="dxa"/>
            <w:tcBorders/>
            <w:shd w:fill="EDEDED" w:val="clear"/>
            <w:vAlign w:val="center"/>
          </w:tcPr>
          <w:p>
            <w:pPr>
              <w:pStyle w:val="TableContents"/>
              <w:bidi w:val="0"/>
              <w:spacing w:before="0" w:after="283"/>
              <w:jc w:val="left"/>
              <w:rPr/>
            </w:pPr>
            <w:r>
              <w:rPr/>
              <w:t>Abstentions will have the same effect as votes against. We do not expect any broker non-votes on this proposal.</w:t>
            </w:r>
          </w:p>
        </w:tc>
      </w:tr>
      <w:tr>
        <w:trPr/>
        <w:tc>
          <w:tcPr>
            <w:tcW w:w="2808" w:type="dxa"/>
            <w:tcBorders/>
            <w:vAlign w:val="center"/>
          </w:tcPr>
          <w:p>
            <w:pPr>
              <w:pStyle w:val="TableContents"/>
              <w:bidi w:val="0"/>
              <w:spacing w:before="0" w:after="283"/>
              <w:jc w:val="left"/>
              <w:rPr>
                <w:sz w:val="4"/>
                <w:szCs w:val="4"/>
              </w:rPr>
            </w:pPr>
            <w:r>
              <w:rPr>
                <w:sz w:val="4"/>
                <w:szCs w:val="4"/>
              </w:rPr>
            </w:r>
          </w:p>
        </w:tc>
        <w:tc>
          <w:tcPr>
            <w:tcW w:w="4046" w:type="dxa"/>
            <w:gridSpan w:val="2"/>
            <w:tcBorders/>
            <w:vAlign w:val="center"/>
          </w:tcPr>
          <w:p>
            <w:pPr>
              <w:pStyle w:val="TableContents"/>
              <w:bidi w:val="0"/>
              <w:spacing w:before="0" w:after="283"/>
              <w:jc w:val="left"/>
              <w:rPr>
                <w:sz w:val="4"/>
                <w:szCs w:val="4"/>
              </w:rPr>
            </w:pPr>
            <w:r>
              <w:rPr>
                <w:sz w:val="4"/>
                <w:szCs w:val="4"/>
              </w:rPr>
            </w:r>
          </w:p>
        </w:tc>
        <w:tc>
          <w:tcPr>
            <w:tcW w:w="3351" w:type="dxa"/>
            <w:gridSpan w:val="2"/>
            <w:tcBorders/>
            <w:vAlign w:val="center"/>
          </w:tcPr>
          <w:p>
            <w:pPr>
              <w:pStyle w:val="TableContents"/>
              <w:bidi w:val="0"/>
              <w:spacing w:before="0" w:after="283"/>
              <w:jc w:val="left"/>
              <w:rPr>
                <w:sz w:val="4"/>
                <w:szCs w:val="4"/>
              </w:rPr>
            </w:pPr>
            <w:r>
              <w:rPr>
                <w:sz w:val="4"/>
                <w:szCs w:val="4"/>
              </w:rPr>
            </w:r>
          </w:p>
        </w:tc>
      </w:tr>
      <w:tr>
        <w:trPr/>
        <w:tc>
          <w:tcPr>
            <w:tcW w:w="2808" w:type="dxa"/>
            <w:tcBorders/>
            <w:vAlign w:val="center"/>
          </w:tcPr>
          <w:p>
            <w:pPr>
              <w:pStyle w:val="TableContents"/>
              <w:bidi w:val="0"/>
              <w:spacing w:before="0" w:after="0"/>
              <w:jc w:val="left"/>
              <w:rPr>
                <w:rFonts w:ascii="ARIAL" w:hAnsi="ARIAL"/>
                <w:sz w:val="18"/>
              </w:rPr>
            </w:pPr>
            <w:r>
              <w:rPr>
                <w:rFonts w:ascii="ARIAL" w:hAnsi="ARIAL"/>
                <w:b/>
                <w:sz w:val="18"/>
              </w:rPr>
              <w:t xml:space="preserve">Proposal 3: </w:t>
            </w:r>
            <w:r>
              <w:rPr>
                <w:rFonts w:ascii="ARIAL" w:hAnsi="ARIAL"/>
                <w:sz w:val="18"/>
              </w:rPr>
              <w:t>Approval, on an advisory basis, of the compensation of our named executive officers</w:t>
            </w:r>
          </w:p>
        </w:tc>
        <w:tc>
          <w:tcPr>
            <w:tcW w:w="120" w:type="dxa"/>
            <w:tcBorders/>
            <w:vAlign w:val="center"/>
          </w:tcPr>
          <w:p>
            <w:pPr>
              <w:pStyle w:val="TableContents"/>
              <w:bidi w:val="0"/>
              <w:spacing w:before="0" w:after="283"/>
              <w:jc w:val="left"/>
              <w:rPr/>
            </w:pPr>
            <w:r>
              <w:rPr/>
              <w:t>  </w:t>
            </w:r>
          </w:p>
        </w:tc>
        <w:tc>
          <w:tcPr>
            <w:tcW w:w="3926" w:type="dxa"/>
            <w:tcBorders/>
            <w:vAlign w:val="center"/>
          </w:tcPr>
          <w:p>
            <w:pPr>
              <w:pStyle w:val="TableContents"/>
              <w:bidi w:val="0"/>
              <w:spacing w:before="0" w:after="283"/>
              <w:jc w:val="left"/>
              <w:rPr/>
            </w:pPr>
            <w:r>
              <w:rPr/>
              <w:t>The affirmative vote of the holders of a majority in voting power of the shares present or represented by proxy and entitled to vote on the matter.</w:t>
            </w:r>
          </w:p>
        </w:tc>
        <w:tc>
          <w:tcPr>
            <w:tcW w:w="120" w:type="dxa"/>
            <w:tcBorders/>
            <w:vAlign w:val="center"/>
          </w:tcPr>
          <w:p>
            <w:pPr>
              <w:pStyle w:val="TableContents"/>
              <w:bidi w:val="0"/>
              <w:spacing w:before="0" w:after="283"/>
              <w:jc w:val="left"/>
              <w:rPr/>
            </w:pPr>
            <w:r>
              <w:rPr/>
              <w:t>  </w:t>
            </w:r>
          </w:p>
        </w:tc>
        <w:tc>
          <w:tcPr>
            <w:tcW w:w="3231" w:type="dxa"/>
            <w:tcBorders/>
            <w:vAlign w:val="center"/>
          </w:tcPr>
          <w:p>
            <w:pPr>
              <w:pStyle w:val="TableContents"/>
              <w:bidi w:val="0"/>
              <w:spacing w:before="0" w:after="283"/>
              <w:jc w:val="left"/>
              <w:rPr/>
            </w:pPr>
            <w:r>
              <w:rPr/>
              <w:t>Abstentions will have the same effect as votes against. Broker non-votes will not be counted as votes “for” or “against” this proposal.</w:t>
            </w:r>
          </w:p>
        </w:tc>
      </w:tr>
      <w:tr>
        <w:trPr/>
        <w:tc>
          <w:tcPr>
            <w:tcW w:w="2808" w:type="dxa"/>
            <w:tcBorders/>
            <w:shd w:fill="EDEDED" w:val="clear"/>
            <w:vAlign w:val="center"/>
          </w:tcPr>
          <w:p>
            <w:pPr>
              <w:pStyle w:val="TableContents"/>
              <w:bidi w:val="0"/>
              <w:spacing w:before="0" w:after="283"/>
              <w:jc w:val="left"/>
              <w:rPr>
                <w:sz w:val="4"/>
                <w:szCs w:val="4"/>
              </w:rPr>
            </w:pPr>
            <w:r>
              <w:rPr>
                <w:sz w:val="4"/>
                <w:szCs w:val="4"/>
              </w:rPr>
            </w:r>
          </w:p>
        </w:tc>
        <w:tc>
          <w:tcPr>
            <w:tcW w:w="4046" w:type="dxa"/>
            <w:gridSpan w:val="2"/>
            <w:tcBorders/>
            <w:shd w:fill="EDEDED" w:val="clear"/>
            <w:vAlign w:val="center"/>
          </w:tcPr>
          <w:p>
            <w:pPr>
              <w:pStyle w:val="TableContents"/>
              <w:bidi w:val="0"/>
              <w:spacing w:before="0" w:after="283"/>
              <w:jc w:val="left"/>
              <w:rPr>
                <w:sz w:val="4"/>
                <w:szCs w:val="4"/>
              </w:rPr>
            </w:pPr>
            <w:r>
              <w:rPr>
                <w:sz w:val="4"/>
                <w:szCs w:val="4"/>
              </w:rPr>
            </w:r>
          </w:p>
        </w:tc>
        <w:tc>
          <w:tcPr>
            <w:tcW w:w="3351"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808" w:type="dxa"/>
            <w:tcBorders/>
            <w:shd w:fill="EDEDED" w:val="clear"/>
            <w:vAlign w:val="center"/>
          </w:tcPr>
          <w:p>
            <w:pPr>
              <w:pStyle w:val="TableContents"/>
              <w:bidi w:val="0"/>
              <w:spacing w:before="0" w:after="0"/>
              <w:jc w:val="left"/>
              <w:rPr>
                <w:rFonts w:ascii="ARIAL" w:hAnsi="ARIAL"/>
                <w:sz w:val="18"/>
              </w:rPr>
            </w:pPr>
            <w:r>
              <w:rPr>
                <w:rFonts w:ascii="ARIAL" w:hAnsi="ARIAL"/>
                <w:b/>
                <w:sz w:val="18"/>
              </w:rPr>
              <w:t xml:space="preserve">Proposal 4: </w:t>
            </w:r>
            <w:r>
              <w:rPr>
                <w:rFonts w:ascii="ARIAL" w:hAnsi="ARIAL"/>
                <w:sz w:val="18"/>
              </w:rPr>
              <w:t>Approval, on an advisory basis, of the frequency of future advisory votes on named executive officer compensation</w:t>
            </w:r>
          </w:p>
        </w:tc>
        <w:tc>
          <w:tcPr>
            <w:tcW w:w="120" w:type="dxa"/>
            <w:tcBorders/>
            <w:shd w:fill="EDEDED" w:val="clear"/>
            <w:vAlign w:val="center"/>
          </w:tcPr>
          <w:p>
            <w:pPr>
              <w:pStyle w:val="TableContents"/>
              <w:bidi w:val="0"/>
              <w:spacing w:before="0" w:after="283"/>
              <w:jc w:val="left"/>
              <w:rPr/>
            </w:pPr>
            <w:r>
              <w:rPr/>
              <w:t>  </w:t>
            </w:r>
          </w:p>
        </w:tc>
        <w:tc>
          <w:tcPr>
            <w:tcW w:w="3926" w:type="dxa"/>
            <w:tcBorders/>
            <w:shd w:fill="EDEDED" w:val="clear"/>
            <w:vAlign w:val="center"/>
          </w:tcPr>
          <w:p>
            <w:pPr>
              <w:pStyle w:val="TableContents"/>
              <w:bidi w:val="0"/>
              <w:spacing w:before="0" w:after="283"/>
              <w:jc w:val="left"/>
              <w:rPr/>
            </w:pPr>
            <w:r>
              <w:rPr/>
              <w:t>The affirmative vote of the holders of a majority in voting power of the shares present or represented by proxy and entitled to vote on the matter.</w:t>
            </w:r>
          </w:p>
        </w:tc>
        <w:tc>
          <w:tcPr>
            <w:tcW w:w="120" w:type="dxa"/>
            <w:tcBorders/>
            <w:shd w:fill="EDEDED" w:val="clear"/>
            <w:vAlign w:val="center"/>
          </w:tcPr>
          <w:p>
            <w:pPr>
              <w:pStyle w:val="TableContents"/>
              <w:bidi w:val="0"/>
              <w:spacing w:before="0" w:after="283"/>
              <w:jc w:val="left"/>
              <w:rPr/>
            </w:pPr>
            <w:r>
              <w:rPr/>
              <w:t>  </w:t>
            </w:r>
          </w:p>
        </w:tc>
        <w:tc>
          <w:tcPr>
            <w:tcW w:w="3231" w:type="dxa"/>
            <w:tcBorders/>
            <w:shd w:fill="EDEDED" w:val="clear"/>
            <w:vAlign w:val="center"/>
          </w:tcPr>
          <w:p>
            <w:pPr>
              <w:pStyle w:val="TableContents"/>
              <w:bidi w:val="0"/>
              <w:spacing w:before="0" w:after="283"/>
              <w:jc w:val="left"/>
              <w:rPr/>
            </w:pPr>
            <w:r>
              <w:rPr/>
              <w:t>Abstentions will have the same effect as votes against. Broker non-votes will not be counted as votes “for” or “against” in this proposal.</w:t>
            </w:r>
          </w:p>
        </w:tc>
      </w:tr>
    </w:tbl>
    <w:p>
      <w:pPr>
        <w:pStyle w:val="TextBody"/>
        <w:bidi w:val="0"/>
        <w:spacing w:before="360" w:after="0"/>
        <w:jc w:val="left"/>
        <w:rPr>
          <w:rFonts w:ascii="ARIAL" w:hAnsi="ARIAL"/>
          <w:sz w:val="20"/>
        </w:rPr>
      </w:pPr>
      <w:r>
        <w:rPr>
          <w:rFonts w:ascii="ARIAL" w:hAnsi="ARIAL"/>
          <w:b/>
          <w:sz w:val="20"/>
        </w:rPr>
        <w:t>What is an abstention and how will abstentions be treated?</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An “abstention,” in the case of the proposals regarding the election of a director, the ratification of the appointment of Deloitte &amp; Touche LLP as our independent registered public accounting firm, the advisory vote on the compensation of our named executive officers (“Say-on-Pay Vote”), and the advisory vote on the frequency of future advisory votes on named executive officer compensation (“Say-on-Frequency Vote”) represents a stockholder’s affirmative choice to decline to vote on a proposal. Abstentions are counted as present and entitled to vote for purposes of determining a quorum. Abstentions are not counted as votes cast and therefore will have no effect on determining whether the required majority vote has been attained on the election of a director. Abstentions have the same effect as votes against the ratification of the appointment of Deloitte &amp; Touche LLP and the Say-on-Pay Vote or Say-on-Frequency Vote. </w:t>
      </w:r>
    </w:p>
    <w:p>
      <w:pPr>
        <w:pStyle w:val="TextBody"/>
        <w:bidi w:val="0"/>
        <w:spacing w:before="360" w:after="0"/>
        <w:jc w:val="left"/>
        <w:rPr>
          <w:rFonts w:ascii="ARIAL" w:hAnsi="ARIAL"/>
          <w:sz w:val="20"/>
        </w:rPr>
      </w:pPr>
      <w:r>
        <w:rPr>
          <w:rFonts w:ascii="ARIAL" w:hAnsi="ARIAL"/>
          <w:b/>
          <w:sz w:val="20"/>
        </w:rPr>
        <w:t>What are broker non-votes and do they count for determining a quorum?</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Deloitte &amp; Touche LLP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a director or the Say-on-Pay Vote or the Say-on-Frequency Vote. Broker non-votes count for purposes of determining whether a quorum is present. </w:t>
      </w:r>
    </w:p>
    <w:p>
      <w:pPr>
        <w:pStyle w:val="TextBody"/>
        <w:bidi w:val="0"/>
        <w:spacing w:before="360" w:after="0"/>
        <w:jc w:val="left"/>
        <w:rPr>
          <w:rFonts w:ascii="ARIAL" w:hAnsi="ARIAL"/>
          <w:sz w:val="20"/>
        </w:rPr>
      </w:pPr>
      <w:r>
        <w:rPr>
          <w:rFonts w:ascii="ARIAL" w:hAnsi="ARIAL"/>
          <w:b/>
          <w:sz w:val="20"/>
        </w:rPr>
        <w:t>Where can I find the voting results of the Annual Meeting?</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We plan to announce preliminary voting results at the Annual Meeting and we will report the final results in a Current Report on Form 8-K, which we intend to file with the SEC after the Annual Meeting.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7</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40"/>
        </w:rPr>
      </w:pPr>
      <w:bookmarkStart w:id="9" w:name="toc814840_7"/>
      <w:bookmarkEnd w:id="9"/>
      <w:r>
        <w:rPr>
          <w:rFonts w:ascii="Times New Roman" w:hAnsi="Times New Roman"/>
          <w:sz w:val="40"/>
        </w:rPr>
        <w:t xml:space="preserve">Proposal 1: Election of Directors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120" w:after="0"/>
        <w:jc w:val="left"/>
        <w:rPr>
          <w:rFonts w:ascii="ARIAL" w:hAnsi="ARIAL"/>
          <w:sz w:val="18"/>
        </w:rPr>
      </w:pPr>
      <w:r>
        <w:rPr>
          <w:rFonts w:ascii="ARIAL" w:hAnsi="ARIAL"/>
          <w:sz w:val="18"/>
        </w:rPr>
        <w:t xml:space="preserve">At the Annual Meeting, two (2) Class I Directors are to be elected to hold office until the Annual Meeting of Stockholders to be held in 2027 and until such director’s successor is elected and qualified or until such director’s earlier death, resignation or removal. </w:t>
      </w:r>
    </w:p>
    <w:p>
      <w:pPr>
        <w:pStyle w:val="TextBody"/>
        <w:bidi w:val="0"/>
        <w:spacing w:before="160" w:after="0"/>
        <w:jc w:val="left"/>
        <w:rPr>
          <w:rFonts w:ascii="ARIAL" w:hAnsi="ARIAL"/>
          <w:sz w:val="18"/>
        </w:rPr>
      </w:pPr>
      <w:r>
        <w:rPr>
          <w:rFonts w:ascii="ARIAL" w:hAnsi="ARIAL"/>
          <w:sz w:val="18"/>
        </w:rPr>
        <w:t xml:space="preserve">We currently have seven (7) directors on our Board, including two (2) Class I Directors. Our current Class I Directors are Edward Pesicka, who has served on our Board since June 29, 2023, and David Smith, who has served on our Board since June 15, 2023. The Board has nominated Edward Pesicka and David Smith for election as Class I Directors at the Annual Meeting. Proxies cannot be voted for a greater number of persons than the number of nominees named in this proposal. </w:t>
      </w:r>
    </w:p>
    <w:p>
      <w:pPr>
        <w:pStyle w:val="TextBody"/>
        <w:bidi w:val="0"/>
        <w:spacing w:before="160" w:after="0"/>
        <w:jc w:val="left"/>
        <w:rPr>
          <w:rFonts w:ascii="ARIAL" w:hAnsi="ARIAL"/>
          <w:sz w:val="18"/>
        </w:rPr>
      </w:pPr>
      <w:r>
        <w:rPr>
          <w:rFonts w:ascii="ARIAL" w:hAnsi="ARIAL"/>
          <w:sz w:val="18"/>
        </w:rPr>
        <w:t xml:space="preserve">Each share of Common Stock is entitled to one vote on each of the director nominees and one vote on each other matter that is properly presented at the 2024 Annual Meeting. In accordance with Fortrea’s Amended and Restated Bylaws (the “Bylaws”), director nominees in an uncontested election must receive a majority of the votes cast to be elected, which under the Bylaws means that the number of shares voted “FOR” a director must exceed 50% of the votes cast with respect to that director. The Board has adopted a policy under which an incumbent director who does not receive the required vote for election as provided in the Bylaws will submit their resignation for consideration by the Board. Abstentions and broker non-votes are not considered to be votes cast and, accordingly, will have no effect on the outcome of the vote on this proposal. </w:t>
      </w:r>
    </w:p>
    <w:p>
      <w:pPr>
        <w:pStyle w:val="TextBody"/>
        <w:bidi w:val="0"/>
        <w:spacing w:before="160" w:after="0"/>
        <w:jc w:val="left"/>
        <w:rPr>
          <w:rFonts w:ascii="ARIAL" w:hAnsi="ARIAL"/>
          <w:sz w:val="18"/>
        </w:rPr>
      </w:pPr>
      <w:r>
        <w:rPr>
          <w:rFonts w:ascii="ARIAL" w:hAnsi="ARIAL"/>
          <w:sz w:val="18"/>
        </w:rPr>
        <w:t xml:space="preserve">As set forth in our Amended and Restated Certificate of Incorporation, the Board is currently divided into three classes with staggered, three-year terms. At each annual meeting, the successors to directors whose terms then expire will be elected to serve from the time of election and qualification until the third annual meeting following election, except as described below. The current class structure is as follows: Class I, whose current term expires at the Annual Meeting and whose new term will expire at the 2027 Annual Meeting; Class II, whose current term expires at the 2025 Annual Meeting and whose subsequent term will expire at the 2028 Annual Meeting; and Class III, whose current term expires at the 2026 Annual Meeting and whose subsequent term will expire at the 2028 Annual Meeting. Commencing at the 2028 Annual Meeting and at all subsequent Annual Meetings, the Board will no longer be classified, and all directors will be elected for a term of office to expire at the next succeeding Annual Meetings. The current Class II Directors are Betty Larson and Dr. Amrit Ray and the current Class III Directors are Thomas Pike, R. Andrew Eckert, and Peter M. Neupert. </w:t>
      </w:r>
    </w:p>
    <w:p>
      <w:pPr>
        <w:pStyle w:val="TextBody"/>
        <w:bidi w:val="0"/>
        <w:spacing w:before="160" w:after="0"/>
        <w:jc w:val="left"/>
        <w:rPr>
          <w:rFonts w:ascii="ARIAL" w:hAnsi="ARIAL"/>
          <w:sz w:val="18"/>
        </w:rPr>
      </w:pPr>
      <w:r>
        <w:rPr>
          <w:rFonts w:ascii="ARIAL" w:hAnsi="ARIAL"/>
          <w:sz w:val="18"/>
        </w:rPr>
        <w:t xml:space="preserve">There are no family relationships among any of our executive officers or directors. For information regarding each of their compensation arrangements, see “Director Compensation” and “Executive Compensation.” </w:t>
      </w:r>
    </w:p>
    <w:p>
      <w:pPr>
        <w:pStyle w:val="TextBody"/>
        <w:bidi w:val="0"/>
        <w:spacing w:before="160" w:after="0"/>
        <w:jc w:val="left"/>
        <w:rPr>
          <w:rFonts w:ascii="ARIAL" w:hAnsi="ARIAL"/>
          <w:sz w:val="18"/>
        </w:rPr>
      </w:pPr>
      <w:r>
        <w:rPr>
          <w:rFonts w:ascii="ARIAL" w:hAnsi="ARIAL"/>
          <w:sz w:val="18"/>
        </w:rPr>
        <w:t xml:space="preserve">If you submit a proxy but do not indicate any voting instructions, the persons named as proxies will vote the shares of Common Stock represented thereby for the election as Class I Directors of the persons whose names and biographies appear below. All of the persons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 </w:t>
      </w:r>
    </w:p>
    <w:p>
      <w:pPr>
        <w:pStyle w:val="TextBody"/>
        <w:bidi w:val="0"/>
        <w:spacing w:before="360" w:after="0"/>
        <w:jc w:val="left"/>
        <w:rPr>
          <w:rFonts w:ascii="ARIAL" w:hAnsi="ARIAL"/>
          <w:b/>
          <w:sz w:val="20"/>
        </w:rPr>
      </w:pPr>
      <w:bookmarkStart w:id="10" w:name="toc814840_8"/>
      <w:bookmarkEnd w:id="10"/>
      <w:r>
        <w:rPr>
          <w:rFonts w:ascii="ARIAL" w:hAnsi="ARIAL"/>
          <w:b/>
          <w:sz w:val="20"/>
        </w:rPr>
        <w:t xml:space="preserve">Vote Required </w:t>
      </w:r>
    </w:p>
    <w:p>
      <w:pPr>
        <w:pStyle w:val="TextBody"/>
        <w:bidi w:val="0"/>
        <w:spacing w:before="160" w:after="0"/>
        <w:jc w:val="left"/>
        <w:rPr>
          <w:rFonts w:ascii="ARIAL" w:hAnsi="ARIAL"/>
          <w:sz w:val="18"/>
        </w:rPr>
      </w:pPr>
      <w:r>
        <w:rPr>
          <w:rFonts w:ascii="ARIAL" w:hAnsi="ARIAL"/>
          <w:sz w:val="18"/>
        </w:rPr>
        <w:t xml:space="preserve">Directors are elected by a majority of the votes cast at the meeting. If a quorum is present, a director nominee will be elected if the number of shares voted “for” a director nominee’s election exceeds 50% of the number of votes cast with respect to that director nominee’s election. As discussed above, if your broker holds shares in your name and delivers this proxy statement to you, the broker is not entitled to vote your shares on this proposal without your instructions. Abstentions and broker non-votes are not counted as votes cast and therefore will have no effect on determining whether the required majority vote has been attained. </w:t>
      </w:r>
    </w:p>
    <w:p>
      <w:pPr>
        <w:pStyle w:val="TextBody"/>
        <w:bidi w:val="0"/>
        <w:spacing w:before="160" w:after="0"/>
        <w:jc w:val="left"/>
        <w:rPr>
          <w:rFonts w:ascii="ARIAL" w:hAnsi="ARIAL"/>
          <w:sz w:val="18"/>
        </w:rPr>
      </w:pPr>
      <w:bookmarkStart w:id="11" w:name="toc814840_9"/>
      <w:bookmarkEnd w:id="11"/>
      <w:r>
        <w:rPr>
          <w:rFonts w:ascii="ARIAL" w:hAnsi="ARIAL"/>
          <w:sz w:val="18"/>
        </w:rPr>
        <w:t xml:space="preserve">If an incumbent director does not receive “For” votes that constitute a majority of the votes cast, the director must offer to submit his or her resignation and the Board will decide whether to accept the offer to resign.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49605" cy="36830"/>
            <wp:effectExtent l="0" t="0" r="0" b="0"/>
            <wp:docPr id="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6" descr=""/>
                    <pic:cNvPicPr>
                      <a:picLocks noChangeAspect="1" noChangeArrowheads="1"/>
                    </pic:cNvPicPr>
                  </pic:nvPicPr>
                  <pic:blipFill>
                    <a:blip r:embed="rId23"/>
                    <a:stretch>
                      <a:fillRect/>
                    </a:stretch>
                  </pic:blipFill>
                  <pic:spPr bwMode="auto">
                    <a:xfrm>
                      <a:off x="0" y="0"/>
                      <a:ext cx="649605" cy="368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8</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PROPOSAL 1: ELECTION OF DIRECTORS </w:t>
      </w:r>
    </w:p>
    <w:p>
      <w:pPr>
        <w:pStyle w:val="TextBody"/>
        <w:bidi w:val="0"/>
        <w:spacing w:before="0" w:after="0"/>
        <w:jc w:val="left"/>
        <w:rPr/>
      </w:pPr>
      <w:r>
        <w:rPr/>
        <w:t> </w:t>
      </w:r>
    </w:p>
    <w:p>
      <w:pPr>
        <w:pStyle w:val="TextBody"/>
        <w:bidi w:val="0"/>
        <w:spacing w:before="0" w:after="0"/>
        <w:jc w:val="left"/>
        <w:rPr>
          <w:rFonts w:ascii="ARIAL" w:hAnsi="ARIAL"/>
          <w:b/>
          <w:sz w:val="18"/>
        </w:rPr>
      </w:pPr>
      <w:r>
        <w:rPr>
          <w:rFonts w:ascii="ARIAL" w:hAnsi="ARIAL"/>
          <w:b/>
          <w:sz w:val="18"/>
        </w:rPr>
        <w:t xml:space="preserve">Director Candidate Qualifications </w:t>
      </w:r>
    </w:p>
    <w:p>
      <w:pPr>
        <w:pStyle w:val="TextBody"/>
        <w:bidi w:val="0"/>
        <w:spacing w:before="160" w:after="0"/>
        <w:jc w:val="left"/>
        <w:rPr>
          <w:rFonts w:ascii="ARIAL" w:hAnsi="ARIAL"/>
          <w:sz w:val="18"/>
        </w:rPr>
      </w:pPr>
      <w:r>
        <w:rPr>
          <w:rFonts w:ascii="ARIAL" w:hAnsi="ARIAL"/>
          <w:sz w:val="18"/>
        </w:rPr>
        <w:t xml:space="preserve">When evaluating prospective candidates for director, the Nominating, Corporate Governance and Compliance Committee establishes and recommends to the Board the appropriate skills and characteristics required of Board members for the selection of new directors, and evaluates the qualifications of potential candidates for director, including any nominees submitted by stockholders. The Nominating, Corporate Governance and Compliance Committee also evaluates director independence and diversity. Our current directors’ primary skills and experiences are highlighted in the following matrix. The matrix is intended as a high-level summary and not an exhaustive list of each director’s skills or contributions to our Board.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70"/>
        <w:gridCol w:w="120"/>
        <w:gridCol w:w="195"/>
        <w:gridCol w:w="650"/>
        <w:gridCol w:w="60"/>
        <w:gridCol w:w="120"/>
        <w:gridCol w:w="163"/>
        <w:gridCol w:w="547"/>
        <w:gridCol w:w="60"/>
        <w:gridCol w:w="120"/>
        <w:gridCol w:w="198"/>
        <w:gridCol w:w="662"/>
        <w:gridCol w:w="60"/>
        <w:gridCol w:w="120"/>
        <w:gridCol w:w="174"/>
        <w:gridCol w:w="581"/>
        <w:gridCol w:w="60"/>
        <w:gridCol w:w="120"/>
        <w:gridCol w:w="146"/>
        <w:gridCol w:w="489"/>
        <w:gridCol w:w="60"/>
        <w:gridCol w:w="120"/>
        <w:gridCol w:w="146"/>
        <w:gridCol w:w="489"/>
        <w:gridCol w:w="60"/>
        <w:gridCol w:w="120"/>
        <w:gridCol w:w="143"/>
        <w:gridCol w:w="477"/>
        <w:gridCol w:w="75"/>
      </w:tblGrid>
      <w:tr>
        <w:trPr/>
        <w:tc>
          <w:tcPr>
            <w:tcW w:w="38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870" w:type="dxa"/>
            <w:tcBorders/>
            <w:shd w:fill="0BC11C" w:val="clear"/>
            <w:vAlign w:val="center"/>
          </w:tcPr>
          <w:p>
            <w:pPr>
              <w:pStyle w:val="TableContents"/>
              <w:bidi w:val="0"/>
              <w:spacing w:before="0" w:after="283"/>
              <w:jc w:val="left"/>
              <w:rPr>
                <w:sz w:val="4"/>
                <w:szCs w:val="4"/>
              </w:rPr>
            </w:pPr>
            <w:r>
              <w:rPr>
                <w:sz w:val="4"/>
                <w:szCs w:val="4"/>
              </w:rPr>
            </w:r>
          </w:p>
        </w:tc>
        <w:tc>
          <w:tcPr>
            <w:tcW w:w="1025" w:type="dxa"/>
            <w:gridSpan w:val="4"/>
            <w:tcBorders/>
            <w:shd w:fill="0BC11C" w:val="clear"/>
            <w:vAlign w:val="center"/>
          </w:tcPr>
          <w:p>
            <w:pPr>
              <w:pStyle w:val="TableContents"/>
              <w:bidi w:val="0"/>
              <w:spacing w:before="0" w:after="283"/>
              <w:jc w:val="left"/>
              <w:rPr>
                <w:sz w:val="4"/>
                <w:szCs w:val="4"/>
              </w:rPr>
            </w:pPr>
            <w:r>
              <w:rPr>
                <w:sz w:val="4"/>
                <w:szCs w:val="4"/>
              </w:rPr>
            </w:r>
          </w:p>
        </w:tc>
        <w:tc>
          <w:tcPr>
            <w:tcW w:w="890" w:type="dxa"/>
            <w:gridSpan w:val="4"/>
            <w:tcBorders/>
            <w:shd w:fill="0BC11C" w:val="clear"/>
            <w:vAlign w:val="center"/>
          </w:tcPr>
          <w:p>
            <w:pPr>
              <w:pStyle w:val="TableContents"/>
              <w:bidi w:val="0"/>
              <w:spacing w:before="0" w:after="283"/>
              <w:jc w:val="left"/>
              <w:rPr>
                <w:sz w:val="4"/>
                <w:szCs w:val="4"/>
              </w:rPr>
            </w:pPr>
            <w:r>
              <w:rPr>
                <w:sz w:val="4"/>
                <w:szCs w:val="4"/>
              </w:rPr>
            </w:r>
          </w:p>
        </w:tc>
        <w:tc>
          <w:tcPr>
            <w:tcW w:w="1040" w:type="dxa"/>
            <w:gridSpan w:val="4"/>
            <w:tcBorders/>
            <w:shd w:fill="0BC11C" w:val="clear"/>
            <w:vAlign w:val="center"/>
          </w:tcPr>
          <w:p>
            <w:pPr>
              <w:pStyle w:val="TableContents"/>
              <w:bidi w:val="0"/>
              <w:spacing w:before="0" w:after="283"/>
              <w:jc w:val="left"/>
              <w:rPr>
                <w:sz w:val="4"/>
                <w:szCs w:val="4"/>
              </w:rPr>
            </w:pPr>
            <w:r>
              <w:rPr>
                <w:sz w:val="4"/>
                <w:szCs w:val="4"/>
              </w:rPr>
            </w:r>
          </w:p>
        </w:tc>
        <w:tc>
          <w:tcPr>
            <w:tcW w:w="935" w:type="dxa"/>
            <w:gridSpan w:val="4"/>
            <w:tcBorders/>
            <w:shd w:fill="0BC11C" w:val="clear"/>
            <w:vAlign w:val="center"/>
          </w:tcPr>
          <w:p>
            <w:pPr>
              <w:pStyle w:val="TableContents"/>
              <w:bidi w:val="0"/>
              <w:spacing w:before="0" w:after="283"/>
              <w:jc w:val="left"/>
              <w:rPr>
                <w:sz w:val="4"/>
                <w:szCs w:val="4"/>
              </w:rPr>
            </w:pPr>
            <w:r>
              <w:rPr>
                <w:sz w:val="4"/>
                <w:szCs w:val="4"/>
              </w:rPr>
            </w:r>
          </w:p>
        </w:tc>
        <w:tc>
          <w:tcPr>
            <w:tcW w:w="815" w:type="dxa"/>
            <w:gridSpan w:val="4"/>
            <w:tcBorders/>
            <w:shd w:fill="0BC11C" w:val="clear"/>
            <w:vAlign w:val="center"/>
          </w:tcPr>
          <w:p>
            <w:pPr>
              <w:pStyle w:val="TableContents"/>
              <w:bidi w:val="0"/>
              <w:spacing w:before="0" w:after="283"/>
              <w:jc w:val="left"/>
              <w:rPr>
                <w:sz w:val="4"/>
                <w:szCs w:val="4"/>
              </w:rPr>
            </w:pPr>
            <w:r>
              <w:rPr>
                <w:sz w:val="4"/>
                <w:szCs w:val="4"/>
              </w:rPr>
            </w:r>
          </w:p>
        </w:tc>
        <w:tc>
          <w:tcPr>
            <w:tcW w:w="815" w:type="dxa"/>
            <w:gridSpan w:val="4"/>
            <w:tcBorders/>
            <w:shd w:fill="0BC11C" w:val="clear"/>
            <w:vAlign w:val="center"/>
          </w:tcPr>
          <w:p>
            <w:pPr>
              <w:pStyle w:val="TableContents"/>
              <w:bidi w:val="0"/>
              <w:spacing w:before="0" w:after="283"/>
              <w:jc w:val="left"/>
              <w:rPr>
                <w:sz w:val="4"/>
                <w:szCs w:val="4"/>
              </w:rPr>
            </w:pPr>
            <w:r>
              <w:rPr>
                <w:sz w:val="4"/>
                <w:szCs w:val="4"/>
              </w:rPr>
            </w:r>
          </w:p>
        </w:tc>
        <w:tc>
          <w:tcPr>
            <w:tcW w:w="815" w:type="dxa"/>
            <w:gridSpan w:val="4"/>
            <w:tcBorders/>
            <w:shd w:fill="0BC11C" w:val="clear"/>
            <w:vAlign w:val="center"/>
          </w:tcPr>
          <w:p>
            <w:pPr>
              <w:pStyle w:val="TableContents"/>
              <w:bidi w:val="0"/>
              <w:spacing w:before="0" w:after="283"/>
              <w:jc w:val="left"/>
              <w:rPr>
                <w:sz w:val="4"/>
                <w:szCs w:val="4"/>
              </w:rPr>
            </w:pPr>
            <w:r>
              <w:rPr>
                <w:sz w:val="4"/>
                <w:szCs w:val="4"/>
              </w:rPr>
            </w:r>
          </w:p>
        </w:tc>
      </w:tr>
      <w:tr>
        <w:trPr/>
        <w:tc>
          <w:tcPr>
            <w:tcW w:w="3870" w:type="dxa"/>
            <w:tcBorders/>
            <w:shd w:fill="0BC11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Experience, Expertise or</w:t>
            </w:r>
          </w:p>
          <w:p>
            <w:pPr>
              <w:pStyle w:val="TableContents"/>
              <w:bidi w:val="0"/>
              <w:spacing w:before="0" w:after="20"/>
              <w:jc w:val="left"/>
              <w:rPr>
                <w:rFonts w:ascii="ARIAL" w:hAnsi="ARIAL"/>
                <w:b/>
                <w:color w:val="FFFFFF"/>
                <w:sz w:val="16"/>
              </w:rPr>
            </w:pPr>
            <w:r>
              <w:rPr>
                <w:rFonts w:ascii="ARIAL" w:hAnsi="ARIAL"/>
                <w:b/>
                <w:color w:val="FFFFFF"/>
                <w:sz w:val="16"/>
              </w:rPr>
              <w:t>Attribute</w:t>
            </w:r>
          </w:p>
        </w:tc>
        <w:tc>
          <w:tcPr>
            <w:tcW w:w="120" w:type="dxa"/>
            <w:tcBorders/>
            <w:shd w:fill="0BC11C" w:val="clear"/>
            <w:vAlign w:val="center"/>
          </w:tcPr>
          <w:p>
            <w:pPr>
              <w:pStyle w:val="TableContents"/>
              <w:bidi w:val="0"/>
              <w:spacing w:before="0" w:after="283"/>
              <w:jc w:val="left"/>
              <w:rPr/>
            </w:pPr>
            <w:r>
              <w:rPr/>
              <w:t>  </w:t>
            </w:r>
          </w:p>
        </w:tc>
        <w:tc>
          <w:tcPr>
            <w:tcW w:w="845" w:type="dxa"/>
            <w:gridSpan w:val="2"/>
            <w:tcBorders/>
            <w:shd w:fill="0BC11C" w:val="clear"/>
            <w:vAlign w:val="center"/>
          </w:tcPr>
          <w:p>
            <w:pPr>
              <w:pStyle w:val="TableContents"/>
              <w:bidi w:val="0"/>
              <w:spacing w:before="0" w:after="283"/>
              <w:jc w:val="center"/>
              <w:rPr>
                <w:b/>
                <w:color w:val="FFFFFF"/>
              </w:rPr>
            </w:pPr>
            <w:r>
              <w:rPr>
                <w:b/>
                <w:color w:val="FFFFFF"/>
              </w:rPr>
              <w:t>Thomas</w:t>
              <w:br/>
              <w:t>Pike</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710" w:type="dxa"/>
            <w:gridSpan w:val="2"/>
            <w:tcBorders/>
            <w:shd w:fill="0BC11C" w:val="clear"/>
            <w:vAlign w:val="center"/>
          </w:tcPr>
          <w:p>
            <w:pPr>
              <w:pStyle w:val="TableContents"/>
              <w:bidi w:val="0"/>
              <w:spacing w:before="0" w:after="283"/>
              <w:jc w:val="center"/>
              <w:rPr>
                <w:b/>
                <w:color w:val="FFFFFF"/>
              </w:rPr>
            </w:pPr>
            <w:r>
              <w:rPr>
                <w:b/>
                <w:color w:val="FFFFFF"/>
              </w:rPr>
              <w:t>Andy</w:t>
              <w:br/>
              <w:t>Eckert</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860" w:type="dxa"/>
            <w:gridSpan w:val="2"/>
            <w:tcBorders/>
            <w:shd w:fill="0BC11C" w:val="clear"/>
            <w:vAlign w:val="center"/>
          </w:tcPr>
          <w:p>
            <w:pPr>
              <w:pStyle w:val="TableContents"/>
              <w:bidi w:val="0"/>
              <w:spacing w:before="0" w:after="283"/>
              <w:jc w:val="center"/>
              <w:rPr>
                <w:b/>
                <w:color w:val="FFFFFF"/>
              </w:rPr>
            </w:pPr>
            <w:r>
              <w:rPr>
                <w:b/>
                <w:color w:val="FFFFFF"/>
              </w:rPr>
              <w:t>Peter</w:t>
              <w:br/>
              <w:t>Neupert</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755" w:type="dxa"/>
            <w:gridSpan w:val="2"/>
            <w:tcBorders/>
            <w:shd w:fill="0BC11C" w:val="clear"/>
            <w:vAlign w:val="center"/>
          </w:tcPr>
          <w:p>
            <w:pPr>
              <w:pStyle w:val="TableContents"/>
              <w:bidi w:val="0"/>
              <w:spacing w:before="0" w:after="283"/>
              <w:jc w:val="center"/>
              <w:rPr>
                <w:b/>
                <w:color w:val="FFFFFF"/>
              </w:rPr>
            </w:pPr>
            <w:r>
              <w:rPr>
                <w:b/>
                <w:color w:val="FFFFFF"/>
              </w:rPr>
              <w:t>Betty</w:t>
              <w:br/>
              <w:t>Larson</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635" w:type="dxa"/>
            <w:gridSpan w:val="2"/>
            <w:tcBorders/>
            <w:shd w:fill="0BC11C" w:val="clear"/>
            <w:vAlign w:val="center"/>
          </w:tcPr>
          <w:p>
            <w:pPr>
              <w:pStyle w:val="TableContents"/>
              <w:bidi w:val="0"/>
              <w:spacing w:before="0" w:after="283"/>
              <w:jc w:val="center"/>
              <w:rPr>
                <w:b/>
                <w:color w:val="FFFFFF"/>
              </w:rPr>
            </w:pPr>
            <w:r>
              <w:rPr>
                <w:b/>
                <w:color w:val="FFFFFF"/>
              </w:rPr>
              <w:t>David</w:t>
              <w:br/>
              <w:t>Smith</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635" w:type="dxa"/>
            <w:gridSpan w:val="2"/>
            <w:tcBorders/>
            <w:shd w:fill="0BC11C" w:val="clear"/>
            <w:vAlign w:val="center"/>
          </w:tcPr>
          <w:p>
            <w:pPr>
              <w:pStyle w:val="TableContents"/>
              <w:bidi w:val="0"/>
              <w:spacing w:before="0" w:after="283"/>
              <w:jc w:val="center"/>
              <w:rPr>
                <w:b/>
                <w:color w:val="FFFFFF"/>
              </w:rPr>
            </w:pPr>
            <w:r>
              <w:rPr>
                <w:b/>
                <w:color w:val="FFFFFF"/>
              </w:rPr>
              <w:t>Amrit</w:t>
              <w:br/>
              <w:t>Ray</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620" w:type="dxa"/>
            <w:gridSpan w:val="2"/>
            <w:tcBorders/>
            <w:shd w:fill="0BC11C"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Edward</w:t>
            </w:r>
          </w:p>
          <w:p>
            <w:pPr>
              <w:pStyle w:val="TableContents"/>
              <w:bidi w:val="0"/>
              <w:spacing w:before="0" w:after="20"/>
              <w:jc w:val="center"/>
              <w:rPr>
                <w:rFonts w:ascii="ARIAL" w:hAnsi="ARIAL"/>
                <w:b/>
                <w:color w:val="FFFFFF"/>
                <w:sz w:val="16"/>
              </w:rPr>
            </w:pPr>
            <w:r>
              <w:rPr>
                <w:rFonts w:ascii="ARIAL" w:hAnsi="ARIAL"/>
                <w:b/>
                <w:color w:val="FFFFFF"/>
                <w:sz w:val="16"/>
              </w:rPr>
              <w:t>Pesicka</w:t>
            </w:r>
          </w:p>
        </w:tc>
        <w:tc>
          <w:tcPr>
            <w:tcW w:w="75" w:type="dxa"/>
            <w:tcBorders/>
            <w:shd w:fill="0BC11C" w:val="clear"/>
            <w:vAlign w:val="center"/>
          </w:tcPr>
          <w:p>
            <w:pPr>
              <w:pStyle w:val="TableContents"/>
              <w:bidi w:val="0"/>
              <w:spacing w:before="0" w:after="283"/>
              <w:jc w:val="left"/>
              <w:rPr/>
            </w:pPr>
            <w:r>
              <w:rPr/>
              <w:t> </w:t>
            </w:r>
          </w:p>
        </w:tc>
      </w:tr>
      <w:tr>
        <w:trPr/>
        <w:tc>
          <w:tcPr>
            <w:tcW w:w="3870"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0"/>
              <w:jc w:val="left"/>
              <w:rPr>
                <w:rFonts w:ascii="ARIAL" w:hAnsi="ARIAL"/>
                <w:sz w:val="18"/>
              </w:rPr>
            </w:pPr>
            <w:r>
              <w:rPr>
                <w:rFonts w:ascii="ARIAL" w:hAnsi="ARIAL"/>
                <w:sz w:val="18"/>
              </w:rPr>
              <w:t>General Management and Business Operations</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right"/>
              <w:rPr/>
            </w:pPr>
            <w:r>
              <w:rPr/>
              <w:t>X</w:t>
            </w:r>
          </w:p>
        </w:tc>
        <w:tc>
          <w:tcPr>
            <w:tcW w:w="75" w:type="dxa"/>
            <w:tcBorders/>
            <w:vAlign w:val="center"/>
          </w:tcPr>
          <w:p>
            <w:pPr>
              <w:pStyle w:val="TableContents"/>
              <w:bidi w:val="0"/>
              <w:spacing w:before="0" w:after="283"/>
              <w:jc w:val="left"/>
              <w:rPr/>
            </w:pPr>
            <w:r>
              <w:rPr/>
              <w:t> </w:t>
            </w:r>
          </w:p>
        </w:tc>
      </w:tr>
      <w:tr>
        <w:trPr/>
        <w:tc>
          <w:tcPr>
            <w:tcW w:w="3870" w:type="dxa"/>
            <w:tcBorders/>
            <w:shd w:fill="EDEDED" w:val="clear"/>
            <w:vAlign w:val="center"/>
          </w:tcPr>
          <w:p>
            <w:pPr>
              <w:pStyle w:val="TableContents"/>
              <w:bidi w:val="0"/>
              <w:spacing w:before="0" w:after="283"/>
              <w:jc w:val="left"/>
              <w:rPr>
                <w:sz w:val="4"/>
                <w:szCs w:val="4"/>
              </w:rPr>
            </w:pPr>
            <w:r>
              <w:rPr>
                <w:sz w:val="4"/>
                <w:szCs w:val="4"/>
              </w:rPr>
            </w:r>
          </w:p>
        </w:tc>
        <w:tc>
          <w:tcPr>
            <w:tcW w:w="1025" w:type="dxa"/>
            <w:gridSpan w:val="4"/>
            <w:tcBorders/>
            <w:shd w:fill="EDEDED" w:val="clear"/>
            <w:vAlign w:val="center"/>
          </w:tcPr>
          <w:p>
            <w:pPr>
              <w:pStyle w:val="TableContents"/>
              <w:bidi w:val="0"/>
              <w:spacing w:before="0" w:after="283"/>
              <w:jc w:val="left"/>
              <w:rPr>
                <w:sz w:val="4"/>
                <w:szCs w:val="4"/>
              </w:rPr>
            </w:pPr>
            <w:r>
              <w:rPr>
                <w:sz w:val="4"/>
                <w:szCs w:val="4"/>
              </w:rPr>
            </w:r>
          </w:p>
        </w:tc>
        <w:tc>
          <w:tcPr>
            <w:tcW w:w="890" w:type="dxa"/>
            <w:gridSpan w:val="4"/>
            <w:tcBorders/>
            <w:shd w:fill="EDEDED" w:val="clear"/>
            <w:vAlign w:val="center"/>
          </w:tcPr>
          <w:p>
            <w:pPr>
              <w:pStyle w:val="TableContents"/>
              <w:bidi w:val="0"/>
              <w:spacing w:before="0" w:after="283"/>
              <w:jc w:val="left"/>
              <w:rPr>
                <w:sz w:val="4"/>
                <w:szCs w:val="4"/>
              </w:rPr>
            </w:pPr>
            <w:r>
              <w:rPr>
                <w:sz w:val="4"/>
                <w:szCs w:val="4"/>
              </w:rPr>
            </w:r>
          </w:p>
        </w:tc>
        <w:tc>
          <w:tcPr>
            <w:tcW w:w="1040" w:type="dxa"/>
            <w:gridSpan w:val="4"/>
            <w:tcBorders/>
            <w:shd w:fill="EDEDED" w:val="clear"/>
            <w:vAlign w:val="center"/>
          </w:tcPr>
          <w:p>
            <w:pPr>
              <w:pStyle w:val="TableContents"/>
              <w:bidi w:val="0"/>
              <w:spacing w:before="0" w:after="283"/>
              <w:jc w:val="left"/>
              <w:rPr>
                <w:sz w:val="4"/>
                <w:szCs w:val="4"/>
              </w:rPr>
            </w:pPr>
            <w:r>
              <w:rPr>
                <w:sz w:val="4"/>
                <w:szCs w:val="4"/>
              </w:rPr>
            </w:r>
          </w:p>
        </w:tc>
        <w:tc>
          <w:tcPr>
            <w:tcW w:w="93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870" w:type="dxa"/>
            <w:tcBorders/>
            <w:shd w:fill="EDEDED" w:val="clear"/>
            <w:vAlign w:val="center"/>
          </w:tcPr>
          <w:p>
            <w:pPr>
              <w:pStyle w:val="TableContents"/>
              <w:bidi w:val="0"/>
              <w:spacing w:before="0" w:after="0"/>
              <w:jc w:val="left"/>
              <w:rPr>
                <w:rFonts w:ascii="ARIAL" w:hAnsi="ARIAL"/>
                <w:sz w:val="18"/>
              </w:rPr>
            </w:pPr>
            <w:r>
              <w:rPr>
                <w:rFonts w:ascii="ARIAL" w:hAnsi="ARIAL"/>
                <w:sz w:val="18"/>
              </w:rPr>
              <w:t>CEO Experience</w:t>
            </w:r>
          </w:p>
        </w:tc>
        <w:tc>
          <w:tcPr>
            <w:tcW w:w="120" w:type="dxa"/>
            <w:tcBorders/>
            <w:shd w:fill="EDEDED" w:val="clear"/>
            <w:vAlign w:val="center"/>
          </w:tcPr>
          <w:p>
            <w:pPr>
              <w:pStyle w:val="TableContents"/>
              <w:bidi w:val="0"/>
              <w:spacing w:before="0" w:after="283"/>
              <w:jc w:val="left"/>
              <w:rPr/>
            </w:pPr>
            <w:r>
              <w:rPr/>
              <w:t>  </w:t>
            </w:r>
          </w:p>
        </w:tc>
        <w:tc>
          <w:tcPr>
            <w:tcW w:w="195" w:type="dxa"/>
            <w:tcBorders/>
            <w:shd w:fill="EDEDED" w:val="clear"/>
            <w:vAlign w:val="center"/>
          </w:tcPr>
          <w:p>
            <w:pPr>
              <w:pStyle w:val="TableContents"/>
              <w:bidi w:val="0"/>
              <w:spacing w:before="0" w:after="283"/>
              <w:jc w:val="left"/>
              <w:rPr/>
            </w:pPr>
            <w:r>
              <w:rPr/>
              <w:t> </w:t>
            </w:r>
          </w:p>
        </w:tc>
        <w:tc>
          <w:tcPr>
            <w:tcW w:w="650"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63" w:type="dxa"/>
            <w:tcBorders/>
            <w:shd w:fill="EDEDED" w:val="clear"/>
            <w:vAlign w:val="center"/>
          </w:tcPr>
          <w:p>
            <w:pPr>
              <w:pStyle w:val="TableContents"/>
              <w:bidi w:val="0"/>
              <w:spacing w:before="0" w:after="283"/>
              <w:jc w:val="left"/>
              <w:rPr/>
            </w:pPr>
            <w:r>
              <w:rPr/>
              <w:t> </w:t>
            </w:r>
          </w:p>
        </w:tc>
        <w:tc>
          <w:tcPr>
            <w:tcW w:w="547"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98" w:type="dxa"/>
            <w:tcBorders/>
            <w:shd w:fill="EDEDED" w:val="clear"/>
            <w:vAlign w:val="center"/>
          </w:tcPr>
          <w:p>
            <w:pPr>
              <w:pStyle w:val="TableContents"/>
              <w:bidi w:val="0"/>
              <w:spacing w:before="0" w:after="283"/>
              <w:jc w:val="left"/>
              <w:rPr/>
            </w:pPr>
            <w:r>
              <w:rPr/>
              <w:t> </w:t>
            </w:r>
          </w:p>
        </w:tc>
        <w:tc>
          <w:tcPr>
            <w:tcW w:w="662"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74" w:type="dxa"/>
            <w:tcBorders/>
            <w:shd w:fill="EDEDED" w:val="clear"/>
            <w:vAlign w:val="center"/>
          </w:tcPr>
          <w:p>
            <w:pPr>
              <w:pStyle w:val="TableContents"/>
              <w:bidi w:val="0"/>
              <w:spacing w:before="0" w:after="0"/>
              <w:jc w:val="left"/>
              <w:rPr/>
            </w:pPr>
            <w:r>
              <w:rPr/>
              <w:t> </w:t>
            </w:r>
          </w:p>
        </w:tc>
        <w:tc>
          <w:tcPr>
            <w:tcW w:w="581"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0"/>
              <w:jc w:val="left"/>
              <w:rPr/>
            </w:pPr>
            <w:r>
              <w:rPr/>
              <w:t> </w:t>
            </w:r>
          </w:p>
        </w:tc>
        <w:tc>
          <w:tcPr>
            <w:tcW w:w="489"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0"/>
              <w:jc w:val="left"/>
              <w:rPr/>
            </w:pPr>
            <w:r>
              <w:rPr/>
              <w:t> </w:t>
            </w:r>
          </w:p>
        </w:tc>
        <w:tc>
          <w:tcPr>
            <w:tcW w:w="489"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3" w:type="dxa"/>
            <w:tcBorders/>
            <w:shd w:fill="EDEDED" w:val="clear"/>
            <w:vAlign w:val="center"/>
          </w:tcPr>
          <w:p>
            <w:pPr>
              <w:pStyle w:val="TableContents"/>
              <w:bidi w:val="0"/>
              <w:spacing w:before="0" w:after="283"/>
              <w:jc w:val="left"/>
              <w:rPr/>
            </w:pPr>
            <w:r>
              <w:rPr/>
              <w:t> </w:t>
            </w:r>
          </w:p>
        </w:tc>
        <w:tc>
          <w:tcPr>
            <w:tcW w:w="477" w:type="dxa"/>
            <w:tcBorders/>
            <w:shd w:fill="EDEDED" w:val="clear"/>
            <w:vAlign w:val="center"/>
          </w:tcPr>
          <w:p>
            <w:pPr>
              <w:pStyle w:val="TableContents"/>
              <w:bidi w:val="0"/>
              <w:spacing w:before="0" w:after="283"/>
              <w:jc w:val="right"/>
              <w:rPr/>
            </w:pPr>
            <w:r>
              <w:rPr/>
              <w:t>X</w:t>
            </w:r>
          </w:p>
        </w:tc>
        <w:tc>
          <w:tcPr>
            <w:tcW w:w="75" w:type="dxa"/>
            <w:tcBorders/>
            <w:shd w:fill="EDEDED" w:val="clear"/>
            <w:vAlign w:val="center"/>
          </w:tcPr>
          <w:p>
            <w:pPr>
              <w:pStyle w:val="TableContents"/>
              <w:bidi w:val="0"/>
              <w:spacing w:before="0" w:after="283"/>
              <w:jc w:val="left"/>
              <w:rPr/>
            </w:pPr>
            <w:r>
              <w:rPr/>
              <w:t> </w:t>
            </w:r>
          </w:p>
        </w:tc>
      </w:tr>
      <w:tr>
        <w:trPr/>
        <w:tc>
          <w:tcPr>
            <w:tcW w:w="3870"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0"/>
              <w:jc w:val="left"/>
              <w:rPr>
                <w:rFonts w:ascii="ARIAL" w:hAnsi="ARIAL"/>
                <w:sz w:val="18"/>
              </w:rPr>
            </w:pPr>
            <w:r>
              <w:rPr>
                <w:rFonts w:ascii="ARIAL" w:hAnsi="ARIAL"/>
                <w:sz w:val="18"/>
              </w:rPr>
              <w:t>CFO Experience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pPr>
            <w:r>
              <w:rPr/>
              <w:t> </w:t>
            </w:r>
          </w:p>
        </w:tc>
        <w:tc>
          <w:tcPr>
            <w:tcW w:w="54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pPr>
            <w:r>
              <w:rPr/>
              <w:t> </w:t>
            </w:r>
          </w:p>
        </w:tc>
        <w:tc>
          <w:tcPr>
            <w:tcW w:w="66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48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right"/>
              <w:rPr/>
            </w:pPr>
            <w:r>
              <w:rPr/>
              <w:t>X</w:t>
            </w:r>
          </w:p>
        </w:tc>
        <w:tc>
          <w:tcPr>
            <w:tcW w:w="75" w:type="dxa"/>
            <w:tcBorders/>
            <w:vAlign w:val="center"/>
          </w:tcPr>
          <w:p>
            <w:pPr>
              <w:pStyle w:val="TableContents"/>
              <w:bidi w:val="0"/>
              <w:spacing w:before="0" w:after="283"/>
              <w:jc w:val="left"/>
              <w:rPr/>
            </w:pPr>
            <w:r>
              <w:rPr/>
              <w:t> </w:t>
            </w:r>
          </w:p>
        </w:tc>
      </w:tr>
      <w:tr>
        <w:trPr/>
        <w:tc>
          <w:tcPr>
            <w:tcW w:w="3870" w:type="dxa"/>
            <w:tcBorders/>
            <w:shd w:fill="EDEDED" w:val="clear"/>
            <w:vAlign w:val="center"/>
          </w:tcPr>
          <w:p>
            <w:pPr>
              <w:pStyle w:val="TableContents"/>
              <w:bidi w:val="0"/>
              <w:spacing w:before="0" w:after="283"/>
              <w:jc w:val="left"/>
              <w:rPr>
                <w:sz w:val="4"/>
                <w:szCs w:val="4"/>
              </w:rPr>
            </w:pPr>
            <w:r>
              <w:rPr>
                <w:sz w:val="4"/>
                <w:szCs w:val="4"/>
              </w:rPr>
            </w:r>
          </w:p>
        </w:tc>
        <w:tc>
          <w:tcPr>
            <w:tcW w:w="1025" w:type="dxa"/>
            <w:gridSpan w:val="4"/>
            <w:tcBorders/>
            <w:shd w:fill="EDEDED" w:val="clear"/>
            <w:vAlign w:val="center"/>
          </w:tcPr>
          <w:p>
            <w:pPr>
              <w:pStyle w:val="TableContents"/>
              <w:bidi w:val="0"/>
              <w:spacing w:before="0" w:after="283"/>
              <w:jc w:val="left"/>
              <w:rPr>
                <w:sz w:val="4"/>
                <w:szCs w:val="4"/>
              </w:rPr>
            </w:pPr>
            <w:r>
              <w:rPr>
                <w:sz w:val="4"/>
                <w:szCs w:val="4"/>
              </w:rPr>
            </w:r>
          </w:p>
        </w:tc>
        <w:tc>
          <w:tcPr>
            <w:tcW w:w="890" w:type="dxa"/>
            <w:gridSpan w:val="4"/>
            <w:tcBorders/>
            <w:shd w:fill="EDEDED" w:val="clear"/>
            <w:vAlign w:val="center"/>
          </w:tcPr>
          <w:p>
            <w:pPr>
              <w:pStyle w:val="TableContents"/>
              <w:bidi w:val="0"/>
              <w:spacing w:before="0" w:after="283"/>
              <w:jc w:val="left"/>
              <w:rPr>
                <w:sz w:val="4"/>
                <w:szCs w:val="4"/>
              </w:rPr>
            </w:pPr>
            <w:r>
              <w:rPr>
                <w:sz w:val="4"/>
                <w:szCs w:val="4"/>
              </w:rPr>
            </w:r>
          </w:p>
        </w:tc>
        <w:tc>
          <w:tcPr>
            <w:tcW w:w="1040" w:type="dxa"/>
            <w:gridSpan w:val="4"/>
            <w:tcBorders/>
            <w:shd w:fill="EDEDED" w:val="clear"/>
            <w:vAlign w:val="center"/>
          </w:tcPr>
          <w:p>
            <w:pPr>
              <w:pStyle w:val="TableContents"/>
              <w:bidi w:val="0"/>
              <w:spacing w:before="0" w:after="283"/>
              <w:jc w:val="left"/>
              <w:rPr>
                <w:sz w:val="4"/>
                <w:szCs w:val="4"/>
              </w:rPr>
            </w:pPr>
            <w:r>
              <w:rPr>
                <w:sz w:val="4"/>
                <w:szCs w:val="4"/>
              </w:rPr>
            </w:r>
          </w:p>
        </w:tc>
        <w:tc>
          <w:tcPr>
            <w:tcW w:w="93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870" w:type="dxa"/>
            <w:tcBorders/>
            <w:shd w:fill="EDEDED" w:val="clear"/>
            <w:vAlign w:val="center"/>
          </w:tcPr>
          <w:p>
            <w:pPr>
              <w:pStyle w:val="TableContents"/>
              <w:bidi w:val="0"/>
              <w:spacing w:before="0" w:after="0"/>
              <w:jc w:val="left"/>
              <w:rPr>
                <w:rFonts w:ascii="ARIAL" w:hAnsi="ARIAL"/>
                <w:sz w:val="18"/>
              </w:rPr>
            </w:pPr>
            <w:r>
              <w:rPr>
                <w:rFonts w:ascii="ARIAL" w:hAnsi="ARIAL"/>
                <w:sz w:val="18"/>
              </w:rPr>
              <w:t>Technology</w:t>
            </w:r>
          </w:p>
        </w:tc>
        <w:tc>
          <w:tcPr>
            <w:tcW w:w="120" w:type="dxa"/>
            <w:tcBorders/>
            <w:shd w:fill="EDEDED" w:val="clear"/>
            <w:vAlign w:val="center"/>
          </w:tcPr>
          <w:p>
            <w:pPr>
              <w:pStyle w:val="TableContents"/>
              <w:bidi w:val="0"/>
              <w:spacing w:before="0" w:after="283"/>
              <w:jc w:val="left"/>
              <w:rPr/>
            </w:pPr>
            <w:r>
              <w:rPr/>
              <w:t>  </w:t>
            </w:r>
          </w:p>
        </w:tc>
        <w:tc>
          <w:tcPr>
            <w:tcW w:w="195" w:type="dxa"/>
            <w:tcBorders/>
            <w:shd w:fill="EDEDED" w:val="clear"/>
            <w:vAlign w:val="center"/>
          </w:tcPr>
          <w:p>
            <w:pPr>
              <w:pStyle w:val="TableContents"/>
              <w:bidi w:val="0"/>
              <w:spacing w:before="0" w:after="283"/>
              <w:jc w:val="left"/>
              <w:rPr/>
            </w:pPr>
            <w:r>
              <w:rPr/>
              <w:t> </w:t>
            </w:r>
          </w:p>
        </w:tc>
        <w:tc>
          <w:tcPr>
            <w:tcW w:w="650"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63" w:type="dxa"/>
            <w:tcBorders/>
            <w:shd w:fill="EDEDED" w:val="clear"/>
            <w:vAlign w:val="center"/>
          </w:tcPr>
          <w:p>
            <w:pPr>
              <w:pStyle w:val="TableContents"/>
              <w:bidi w:val="0"/>
              <w:spacing w:before="0" w:after="283"/>
              <w:jc w:val="left"/>
              <w:rPr/>
            </w:pPr>
            <w:r>
              <w:rPr/>
              <w:t> </w:t>
            </w:r>
          </w:p>
        </w:tc>
        <w:tc>
          <w:tcPr>
            <w:tcW w:w="547"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98" w:type="dxa"/>
            <w:tcBorders/>
            <w:shd w:fill="EDEDED" w:val="clear"/>
            <w:vAlign w:val="center"/>
          </w:tcPr>
          <w:p>
            <w:pPr>
              <w:pStyle w:val="TableContents"/>
              <w:bidi w:val="0"/>
              <w:spacing w:before="0" w:after="283"/>
              <w:jc w:val="left"/>
              <w:rPr/>
            </w:pPr>
            <w:r>
              <w:rPr/>
              <w:t> </w:t>
            </w:r>
          </w:p>
        </w:tc>
        <w:tc>
          <w:tcPr>
            <w:tcW w:w="662"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74" w:type="dxa"/>
            <w:tcBorders/>
            <w:shd w:fill="EDEDED" w:val="clear"/>
            <w:vAlign w:val="center"/>
          </w:tcPr>
          <w:p>
            <w:pPr>
              <w:pStyle w:val="TableContents"/>
              <w:bidi w:val="0"/>
              <w:spacing w:before="0" w:after="0"/>
              <w:jc w:val="left"/>
              <w:rPr/>
            </w:pPr>
            <w:r>
              <w:rPr/>
              <w:t> </w:t>
            </w:r>
          </w:p>
        </w:tc>
        <w:tc>
          <w:tcPr>
            <w:tcW w:w="581"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0"/>
              <w:jc w:val="left"/>
              <w:rPr/>
            </w:pPr>
            <w:r>
              <w:rPr/>
              <w:t> </w:t>
            </w:r>
          </w:p>
        </w:tc>
        <w:tc>
          <w:tcPr>
            <w:tcW w:w="489"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0"/>
              <w:jc w:val="left"/>
              <w:rPr/>
            </w:pPr>
            <w:r>
              <w:rPr/>
              <w:t> </w:t>
            </w:r>
          </w:p>
        </w:tc>
        <w:tc>
          <w:tcPr>
            <w:tcW w:w="489"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3" w:type="dxa"/>
            <w:tcBorders/>
            <w:shd w:fill="EDEDED" w:val="clear"/>
            <w:vAlign w:val="center"/>
          </w:tcPr>
          <w:p>
            <w:pPr>
              <w:pStyle w:val="TableContents"/>
              <w:bidi w:val="0"/>
              <w:spacing w:before="0" w:after="0"/>
              <w:jc w:val="left"/>
              <w:rPr/>
            </w:pPr>
            <w:r>
              <w:rPr/>
              <w:t> </w:t>
            </w:r>
          </w:p>
        </w:tc>
        <w:tc>
          <w:tcPr>
            <w:tcW w:w="477" w:type="dxa"/>
            <w:tcBorders/>
            <w:shd w:fill="EDEDED" w:val="clear"/>
            <w:vAlign w:val="center"/>
          </w:tcPr>
          <w:p>
            <w:pPr>
              <w:pStyle w:val="TableContents"/>
              <w:bidi w:val="0"/>
              <w:spacing w:before="0" w:after="0"/>
              <w:jc w:val="left"/>
              <w:rPr/>
            </w:pPr>
            <w:r>
              <w:rPr/>
              <w:t> </w:t>
            </w:r>
          </w:p>
        </w:tc>
        <w:tc>
          <w:tcPr>
            <w:tcW w:w="75" w:type="dxa"/>
            <w:tcBorders/>
            <w:shd w:fill="EDEDED" w:val="clear"/>
            <w:vAlign w:val="center"/>
          </w:tcPr>
          <w:p>
            <w:pPr>
              <w:pStyle w:val="TableContents"/>
              <w:bidi w:val="0"/>
              <w:spacing w:before="0" w:after="0"/>
              <w:jc w:val="left"/>
              <w:rPr/>
            </w:pPr>
            <w:r>
              <w:rPr/>
              <w:t> </w:t>
            </w:r>
          </w:p>
        </w:tc>
      </w:tr>
      <w:tr>
        <w:trPr/>
        <w:tc>
          <w:tcPr>
            <w:tcW w:w="3870"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0"/>
              <w:jc w:val="left"/>
              <w:rPr>
                <w:rFonts w:ascii="ARIAL" w:hAnsi="ARIAL"/>
                <w:sz w:val="18"/>
              </w:rPr>
            </w:pPr>
            <w:r>
              <w:rPr>
                <w:rFonts w:ascii="ARIAL" w:hAnsi="ARIAL"/>
                <w:sz w:val="18"/>
              </w:rPr>
              <w:t>Finance/Accounting</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48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right"/>
              <w:rPr/>
            </w:pPr>
            <w:r>
              <w:rPr/>
              <w:t>X</w:t>
            </w:r>
          </w:p>
        </w:tc>
        <w:tc>
          <w:tcPr>
            <w:tcW w:w="75" w:type="dxa"/>
            <w:tcBorders/>
            <w:vAlign w:val="center"/>
          </w:tcPr>
          <w:p>
            <w:pPr>
              <w:pStyle w:val="TableContents"/>
              <w:bidi w:val="0"/>
              <w:spacing w:before="0" w:after="283"/>
              <w:jc w:val="left"/>
              <w:rPr/>
            </w:pPr>
            <w:r>
              <w:rPr/>
              <w:t> </w:t>
            </w:r>
          </w:p>
        </w:tc>
      </w:tr>
      <w:tr>
        <w:trPr/>
        <w:tc>
          <w:tcPr>
            <w:tcW w:w="3870" w:type="dxa"/>
            <w:tcBorders/>
            <w:shd w:fill="EDEDED" w:val="clear"/>
            <w:vAlign w:val="center"/>
          </w:tcPr>
          <w:p>
            <w:pPr>
              <w:pStyle w:val="TableContents"/>
              <w:bidi w:val="0"/>
              <w:spacing w:before="0" w:after="283"/>
              <w:jc w:val="left"/>
              <w:rPr>
                <w:sz w:val="4"/>
                <w:szCs w:val="4"/>
              </w:rPr>
            </w:pPr>
            <w:r>
              <w:rPr>
                <w:sz w:val="4"/>
                <w:szCs w:val="4"/>
              </w:rPr>
            </w:r>
          </w:p>
        </w:tc>
        <w:tc>
          <w:tcPr>
            <w:tcW w:w="1025" w:type="dxa"/>
            <w:gridSpan w:val="4"/>
            <w:tcBorders/>
            <w:shd w:fill="EDEDED" w:val="clear"/>
            <w:vAlign w:val="center"/>
          </w:tcPr>
          <w:p>
            <w:pPr>
              <w:pStyle w:val="TableContents"/>
              <w:bidi w:val="0"/>
              <w:spacing w:before="0" w:after="283"/>
              <w:jc w:val="left"/>
              <w:rPr>
                <w:sz w:val="4"/>
                <w:szCs w:val="4"/>
              </w:rPr>
            </w:pPr>
            <w:r>
              <w:rPr>
                <w:sz w:val="4"/>
                <w:szCs w:val="4"/>
              </w:rPr>
            </w:r>
          </w:p>
        </w:tc>
        <w:tc>
          <w:tcPr>
            <w:tcW w:w="890" w:type="dxa"/>
            <w:gridSpan w:val="4"/>
            <w:tcBorders/>
            <w:shd w:fill="EDEDED" w:val="clear"/>
            <w:vAlign w:val="center"/>
          </w:tcPr>
          <w:p>
            <w:pPr>
              <w:pStyle w:val="TableContents"/>
              <w:bidi w:val="0"/>
              <w:spacing w:before="0" w:after="283"/>
              <w:jc w:val="left"/>
              <w:rPr>
                <w:sz w:val="4"/>
                <w:szCs w:val="4"/>
              </w:rPr>
            </w:pPr>
            <w:r>
              <w:rPr>
                <w:sz w:val="4"/>
                <w:szCs w:val="4"/>
              </w:rPr>
            </w:r>
          </w:p>
        </w:tc>
        <w:tc>
          <w:tcPr>
            <w:tcW w:w="1040" w:type="dxa"/>
            <w:gridSpan w:val="4"/>
            <w:tcBorders/>
            <w:shd w:fill="EDEDED" w:val="clear"/>
            <w:vAlign w:val="center"/>
          </w:tcPr>
          <w:p>
            <w:pPr>
              <w:pStyle w:val="TableContents"/>
              <w:bidi w:val="0"/>
              <w:spacing w:before="0" w:after="283"/>
              <w:jc w:val="left"/>
              <w:rPr>
                <w:sz w:val="4"/>
                <w:szCs w:val="4"/>
              </w:rPr>
            </w:pPr>
            <w:r>
              <w:rPr>
                <w:sz w:val="4"/>
                <w:szCs w:val="4"/>
              </w:rPr>
            </w:r>
          </w:p>
        </w:tc>
        <w:tc>
          <w:tcPr>
            <w:tcW w:w="93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870" w:type="dxa"/>
            <w:tcBorders/>
            <w:shd w:fill="EDEDED" w:val="clear"/>
            <w:vAlign w:val="center"/>
          </w:tcPr>
          <w:p>
            <w:pPr>
              <w:pStyle w:val="TableContents"/>
              <w:bidi w:val="0"/>
              <w:spacing w:before="0" w:after="0"/>
              <w:jc w:val="left"/>
              <w:rPr>
                <w:rFonts w:ascii="ARIAL" w:hAnsi="ARIAL"/>
                <w:sz w:val="18"/>
              </w:rPr>
            </w:pPr>
            <w:r>
              <w:rPr>
                <w:rFonts w:ascii="ARIAL" w:hAnsi="ARIAL"/>
                <w:sz w:val="18"/>
              </w:rPr>
              <w:t>Mergers and Acquisitions</w:t>
            </w:r>
          </w:p>
        </w:tc>
        <w:tc>
          <w:tcPr>
            <w:tcW w:w="120" w:type="dxa"/>
            <w:tcBorders/>
            <w:shd w:fill="EDEDED" w:val="clear"/>
            <w:vAlign w:val="center"/>
          </w:tcPr>
          <w:p>
            <w:pPr>
              <w:pStyle w:val="TableContents"/>
              <w:bidi w:val="0"/>
              <w:spacing w:before="0" w:after="283"/>
              <w:jc w:val="left"/>
              <w:rPr/>
            </w:pPr>
            <w:r>
              <w:rPr/>
              <w:t>  </w:t>
            </w:r>
          </w:p>
        </w:tc>
        <w:tc>
          <w:tcPr>
            <w:tcW w:w="195" w:type="dxa"/>
            <w:tcBorders/>
            <w:shd w:fill="EDEDED" w:val="clear"/>
            <w:vAlign w:val="center"/>
          </w:tcPr>
          <w:p>
            <w:pPr>
              <w:pStyle w:val="TableContents"/>
              <w:bidi w:val="0"/>
              <w:spacing w:before="0" w:after="283"/>
              <w:jc w:val="left"/>
              <w:rPr/>
            </w:pPr>
            <w:r>
              <w:rPr/>
              <w:t> </w:t>
            </w:r>
          </w:p>
        </w:tc>
        <w:tc>
          <w:tcPr>
            <w:tcW w:w="650"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63" w:type="dxa"/>
            <w:tcBorders/>
            <w:shd w:fill="EDEDED" w:val="clear"/>
            <w:vAlign w:val="center"/>
          </w:tcPr>
          <w:p>
            <w:pPr>
              <w:pStyle w:val="TableContents"/>
              <w:bidi w:val="0"/>
              <w:spacing w:before="0" w:after="283"/>
              <w:jc w:val="left"/>
              <w:rPr/>
            </w:pPr>
            <w:r>
              <w:rPr/>
              <w:t> </w:t>
            </w:r>
          </w:p>
        </w:tc>
        <w:tc>
          <w:tcPr>
            <w:tcW w:w="547"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98" w:type="dxa"/>
            <w:tcBorders/>
            <w:shd w:fill="EDEDED" w:val="clear"/>
            <w:vAlign w:val="center"/>
          </w:tcPr>
          <w:p>
            <w:pPr>
              <w:pStyle w:val="TableContents"/>
              <w:bidi w:val="0"/>
              <w:spacing w:before="0" w:after="283"/>
              <w:jc w:val="left"/>
              <w:rPr/>
            </w:pPr>
            <w:r>
              <w:rPr/>
              <w:t> </w:t>
            </w:r>
          </w:p>
        </w:tc>
        <w:tc>
          <w:tcPr>
            <w:tcW w:w="662"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74" w:type="dxa"/>
            <w:tcBorders/>
            <w:shd w:fill="EDEDED" w:val="clear"/>
            <w:vAlign w:val="center"/>
          </w:tcPr>
          <w:p>
            <w:pPr>
              <w:pStyle w:val="TableContents"/>
              <w:bidi w:val="0"/>
              <w:spacing w:before="0" w:after="283"/>
              <w:jc w:val="left"/>
              <w:rPr/>
            </w:pPr>
            <w:r>
              <w:rPr/>
              <w:t> </w:t>
            </w:r>
          </w:p>
        </w:tc>
        <w:tc>
          <w:tcPr>
            <w:tcW w:w="581"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283"/>
              <w:jc w:val="left"/>
              <w:rPr/>
            </w:pPr>
            <w:r>
              <w:rPr/>
              <w:t> </w:t>
            </w:r>
          </w:p>
        </w:tc>
        <w:tc>
          <w:tcPr>
            <w:tcW w:w="489"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283"/>
              <w:jc w:val="left"/>
              <w:rPr/>
            </w:pPr>
            <w:r>
              <w:rPr/>
              <w:t> </w:t>
            </w:r>
          </w:p>
        </w:tc>
        <w:tc>
          <w:tcPr>
            <w:tcW w:w="489"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3" w:type="dxa"/>
            <w:tcBorders/>
            <w:shd w:fill="EDEDED" w:val="clear"/>
            <w:vAlign w:val="center"/>
          </w:tcPr>
          <w:p>
            <w:pPr>
              <w:pStyle w:val="TableContents"/>
              <w:bidi w:val="0"/>
              <w:spacing w:before="0" w:after="283"/>
              <w:jc w:val="left"/>
              <w:rPr/>
            </w:pPr>
            <w:r>
              <w:rPr/>
              <w:t> </w:t>
            </w:r>
          </w:p>
        </w:tc>
        <w:tc>
          <w:tcPr>
            <w:tcW w:w="477" w:type="dxa"/>
            <w:tcBorders/>
            <w:shd w:fill="EDEDED" w:val="clear"/>
            <w:vAlign w:val="center"/>
          </w:tcPr>
          <w:p>
            <w:pPr>
              <w:pStyle w:val="TableContents"/>
              <w:bidi w:val="0"/>
              <w:spacing w:before="0" w:after="283"/>
              <w:jc w:val="right"/>
              <w:rPr/>
            </w:pPr>
            <w:r>
              <w:rPr/>
              <w:t>X</w:t>
            </w:r>
          </w:p>
        </w:tc>
        <w:tc>
          <w:tcPr>
            <w:tcW w:w="75" w:type="dxa"/>
            <w:tcBorders/>
            <w:shd w:fill="EDEDED" w:val="clear"/>
            <w:vAlign w:val="center"/>
          </w:tcPr>
          <w:p>
            <w:pPr>
              <w:pStyle w:val="TableContents"/>
              <w:bidi w:val="0"/>
              <w:spacing w:before="0" w:after="283"/>
              <w:jc w:val="left"/>
              <w:rPr/>
            </w:pPr>
            <w:r>
              <w:rPr/>
              <w:t> </w:t>
            </w:r>
          </w:p>
        </w:tc>
      </w:tr>
      <w:tr>
        <w:trPr/>
        <w:tc>
          <w:tcPr>
            <w:tcW w:w="3870"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0"/>
              <w:jc w:val="left"/>
              <w:rPr>
                <w:rFonts w:ascii="ARIAL" w:hAnsi="ARIAL"/>
                <w:sz w:val="18"/>
              </w:rPr>
            </w:pPr>
            <w:r>
              <w:rPr>
                <w:rFonts w:ascii="ARIAL" w:hAnsi="ARIAL"/>
                <w:sz w:val="18"/>
              </w:rPr>
              <w:t>Risk Management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pPr>
            <w:r>
              <w:rPr/>
              <w:t> </w:t>
            </w:r>
          </w:p>
        </w:tc>
        <w:tc>
          <w:tcPr>
            <w:tcW w:w="54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48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right"/>
              <w:rPr/>
            </w:pPr>
            <w:r>
              <w:rPr/>
              <w:t>X</w:t>
            </w:r>
          </w:p>
        </w:tc>
        <w:tc>
          <w:tcPr>
            <w:tcW w:w="75" w:type="dxa"/>
            <w:tcBorders/>
            <w:vAlign w:val="center"/>
          </w:tcPr>
          <w:p>
            <w:pPr>
              <w:pStyle w:val="TableContents"/>
              <w:bidi w:val="0"/>
              <w:spacing w:before="0" w:after="283"/>
              <w:jc w:val="left"/>
              <w:rPr/>
            </w:pPr>
            <w:r>
              <w:rPr/>
              <w:t> </w:t>
            </w:r>
          </w:p>
        </w:tc>
      </w:tr>
      <w:tr>
        <w:trPr/>
        <w:tc>
          <w:tcPr>
            <w:tcW w:w="3870" w:type="dxa"/>
            <w:tcBorders/>
            <w:shd w:fill="EDEDED" w:val="clear"/>
            <w:vAlign w:val="center"/>
          </w:tcPr>
          <w:p>
            <w:pPr>
              <w:pStyle w:val="TableContents"/>
              <w:bidi w:val="0"/>
              <w:spacing w:before="0" w:after="283"/>
              <w:jc w:val="left"/>
              <w:rPr>
                <w:sz w:val="4"/>
                <w:szCs w:val="4"/>
              </w:rPr>
            </w:pPr>
            <w:r>
              <w:rPr>
                <w:sz w:val="4"/>
                <w:szCs w:val="4"/>
              </w:rPr>
            </w:r>
          </w:p>
        </w:tc>
        <w:tc>
          <w:tcPr>
            <w:tcW w:w="1025" w:type="dxa"/>
            <w:gridSpan w:val="4"/>
            <w:tcBorders/>
            <w:shd w:fill="EDEDED" w:val="clear"/>
            <w:vAlign w:val="center"/>
          </w:tcPr>
          <w:p>
            <w:pPr>
              <w:pStyle w:val="TableContents"/>
              <w:bidi w:val="0"/>
              <w:spacing w:before="0" w:after="283"/>
              <w:jc w:val="left"/>
              <w:rPr>
                <w:sz w:val="4"/>
                <w:szCs w:val="4"/>
              </w:rPr>
            </w:pPr>
            <w:r>
              <w:rPr>
                <w:sz w:val="4"/>
                <w:szCs w:val="4"/>
              </w:rPr>
            </w:r>
          </w:p>
        </w:tc>
        <w:tc>
          <w:tcPr>
            <w:tcW w:w="890" w:type="dxa"/>
            <w:gridSpan w:val="4"/>
            <w:tcBorders/>
            <w:shd w:fill="EDEDED" w:val="clear"/>
            <w:vAlign w:val="center"/>
          </w:tcPr>
          <w:p>
            <w:pPr>
              <w:pStyle w:val="TableContents"/>
              <w:bidi w:val="0"/>
              <w:spacing w:before="0" w:after="283"/>
              <w:jc w:val="left"/>
              <w:rPr>
                <w:sz w:val="4"/>
                <w:szCs w:val="4"/>
              </w:rPr>
            </w:pPr>
            <w:r>
              <w:rPr>
                <w:sz w:val="4"/>
                <w:szCs w:val="4"/>
              </w:rPr>
            </w:r>
          </w:p>
        </w:tc>
        <w:tc>
          <w:tcPr>
            <w:tcW w:w="1040" w:type="dxa"/>
            <w:gridSpan w:val="4"/>
            <w:tcBorders/>
            <w:shd w:fill="EDEDED" w:val="clear"/>
            <w:vAlign w:val="center"/>
          </w:tcPr>
          <w:p>
            <w:pPr>
              <w:pStyle w:val="TableContents"/>
              <w:bidi w:val="0"/>
              <w:spacing w:before="0" w:after="283"/>
              <w:jc w:val="left"/>
              <w:rPr>
                <w:sz w:val="4"/>
                <w:szCs w:val="4"/>
              </w:rPr>
            </w:pPr>
            <w:r>
              <w:rPr>
                <w:sz w:val="4"/>
                <w:szCs w:val="4"/>
              </w:rPr>
            </w:r>
          </w:p>
        </w:tc>
        <w:tc>
          <w:tcPr>
            <w:tcW w:w="93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870" w:type="dxa"/>
            <w:tcBorders/>
            <w:shd w:fill="EDEDED" w:val="clear"/>
            <w:vAlign w:val="center"/>
          </w:tcPr>
          <w:p>
            <w:pPr>
              <w:pStyle w:val="TableContents"/>
              <w:bidi w:val="0"/>
              <w:spacing w:before="0" w:after="0"/>
              <w:jc w:val="left"/>
              <w:rPr>
                <w:rFonts w:ascii="ARIAL" w:hAnsi="ARIAL"/>
                <w:sz w:val="18"/>
              </w:rPr>
            </w:pPr>
            <w:r>
              <w:rPr>
                <w:rFonts w:ascii="ARIAL" w:hAnsi="ARIAL"/>
                <w:sz w:val="18"/>
              </w:rPr>
              <w:t>International Business</w:t>
            </w:r>
          </w:p>
        </w:tc>
        <w:tc>
          <w:tcPr>
            <w:tcW w:w="120" w:type="dxa"/>
            <w:tcBorders/>
            <w:shd w:fill="EDEDED" w:val="clear"/>
            <w:vAlign w:val="center"/>
          </w:tcPr>
          <w:p>
            <w:pPr>
              <w:pStyle w:val="TableContents"/>
              <w:bidi w:val="0"/>
              <w:spacing w:before="0" w:after="283"/>
              <w:jc w:val="left"/>
              <w:rPr/>
            </w:pPr>
            <w:r>
              <w:rPr/>
              <w:t>  </w:t>
            </w:r>
          </w:p>
        </w:tc>
        <w:tc>
          <w:tcPr>
            <w:tcW w:w="195" w:type="dxa"/>
            <w:tcBorders/>
            <w:shd w:fill="EDEDED" w:val="clear"/>
            <w:vAlign w:val="center"/>
          </w:tcPr>
          <w:p>
            <w:pPr>
              <w:pStyle w:val="TableContents"/>
              <w:bidi w:val="0"/>
              <w:spacing w:before="0" w:after="283"/>
              <w:jc w:val="left"/>
              <w:rPr/>
            </w:pPr>
            <w:r>
              <w:rPr/>
              <w:t> </w:t>
            </w:r>
          </w:p>
        </w:tc>
        <w:tc>
          <w:tcPr>
            <w:tcW w:w="650"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63" w:type="dxa"/>
            <w:tcBorders/>
            <w:shd w:fill="EDEDED" w:val="clear"/>
            <w:vAlign w:val="center"/>
          </w:tcPr>
          <w:p>
            <w:pPr>
              <w:pStyle w:val="TableContents"/>
              <w:bidi w:val="0"/>
              <w:spacing w:before="0" w:after="283"/>
              <w:jc w:val="left"/>
              <w:rPr/>
            </w:pPr>
            <w:r>
              <w:rPr/>
              <w:t> </w:t>
            </w:r>
          </w:p>
        </w:tc>
        <w:tc>
          <w:tcPr>
            <w:tcW w:w="547"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98" w:type="dxa"/>
            <w:tcBorders/>
            <w:shd w:fill="EDEDED" w:val="clear"/>
            <w:vAlign w:val="center"/>
          </w:tcPr>
          <w:p>
            <w:pPr>
              <w:pStyle w:val="TableContents"/>
              <w:bidi w:val="0"/>
              <w:spacing w:before="0" w:after="283"/>
              <w:jc w:val="left"/>
              <w:rPr/>
            </w:pPr>
            <w:r>
              <w:rPr/>
              <w:t> </w:t>
            </w:r>
          </w:p>
        </w:tc>
        <w:tc>
          <w:tcPr>
            <w:tcW w:w="662"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74" w:type="dxa"/>
            <w:tcBorders/>
            <w:shd w:fill="EDEDED" w:val="clear"/>
            <w:vAlign w:val="center"/>
          </w:tcPr>
          <w:p>
            <w:pPr>
              <w:pStyle w:val="TableContents"/>
              <w:bidi w:val="0"/>
              <w:spacing w:before="0" w:after="283"/>
              <w:jc w:val="left"/>
              <w:rPr/>
            </w:pPr>
            <w:r>
              <w:rPr/>
              <w:t> </w:t>
            </w:r>
          </w:p>
        </w:tc>
        <w:tc>
          <w:tcPr>
            <w:tcW w:w="581"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283"/>
              <w:jc w:val="left"/>
              <w:rPr/>
            </w:pPr>
            <w:r>
              <w:rPr/>
              <w:t> </w:t>
            </w:r>
          </w:p>
        </w:tc>
        <w:tc>
          <w:tcPr>
            <w:tcW w:w="489"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283"/>
              <w:jc w:val="left"/>
              <w:rPr/>
            </w:pPr>
            <w:r>
              <w:rPr/>
              <w:t> </w:t>
            </w:r>
          </w:p>
        </w:tc>
        <w:tc>
          <w:tcPr>
            <w:tcW w:w="489"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3" w:type="dxa"/>
            <w:tcBorders/>
            <w:shd w:fill="EDEDED" w:val="clear"/>
            <w:vAlign w:val="center"/>
          </w:tcPr>
          <w:p>
            <w:pPr>
              <w:pStyle w:val="TableContents"/>
              <w:bidi w:val="0"/>
              <w:spacing w:before="0" w:after="283"/>
              <w:jc w:val="left"/>
              <w:rPr/>
            </w:pPr>
            <w:r>
              <w:rPr/>
              <w:t> </w:t>
            </w:r>
          </w:p>
        </w:tc>
        <w:tc>
          <w:tcPr>
            <w:tcW w:w="477" w:type="dxa"/>
            <w:tcBorders/>
            <w:shd w:fill="EDEDED" w:val="clear"/>
            <w:vAlign w:val="center"/>
          </w:tcPr>
          <w:p>
            <w:pPr>
              <w:pStyle w:val="TableContents"/>
              <w:bidi w:val="0"/>
              <w:spacing w:before="0" w:after="283"/>
              <w:jc w:val="right"/>
              <w:rPr/>
            </w:pPr>
            <w:r>
              <w:rPr/>
              <w:t>X</w:t>
            </w:r>
          </w:p>
        </w:tc>
        <w:tc>
          <w:tcPr>
            <w:tcW w:w="75" w:type="dxa"/>
            <w:tcBorders/>
            <w:shd w:fill="EDEDED" w:val="clear"/>
            <w:vAlign w:val="center"/>
          </w:tcPr>
          <w:p>
            <w:pPr>
              <w:pStyle w:val="TableContents"/>
              <w:bidi w:val="0"/>
              <w:spacing w:before="0" w:after="283"/>
              <w:jc w:val="left"/>
              <w:rPr/>
            </w:pPr>
            <w:r>
              <w:rPr/>
              <w:t> </w:t>
            </w:r>
          </w:p>
        </w:tc>
      </w:tr>
      <w:tr>
        <w:trPr/>
        <w:tc>
          <w:tcPr>
            <w:tcW w:w="3870"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0"/>
              <w:jc w:val="left"/>
              <w:rPr>
                <w:rFonts w:ascii="ARIAL" w:hAnsi="ARIAL"/>
                <w:sz w:val="18"/>
              </w:rPr>
            </w:pPr>
            <w:r>
              <w:rPr>
                <w:rFonts w:ascii="ARIAL" w:hAnsi="ARIAL"/>
                <w:sz w:val="18"/>
              </w:rPr>
              <w:t>Healthcare/Drug Development</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547"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pPr>
            <w:r>
              <w:rPr/>
              <w:t> </w:t>
            </w:r>
          </w:p>
        </w:tc>
        <w:tc>
          <w:tcPr>
            <w:tcW w:w="662"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581"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477" w:type="dxa"/>
            <w:tcBorders/>
            <w:vAlign w:val="center"/>
          </w:tcPr>
          <w:p>
            <w:pPr>
              <w:pStyle w:val="TableContents"/>
              <w:bidi w:val="0"/>
              <w:spacing w:before="0" w:after="283"/>
              <w:jc w:val="right"/>
              <w:rPr/>
            </w:pPr>
            <w:r>
              <w:rPr/>
              <w:t>X</w:t>
            </w:r>
          </w:p>
        </w:tc>
        <w:tc>
          <w:tcPr>
            <w:tcW w:w="75" w:type="dxa"/>
            <w:tcBorders/>
            <w:vAlign w:val="center"/>
          </w:tcPr>
          <w:p>
            <w:pPr>
              <w:pStyle w:val="TableContents"/>
              <w:bidi w:val="0"/>
              <w:spacing w:before="0" w:after="283"/>
              <w:jc w:val="left"/>
              <w:rPr/>
            </w:pPr>
            <w:r>
              <w:rPr/>
              <w:t> </w:t>
            </w:r>
          </w:p>
        </w:tc>
      </w:tr>
      <w:tr>
        <w:trPr/>
        <w:tc>
          <w:tcPr>
            <w:tcW w:w="3870" w:type="dxa"/>
            <w:tcBorders/>
            <w:shd w:fill="EDEDED" w:val="clear"/>
            <w:vAlign w:val="center"/>
          </w:tcPr>
          <w:p>
            <w:pPr>
              <w:pStyle w:val="TableContents"/>
              <w:bidi w:val="0"/>
              <w:spacing w:before="0" w:after="283"/>
              <w:jc w:val="left"/>
              <w:rPr>
                <w:sz w:val="4"/>
                <w:szCs w:val="4"/>
              </w:rPr>
            </w:pPr>
            <w:r>
              <w:rPr>
                <w:sz w:val="4"/>
                <w:szCs w:val="4"/>
              </w:rPr>
            </w:r>
          </w:p>
        </w:tc>
        <w:tc>
          <w:tcPr>
            <w:tcW w:w="1025" w:type="dxa"/>
            <w:gridSpan w:val="4"/>
            <w:tcBorders/>
            <w:shd w:fill="EDEDED" w:val="clear"/>
            <w:vAlign w:val="center"/>
          </w:tcPr>
          <w:p>
            <w:pPr>
              <w:pStyle w:val="TableContents"/>
              <w:bidi w:val="0"/>
              <w:spacing w:before="0" w:after="283"/>
              <w:jc w:val="left"/>
              <w:rPr>
                <w:sz w:val="4"/>
                <w:szCs w:val="4"/>
              </w:rPr>
            </w:pPr>
            <w:r>
              <w:rPr>
                <w:sz w:val="4"/>
                <w:szCs w:val="4"/>
              </w:rPr>
            </w:r>
          </w:p>
        </w:tc>
        <w:tc>
          <w:tcPr>
            <w:tcW w:w="890" w:type="dxa"/>
            <w:gridSpan w:val="4"/>
            <w:tcBorders/>
            <w:shd w:fill="EDEDED" w:val="clear"/>
            <w:vAlign w:val="center"/>
          </w:tcPr>
          <w:p>
            <w:pPr>
              <w:pStyle w:val="TableContents"/>
              <w:bidi w:val="0"/>
              <w:spacing w:before="0" w:after="283"/>
              <w:jc w:val="left"/>
              <w:rPr>
                <w:sz w:val="4"/>
                <w:szCs w:val="4"/>
              </w:rPr>
            </w:pPr>
            <w:r>
              <w:rPr>
                <w:sz w:val="4"/>
                <w:szCs w:val="4"/>
              </w:rPr>
            </w:r>
          </w:p>
        </w:tc>
        <w:tc>
          <w:tcPr>
            <w:tcW w:w="1040" w:type="dxa"/>
            <w:gridSpan w:val="4"/>
            <w:tcBorders/>
            <w:shd w:fill="EDEDED" w:val="clear"/>
            <w:vAlign w:val="center"/>
          </w:tcPr>
          <w:p>
            <w:pPr>
              <w:pStyle w:val="TableContents"/>
              <w:bidi w:val="0"/>
              <w:spacing w:before="0" w:after="283"/>
              <w:jc w:val="left"/>
              <w:rPr>
                <w:sz w:val="4"/>
                <w:szCs w:val="4"/>
              </w:rPr>
            </w:pPr>
            <w:r>
              <w:rPr>
                <w:sz w:val="4"/>
                <w:szCs w:val="4"/>
              </w:rPr>
            </w:r>
          </w:p>
        </w:tc>
        <w:tc>
          <w:tcPr>
            <w:tcW w:w="93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870" w:type="dxa"/>
            <w:tcBorders/>
            <w:shd w:fill="EDEDED" w:val="clear"/>
            <w:vAlign w:val="center"/>
          </w:tcPr>
          <w:p>
            <w:pPr>
              <w:pStyle w:val="TableContents"/>
              <w:bidi w:val="0"/>
              <w:spacing w:before="0" w:after="0"/>
              <w:jc w:val="left"/>
              <w:rPr>
                <w:rFonts w:ascii="ARIAL" w:hAnsi="ARIAL"/>
                <w:sz w:val="18"/>
              </w:rPr>
            </w:pPr>
            <w:r>
              <w:rPr>
                <w:rFonts w:ascii="ARIAL" w:hAnsi="ARIAL"/>
                <w:sz w:val="18"/>
              </w:rPr>
              <w:t>Human Resources</w:t>
            </w:r>
          </w:p>
        </w:tc>
        <w:tc>
          <w:tcPr>
            <w:tcW w:w="120" w:type="dxa"/>
            <w:tcBorders/>
            <w:shd w:fill="EDEDED" w:val="clear"/>
            <w:vAlign w:val="center"/>
          </w:tcPr>
          <w:p>
            <w:pPr>
              <w:pStyle w:val="TableContents"/>
              <w:bidi w:val="0"/>
              <w:spacing w:before="0" w:after="283"/>
              <w:jc w:val="left"/>
              <w:rPr/>
            </w:pPr>
            <w:r>
              <w:rPr/>
              <w:t>  </w:t>
            </w:r>
          </w:p>
        </w:tc>
        <w:tc>
          <w:tcPr>
            <w:tcW w:w="195" w:type="dxa"/>
            <w:tcBorders/>
            <w:shd w:fill="EDEDED" w:val="clear"/>
            <w:vAlign w:val="center"/>
          </w:tcPr>
          <w:p>
            <w:pPr>
              <w:pStyle w:val="TableContents"/>
              <w:bidi w:val="0"/>
              <w:spacing w:before="0" w:after="0"/>
              <w:jc w:val="left"/>
              <w:rPr/>
            </w:pPr>
            <w:r>
              <w:rPr/>
              <w:t> </w:t>
            </w:r>
          </w:p>
        </w:tc>
        <w:tc>
          <w:tcPr>
            <w:tcW w:w="65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63" w:type="dxa"/>
            <w:tcBorders/>
            <w:shd w:fill="EDEDED" w:val="clear"/>
            <w:vAlign w:val="center"/>
          </w:tcPr>
          <w:p>
            <w:pPr>
              <w:pStyle w:val="TableContents"/>
              <w:bidi w:val="0"/>
              <w:spacing w:before="0" w:after="0"/>
              <w:jc w:val="left"/>
              <w:rPr/>
            </w:pPr>
            <w:r>
              <w:rPr/>
              <w:t> </w:t>
            </w:r>
          </w:p>
        </w:tc>
        <w:tc>
          <w:tcPr>
            <w:tcW w:w="547"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98" w:type="dxa"/>
            <w:tcBorders/>
            <w:shd w:fill="EDEDED" w:val="clear"/>
            <w:vAlign w:val="center"/>
          </w:tcPr>
          <w:p>
            <w:pPr>
              <w:pStyle w:val="TableContents"/>
              <w:bidi w:val="0"/>
              <w:spacing w:before="0" w:after="0"/>
              <w:jc w:val="left"/>
              <w:rPr/>
            </w:pPr>
            <w:r>
              <w:rPr/>
              <w:t> </w:t>
            </w:r>
          </w:p>
        </w:tc>
        <w:tc>
          <w:tcPr>
            <w:tcW w:w="662"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74" w:type="dxa"/>
            <w:tcBorders/>
            <w:shd w:fill="EDEDED" w:val="clear"/>
            <w:vAlign w:val="center"/>
          </w:tcPr>
          <w:p>
            <w:pPr>
              <w:pStyle w:val="TableContents"/>
              <w:bidi w:val="0"/>
              <w:spacing w:before="0" w:after="283"/>
              <w:jc w:val="left"/>
              <w:rPr/>
            </w:pPr>
            <w:r>
              <w:rPr/>
              <w:t> </w:t>
            </w:r>
          </w:p>
        </w:tc>
        <w:tc>
          <w:tcPr>
            <w:tcW w:w="581"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0"/>
              <w:jc w:val="left"/>
              <w:rPr/>
            </w:pPr>
            <w:r>
              <w:rPr/>
              <w:t> </w:t>
            </w:r>
          </w:p>
        </w:tc>
        <w:tc>
          <w:tcPr>
            <w:tcW w:w="489"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0"/>
              <w:jc w:val="left"/>
              <w:rPr/>
            </w:pPr>
            <w:r>
              <w:rPr/>
              <w:t> </w:t>
            </w:r>
          </w:p>
        </w:tc>
        <w:tc>
          <w:tcPr>
            <w:tcW w:w="489"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3" w:type="dxa"/>
            <w:tcBorders/>
            <w:shd w:fill="EDEDED" w:val="clear"/>
            <w:vAlign w:val="center"/>
          </w:tcPr>
          <w:p>
            <w:pPr>
              <w:pStyle w:val="TableContents"/>
              <w:bidi w:val="0"/>
              <w:spacing w:before="0" w:after="0"/>
              <w:jc w:val="left"/>
              <w:rPr/>
            </w:pPr>
            <w:r>
              <w:rPr/>
              <w:t> </w:t>
            </w:r>
          </w:p>
        </w:tc>
        <w:tc>
          <w:tcPr>
            <w:tcW w:w="477" w:type="dxa"/>
            <w:tcBorders/>
            <w:shd w:fill="EDEDED" w:val="clear"/>
            <w:vAlign w:val="center"/>
          </w:tcPr>
          <w:p>
            <w:pPr>
              <w:pStyle w:val="TableContents"/>
              <w:bidi w:val="0"/>
              <w:spacing w:before="0" w:after="0"/>
              <w:jc w:val="left"/>
              <w:rPr/>
            </w:pPr>
            <w:r>
              <w:rPr/>
              <w:t> </w:t>
            </w:r>
          </w:p>
        </w:tc>
        <w:tc>
          <w:tcPr>
            <w:tcW w:w="75" w:type="dxa"/>
            <w:tcBorders/>
            <w:shd w:fill="EDEDED" w:val="clear"/>
            <w:vAlign w:val="center"/>
          </w:tcPr>
          <w:p>
            <w:pPr>
              <w:pStyle w:val="TableContents"/>
              <w:bidi w:val="0"/>
              <w:spacing w:before="0" w:after="0"/>
              <w:jc w:val="left"/>
              <w:rPr/>
            </w:pPr>
            <w:r>
              <w:rPr/>
              <w:t> </w:t>
            </w:r>
          </w:p>
        </w:tc>
      </w:tr>
      <w:tr>
        <w:trPr/>
        <w:tc>
          <w:tcPr>
            <w:tcW w:w="3870"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0"/>
              <w:jc w:val="left"/>
              <w:rPr>
                <w:rFonts w:ascii="ARIAL" w:hAnsi="ARIAL"/>
                <w:sz w:val="18"/>
              </w:rPr>
            </w:pPr>
            <w:r>
              <w:rPr>
                <w:rFonts w:ascii="ARIAL" w:hAnsi="ARIAL"/>
                <w:sz w:val="18"/>
              </w:rPr>
              <w:t>Quality and Regulatory</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pPr>
            <w:r>
              <w:rPr/>
              <w:t> </w:t>
            </w:r>
          </w:p>
        </w:tc>
        <w:tc>
          <w:tcPr>
            <w:tcW w:w="54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pPr>
            <w:r>
              <w:rPr/>
              <w:t> </w:t>
            </w:r>
          </w:p>
        </w:tc>
        <w:tc>
          <w:tcPr>
            <w:tcW w:w="66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jc w:val="left"/>
              <w:rPr/>
            </w:pPr>
            <w:r>
              <w:rPr/>
              <w:t> </w:t>
            </w:r>
          </w:p>
        </w:tc>
        <w:tc>
          <w:tcPr>
            <w:tcW w:w="489"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pPr>
            <w:r>
              <w:rPr/>
              <w:t> </w:t>
            </w:r>
          </w:p>
        </w:tc>
        <w:tc>
          <w:tcPr>
            <w:tcW w:w="477"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3870" w:type="dxa"/>
            <w:tcBorders/>
            <w:shd w:fill="EDEDED" w:val="clear"/>
            <w:vAlign w:val="center"/>
          </w:tcPr>
          <w:p>
            <w:pPr>
              <w:pStyle w:val="TableContents"/>
              <w:bidi w:val="0"/>
              <w:spacing w:before="0" w:after="283"/>
              <w:jc w:val="left"/>
              <w:rPr>
                <w:sz w:val="4"/>
                <w:szCs w:val="4"/>
              </w:rPr>
            </w:pPr>
            <w:r>
              <w:rPr>
                <w:sz w:val="4"/>
                <w:szCs w:val="4"/>
              </w:rPr>
            </w:r>
          </w:p>
        </w:tc>
        <w:tc>
          <w:tcPr>
            <w:tcW w:w="1025" w:type="dxa"/>
            <w:gridSpan w:val="4"/>
            <w:tcBorders/>
            <w:shd w:fill="EDEDED" w:val="clear"/>
            <w:vAlign w:val="center"/>
          </w:tcPr>
          <w:p>
            <w:pPr>
              <w:pStyle w:val="TableContents"/>
              <w:bidi w:val="0"/>
              <w:spacing w:before="0" w:after="283"/>
              <w:jc w:val="left"/>
              <w:rPr>
                <w:sz w:val="4"/>
                <w:szCs w:val="4"/>
              </w:rPr>
            </w:pPr>
            <w:r>
              <w:rPr>
                <w:sz w:val="4"/>
                <w:szCs w:val="4"/>
              </w:rPr>
            </w:r>
          </w:p>
        </w:tc>
        <w:tc>
          <w:tcPr>
            <w:tcW w:w="890" w:type="dxa"/>
            <w:gridSpan w:val="4"/>
            <w:tcBorders/>
            <w:shd w:fill="EDEDED" w:val="clear"/>
            <w:vAlign w:val="center"/>
          </w:tcPr>
          <w:p>
            <w:pPr>
              <w:pStyle w:val="TableContents"/>
              <w:bidi w:val="0"/>
              <w:spacing w:before="0" w:after="283"/>
              <w:jc w:val="left"/>
              <w:rPr>
                <w:sz w:val="4"/>
                <w:szCs w:val="4"/>
              </w:rPr>
            </w:pPr>
            <w:r>
              <w:rPr>
                <w:sz w:val="4"/>
                <w:szCs w:val="4"/>
              </w:rPr>
            </w:r>
          </w:p>
        </w:tc>
        <w:tc>
          <w:tcPr>
            <w:tcW w:w="1040" w:type="dxa"/>
            <w:gridSpan w:val="4"/>
            <w:tcBorders/>
            <w:shd w:fill="EDEDED" w:val="clear"/>
            <w:vAlign w:val="center"/>
          </w:tcPr>
          <w:p>
            <w:pPr>
              <w:pStyle w:val="TableContents"/>
              <w:bidi w:val="0"/>
              <w:spacing w:before="0" w:after="283"/>
              <w:jc w:val="left"/>
              <w:rPr>
                <w:sz w:val="4"/>
                <w:szCs w:val="4"/>
              </w:rPr>
            </w:pPr>
            <w:r>
              <w:rPr>
                <w:sz w:val="4"/>
                <w:szCs w:val="4"/>
              </w:rPr>
            </w:r>
          </w:p>
        </w:tc>
        <w:tc>
          <w:tcPr>
            <w:tcW w:w="93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870" w:type="dxa"/>
            <w:tcBorders/>
            <w:shd w:fill="EDEDED" w:val="clear"/>
            <w:vAlign w:val="center"/>
          </w:tcPr>
          <w:p>
            <w:pPr>
              <w:pStyle w:val="TableContents"/>
              <w:bidi w:val="0"/>
              <w:spacing w:before="0" w:after="0"/>
              <w:jc w:val="left"/>
              <w:rPr>
                <w:rFonts w:ascii="ARIAL" w:hAnsi="ARIAL"/>
                <w:sz w:val="18"/>
              </w:rPr>
            </w:pPr>
            <w:r>
              <w:rPr>
                <w:rFonts w:ascii="ARIAL" w:hAnsi="ARIAL"/>
                <w:sz w:val="18"/>
              </w:rPr>
              <w:t>Diversity</w:t>
            </w:r>
          </w:p>
        </w:tc>
        <w:tc>
          <w:tcPr>
            <w:tcW w:w="120" w:type="dxa"/>
            <w:tcBorders/>
            <w:shd w:fill="EDEDED" w:val="clear"/>
            <w:vAlign w:val="center"/>
          </w:tcPr>
          <w:p>
            <w:pPr>
              <w:pStyle w:val="TableContents"/>
              <w:bidi w:val="0"/>
              <w:spacing w:before="0" w:after="283"/>
              <w:jc w:val="left"/>
              <w:rPr/>
            </w:pPr>
            <w:r>
              <w:rPr/>
              <w:t>  </w:t>
            </w:r>
          </w:p>
        </w:tc>
        <w:tc>
          <w:tcPr>
            <w:tcW w:w="195" w:type="dxa"/>
            <w:tcBorders/>
            <w:shd w:fill="EDEDED" w:val="clear"/>
            <w:vAlign w:val="center"/>
          </w:tcPr>
          <w:p>
            <w:pPr>
              <w:pStyle w:val="TableContents"/>
              <w:bidi w:val="0"/>
              <w:spacing w:before="0" w:after="0"/>
              <w:jc w:val="left"/>
              <w:rPr/>
            </w:pPr>
            <w:r>
              <w:rPr/>
              <w:t> </w:t>
            </w:r>
          </w:p>
        </w:tc>
        <w:tc>
          <w:tcPr>
            <w:tcW w:w="65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63" w:type="dxa"/>
            <w:tcBorders/>
            <w:shd w:fill="EDEDED" w:val="clear"/>
            <w:vAlign w:val="center"/>
          </w:tcPr>
          <w:p>
            <w:pPr>
              <w:pStyle w:val="TableContents"/>
              <w:bidi w:val="0"/>
              <w:spacing w:before="0" w:after="0"/>
              <w:jc w:val="left"/>
              <w:rPr/>
            </w:pPr>
            <w:r>
              <w:rPr/>
              <w:t> </w:t>
            </w:r>
          </w:p>
        </w:tc>
        <w:tc>
          <w:tcPr>
            <w:tcW w:w="547"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98" w:type="dxa"/>
            <w:tcBorders/>
            <w:shd w:fill="EDEDED" w:val="clear"/>
            <w:vAlign w:val="center"/>
          </w:tcPr>
          <w:p>
            <w:pPr>
              <w:pStyle w:val="TableContents"/>
              <w:bidi w:val="0"/>
              <w:spacing w:before="0" w:after="0"/>
              <w:jc w:val="left"/>
              <w:rPr/>
            </w:pPr>
            <w:r>
              <w:rPr/>
              <w:t> </w:t>
            </w:r>
          </w:p>
        </w:tc>
        <w:tc>
          <w:tcPr>
            <w:tcW w:w="662"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74" w:type="dxa"/>
            <w:tcBorders/>
            <w:shd w:fill="EDEDED" w:val="clear"/>
            <w:vAlign w:val="center"/>
          </w:tcPr>
          <w:p>
            <w:pPr>
              <w:pStyle w:val="TableContents"/>
              <w:bidi w:val="0"/>
              <w:spacing w:before="0" w:after="283"/>
              <w:jc w:val="left"/>
              <w:rPr/>
            </w:pPr>
            <w:r>
              <w:rPr/>
              <w:t> </w:t>
            </w:r>
          </w:p>
        </w:tc>
        <w:tc>
          <w:tcPr>
            <w:tcW w:w="581"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0"/>
              <w:jc w:val="left"/>
              <w:rPr/>
            </w:pPr>
            <w:r>
              <w:rPr/>
              <w:t> </w:t>
            </w:r>
          </w:p>
        </w:tc>
        <w:tc>
          <w:tcPr>
            <w:tcW w:w="489"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283"/>
              <w:jc w:val="left"/>
              <w:rPr/>
            </w:pPr>
            <w:r>
              <w:rPr/>
              <w:t> </w:t>
            </w:r>
          </w:p>
        </w:tc>
        <w:tc>
          <w:tcPr>
            <w:tcW w:w="489"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3" w:type="dxa"/>
            <w:tcBorders/>
            <w:shd w:fill="EDEDED" w:val="clear"/>
            <w:vAlign w:val="center"/>
          </w:tcPr>
          <w:p>
            <w:pPr>
              <w:pStyle w:val="TableContents"/>
              <w:bidi w:val="0"/>
              <w:spacing w:before="0" w:after="0"/>
              <w:jc w:val="left"/>
              <w:rPr/>
            </w:pPr>
            <w:r>
              <w:rPr/>
              <w:t> </w:t>
            </w:r>
          </w:p>
        </w:tc>
        <w:tc>
          <w:tcPr>
            <w:tcW w:w="477" w:type="dxa"/>
            <w:tcBorders/>
            <w:shd w:fill="EDEDED" w:val="clear"/>
            <w:vAlign w:val="center"/>
          </w:tcPr>
          <w:p>
            <w:pPr>
              <w:pStyle w:val="TableContents"/>
              <w:bidi w:val="0"/>
              <w:spacing w:before="0" w:after="0"/>
              <w:jc w:val="left"/>
              <w:rPr/>
            </w:pPr>
            <w:r>
              <w:rPr/>
              <w:t> </w:t>
            </w:r>
          </w:p>
        </w:tc>
        <w:tc>
          <w:tcPr>
            <w:tcW w:w="75" w:type="dxa"/>
            <w:tcBorders/>
            <w:shd w:fill="EDEDED" w:val="clear"/>
            <w:vAlign w:val="center"/>
          </w:tcPr>
          <w:p>
            <w:pPr>
              <w:pStyle w:val="TableContents"/>
              <w:bidi w:val="0"/>
              <w:spacing w:before="0" w:after="0"/>
              <w:jc w:val="left"/>
              <w:rPr/>
            </w:pPr>
            <w:r>
              <w:rPr/>
              <w:t> </w:t>
            </w:r>
          </w:p>
        </w:tc>
      </w:tr>
      <w:tr>
        <w:trPr/>
        <w:tc>
          <w:tcPr>
            <w:tcW w:w="3870" w:type="dxa"/>
            <w:tcBorders/>
            <w:vAlign w:val="center"/>
          </w:tcPr>
          <w:p>
            <w:pPr>
              <w:pStyle w:val="TableContents"/>
              <w:bidi w:val="0"/>
              <w:spacing w:before="0" w:after="283"/>
              <w:jc w:val="left"/>
              <w:rPr>
                <w:sz w:val="4"/>
                <w:szCs w:val="4"/>
              </w:rPr>
            </w:pPr>
            <w:r>
              <w:rPr>
                <w:sz w:val="4"/>
                <w:szCs w:val="4"/>
              </w:rPr>
            </w:r>
          </w:p>
        </w:tc>
        <w:tc>
          <w:tcPr>
            <w:tcW w:w="1025" w:type="dxa"/>
            <w:gridSpan w:val="4"/>
            <w:tcBorders/>
            <w:vAlign w:val="center"/>
          </w:tcPr>
          <w:p>
            <w:pPr>
              <w:pStyle w:val="TableContents"/>
              <w:bidi w:val="0"/>
              <w:spacing w:before="0" w:after="283"/>
              <w:jc w:val="left"/>
              <w:rPr>
                <w:sz w:val="4"/>
                <w:szCs w:val="4"/>
              </w:rPr>
            </w:pPr>
            <w:r>
              <w:rPr>
                <w:sz w:val="4"/>
                <w:szCs w:val="4"/>
              </w:rPr>
            </w:r>
          </w:p>
        </w:tc>
        <w:tc>
          <w:tcPr>
            <w:tcW w:w="890" w:type="dxa"/>
            <w:gridSpan w:val="4"/>
            <w:tcBorders/>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93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r>
      <w:tr>
        <w:trPr/>
        <w:tc>
          <w:tcPr>
            <w:tcW w:w="3870" w:type="dxa"/>
            <w:tcBorders/>
            <w:vAlign w:val="center"/>
          </w:tcPr>
          <w:p>
            <w:pPr>
              <w:pStyle w:val="TableContents"/>
              <w:bidi w:val="0"/>
              <w:spacing w:before="0" w:after="0"/>
              <w:jc w:val="left"/>
              <w:rPr>
                <w:rFonts w:ascii="ARIAL" w:hAnsi="ARIAL"/>
                <w:sz w:val="18"/>
              </w:rPr>
            </w:pPr>
            <w:r>
              <w:rPr>
                <w:rFonts w:ascii="ARIAL" w:hAnsi="ARIAL"/>
                <w:sz w:val="18"/>
              </w:rPr>
              <w:t>Science and Medicine</w:t>
            </w:r>
          </w:p>
        </w:tc>
        <w:tc>
          <w:tcPr>
            <w:tcW w:w="120"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0"/>
              <w:jc w:val="left"/>
              <w:rPr/>
            </w:pPr>
            <w:r>
              <w:rPr/>
              <w:t> </w:t>
            </w:r>
          </w:p>
        </w:tc>
        <w:tc>
          <w:tcPr>
            <w:tcW w:w="54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jc w:val="left"/>
              <w:rPr/>
            </w:pPr>
            <w:r>
              <w:rPr/>
              <w:t> </w:t>
            </w:r>
          </w:p>
        </w:tc>
        <w:tc>
          <w:tcPr>
            <w:tcW w:w="66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0"/>
              <w:jc w:val="left"/>
              <w:rPr/>
            </w:pPr>
            <w:r>
              <w:rPr/>
              <w:t> </w:t>
            </w:r>
          </w:p>
        </w:tc>
        <w:tc>
          <w:tcPr>
            <w:tcW w:w="58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89" w:type="dxa"/>
            <w:tcBorders/>
            <w:vAlign w:val="center"/>
          </w:tcPr>
          <w:p>
            <w:pPr>
              <w:pStyle w:val="TableContents"/>
              <w:bidi w:val="0"/>
              <w:spacing w:before="0" w:after="283"/>
              <w:jc w:val="right"/>
              <w:rPr/>
            </w:pPr>
            <w:r>
              <w:rPr/>
              <w:t>X</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0"/>
              <w:jc w:val="left"/>
              <w:rPr/>
            </w:pPr>
            <w:r>
              <w:rPr/>
              <w:t> </w:t>
            </w:r>
          </w:p>
        </w:tc>
        <w:tc>
          <w:tcPr>
            <w:tcW w:w="477"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3870" w:type="dxa"/>
            <w:tcBorders/>
            <w:shd w:fill="EDEDED" w:val="clear"/>
            <w:vAlign w:val="center"/>
          </w:tcPr>
          <w:p>
            <w:pPr>
              <w:pStyle w:val="TableContents"/>
              <w:bidi w:val="0"/>
              <w:spacing w:before="0" w:after="283"/>
              <w:jc w:val="left"/>
              <w:rPr>
                <w:sz w:val="4"/>
                <w:szCs w:val="4"/>
              </w:rPr>
            </w:pPr>
            <w:r>
              <w:rPr>
                <w:sz w:val="4"/>
                <w:szCs w:val="4"/>
              </w:rPr>
            </w:r>
          </w:p>
        </w:tc>
        <w:tc>
          <w:tcPr>
            <w:tcW w:w="1025" w:type="dxa"/>
            <w:gridSpan w:val="4"/>
            <w:tcBorders/>
            <w:shd w:fill="EDEDED" w:val="clear"/>
            <w:vAlign w:val="center"/>
          </w:tcPr>
          <w:p>
            <w:pPr>
              <w:pStyle w:val="TableContents"/>
              <w:bidi w:val="0"/>
              <w:spacing w:before="0" w:after="283"/>
              <w:jc w:val="left"/>
              <w:rPr>
                <w:sz w:val="4"/>
                <w:szCs w:val="4"/>
              </w:rPr>
            </w:pPr>
            <w:r>
              <w:rPr>
                <w:sz w:val="4"/>
                <w:szCs w:val="4"/>
              </w:rPr>
            </w:r>
          </w:p>
        </w:tc>
        <w:tc>
          <w:tcPr>
            <w:tcW w:w="890" w:type="dxa"/>
            <w:gridSpan w:val="4"/>
            <w:tcBorders/>
            <w:shd w:fill="EDEDED" w:val="clear"/>
            <w:vAlign w:val="center"/>
          </w:tcPr>
          <w:p>
            <w:pPr>
              <w:pStyle w:val="TableContents"/>
              <w:bidi w:val="0"/>
              <w:spacing w:before="0" w:after="283"/>
              <w:jc w:val="left"/>
              <w:rPr>
                <w:sz w:val="4"/>
                <w:szCs w:val="4"/>
              </w:rPr>
            </w:pPr>
            <w:r>
              <w:rPr>
                <w:sz w:val="4"/>
                <w:szCs w:val="4"/>
              </w:rPr>
            </w:r>
          </w:p>
        </w:tc>
        <w:tc>
          <w:tcPr>
            <w:tcW w:w="1040" w:type="dxa"/>
            <w:gridSpan w:val="4"/>
            <w:tcBorders/>
            <w:shd w:fill="EDEDED" w:val="clear"/>
            <w:vAlign w:val="center"/>
          </w:tcPr>
          <w:p>
            <w:pPr>
              <w:pStyle w:val="TableContents"/>
              <w:bidi w:val="0"/>
              <w:spacing w:before="0" w:after="283"/>
              <w:jc w:val="left"/>
              <w:rPr>
                <w:sz w:val="4"/>
                <w:szCs w:val="4"/>
              </w:rPr>
            </w:pPr>
            <w:r>
              <w:rPr>
                <w:sz w:val="4"/>
                <w:szCs w:val="4"/>
              </w:rPr>
            </w:r>
          </w:p>
        </w:tc>
        <w:tc>
          <w:tcPr>
            <w:tcW w:w="93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c>
          <w:tcPr>
            <w:tcW w:w="81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870" w:type="dxa"/>
            <w:tcBorders/>
            <w:shd w:fill="EDEDED" w:val="clear"/>
            <w:vAlign w:val="center"/>
          </w:tcPr>
          <w:p>
            <w:pPr>
              <w:pStyle w:val="TableContents"/>
              <w:bidi w:val="0"/>
              <w:spacing w:before="0" w:after="0"/>
              <w:jc w:val="left"/>
              <w:rPr>
                <w:rFonts w:ascii="ARIAL" w:hAnsi="ARIAL"/>
                <w:sz w:val="18"/>
              </w:rPr>
            </w:pPr>
            <w:r>
              <w:rPr>
                <w:rFonts w:ascii="ARIAL" w:hAnsi="ARIAL"/>
                <w:sz w:val="18"/>
              </w:rPr>
              <w:t>Spin Experience</w:t>
            </w:r>
          </w:p>
        </w:tc>
        <w:tc>
          <w:tcPr>
            <w:tcW w:w="120" w:type="dxa"/>
            <w:tcBorders/>
            <w:shd w:fill="EDEDED" w:val="clear"/>
            <w:vAlign w:val="center"/>
          </w:tcPr>
          <w:p>
            <w:pPr>
              <w:pStyle w:val="TableContents"/>
              <w:bidi w:val="0"/>
              <w:spacing w:before="0" w:after="283"/>
              <w:jc w:val="left"/>
              <w:rPr/>
            </w:pPr>
            <w:r>
              <w:rPr/>
              <w:t>  </w:t>
            </w:r>
          </w:p>
        </w:tc>
        <w:tc>
          <w:tcPr>
            <w:tcW w:w="195" w:type="dxa"/>
            <w:tcBorders/>
            <w:shd w:fill="EDEDED" w:val="clear"/>
            <w:vAlign w:val="center"/>
          </w:tcPr>
          <w:p>
            <w:pPr>
              <w:pStyle w:val="TableContents"/>
              <w:bidi w:val="0"/>
              <w:spacing w:before="0" w:after="0"/>
              <w:jc w:val="left"/>
              <w:rPr/>
            </w:pPr>
            <w:r>
              <w:rPr/>
              <w:t> </w:t>
            </w:r>
          </w:p>
        </w:tc>
        <w:tc>
          <w:tcPr>
            <w:tcW w:w="65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63" w:type="dxa"/>
            <w:tcBorders/>
            <w:shd w:fill="EDEDED" w:val="clear"/>
            <w:vAlign w:val="center"/>
          </w:tcPr>
          <w:p>
            <w:pPr>
              <w:pStyle w:val="TableContents"/>
              <w:bidi w:val="0"/>
              <w:spacing w:before="0" w:after="283"/>
              <w:jc w:val="left"/>
              <w:rPr/>
            </w:pPr>
            <w:r>
              <w:rPr/>
              <w:t> </w:t>
            </w:r>
          </w:p>
        </w:tc>
        <w:tc>
          <w:tcPr>
            <w:tcW w:w="547"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98" w:type="dxa"/>
            <w:tcBorders/>
            <w:shd w:fill="EDEDED" w:val="clear"/>
            <w:vAlign w:val="center"/>
          </w:tcPr>
          <w:p>
            <w:pPr>
              <w:pStyle w:val="TableContents"/>
              <w:bidi w:val="0"/>
              <w:spacing w:before="0" w:after="0"/>
              <w:jc w:val="left"/>
              <w:rPr/>
            </w:pPr>
            <w:r>
              <w:rPr/>
              <w:t> </w:t>
            </w:r>
          </w:p>
        </w:tc>
        <w:tc>
          <w:tcPr>
            <w:tcW w:w="662"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74" w:type="dxa"/>
            <w:tcBorders/>
            <w:shd w:fill="EDEDED" w:val="clear"/>
            <w:vAlign w:val="center"/>
          </w:tcPr>
          <w:p>
            <w:pPr>
              <w:pStyle w:val="TableContents"/>
              <w:bidi w:val="0"/>
              <w:spacing w:before="0" w:after="283"/>
              <w:jc w:val="left"/>
              <w:rPr/>
            </w:pPr>
            <w:r>
              <w:rPr/>
              <w:t> </w:t>
            </w:r>
          </w:p>
        </w:tc>
        <w:tc>
          <w:tcPr>
            <w:tcW w:w="581"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283"/>
              <w:jc w:val="left"/>
              <w:rPr/>
            </w:pPr>
            <w:r>
              <w:rPr/>
              <w:t> </w:t>
            </w:r>
          </w:p>
        </w:tc>
        <w:tc>
          <w:tcPr>
            <w:tcW w:w="489"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6" w:type="dxa"/>
            <w:tcBorders/>
            <w:shd w:fill="EDEDED" w:val="clear"/>
            <w:vAlign w:val="center"/>
          </w:tcPr>
          <w:p>
            <w:pPr>
              <w:pStyle w:val="TableContents"/>
              <w:bidi w:val="0"/>
              <w:spacing w:before="0" w:after="283"/>
              <w:jc w:val="left"/>
              <w:rPr/>
            </w:pPr>
            <w:r>
              <w:rPr/>
              <w:t> </w:t>
            </w:r>
          </w:p>
        </w:tc>
        <w:tc>
          <w:tcPr>
            <w:tcW w:w="489" w:type="dxa"/>
            <w:tcBorders/>
            <w:shd w:fill="EDEDED" w:val="clear"/>
            <w:vAlign w:val="center"/>
          </w:tcPr>
          <w:p>
            <w:pPr>
              <w:pStyle w:val="TableContents"/>
              <w:bidi w:val="0"/>
              <w:spacing w:before="0" w:after="283"/>
              <w:jc w:val="right"/>
              <w:rPr/>
            </w:pPr>
            <w:r>
              <w:rPr/>
              <w:t>X</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3" w:type="dxa"/>
            <w:tcBorders/>
            <w:shd w:fill="EDEDED" w:val="clear"/>
            <w:vAlign w:val="center"/>
          </w:tcPr>
          <w:p>
            <w:pPr>
              <w:pStyle w:val="TableContents"/>
              <w:bidi w:val="0"/>
              <w:spacing w:before="0" w:after="0"/>
              <w:jc w:val="left"/>
              <w:rPr/>
            </w:pPr>
            <w:r>
              <w:rPr/>
              <w:t> </w:t>
            </w:r>
          </w:p>
        </w:tc>
        <w:tc>
          <w:tcPr>
            <w:tcW w:w="477" w:type="dxa"/>
            <w:tcBorders/>
            <w:shd w:fill="EDEDED" w:val="clear"/>
            <w:vAlign w:val="center"/>
          </w:tcPr>
          <w:p>
            <w:pPr>
              <w:pStyle w:val="TableContents"/>
              <w:bidi w:val="0"/>
              <w:spacing w:before="0" w:after="0"/>
              <w:jc w:val="left"/>
              <w:rPr/>
            </w:pPr>
            <w:r>
              <w:rPr/>
              <w:t> </w:t>
            </w:r>
          </w:p>
        </w:tc>
        <w:tc>
          <w:tcPr>
            <w:tcW w:w="75" w:type="dxa"/>
            <w:tcBorders/>
            <w:shd w:fill="EDEDED" w:val="clear"/>
            <w:vAlign w:val="center"/>
          </w:tcPr>
          <w:p>
            <w:pPr>
              <w:pStyle w:val="TableContents"/>
              <w:bidi w:val="0"/>
              <w:spacing w:before="0" w:after="0"/>
              <w:jc w:val="left"/>
              <w:rPr/>
            </w:pPr>
            <w:r>
              <w:rPr/>
              <w:t> </w:t>
            </w:r>
          </w:p>
        </w:tc>
      </w:tr>
    </w:tbl>
    <w:p>
      <w:pPr>
        <w:pStyle w:val="TextBody"/>
        <w:bidi w:val="0"/>
        <w:spacing w:before="360" w:after="0"/>
        <w:jc w:val="left"/>
        <w:rPr>
          <w:rFonts w:ascii="ARIAL" w:hAnsi="ARIAL"/>
          <w:sz w:val="20"/>
        </w:rPr>
      </w:pPr>
      <w:r>
        <w:rPr>
          <w:rFonts w:ascii="ARIAL" w:hAnsi="ARIAL"/>
          <w:sz w:val="20"/>
        </w:rPr>
        <w:t xml:space="preserve">NOMINEES FOR CLASS I DIRECTORS (TERMS TO EXPIRE AT THE 2027 ANNUAL MEETING) </w:t>
      </w:r>
    </w:p>
    <w:p>
      <w:pPr>
        <w:pStyle w:val="TextBody"/>
        <w:pBdr>
          <w:bottom w:val="single" w:sz="2" w:space="1" w:color="0BC11C"/>
        </w:pBdr>
        <w:bidi w:val="0"/>
        <w:spacing w:lineRule="atLeast" w:line="142" w:before="0" w:after="40"/>
        <w:jc w:val="left"/>
        <w:rPr/>
      </w:pPr>
      <w:r>
        <w:rPr/>
        <w:t> </w:t>
      </w:r>
    </w:p>
    <w:p>
      <w:pPr>
        <w:pStyle w:val="TextBody"/>
        <w:bidi w:val="0"/>
        <w:spacing w:before="160" w:after="0"/>
        <w:jc w:val="left"/>
        <w:rPr>
          <w:rFonts w:ascii="ARIAL" w:hAnsi="ARIAL"/>
          <w:sz w:val="18"/>
        </w:rPr>
      </w:pPr>
      <w:r>
        <w:rPr>
          <w:rFonts w:ascii="ARIAL" w:hAnsi="ARIAL"/>
          <w:sz w:val="18"/>
        </w:rPr>
        <w:t xml:space="preserve">The current members of the Board who are also nominees for election to the Board as Class I Directors are as follows: </w:t>
      </w:r>
    </w:p>
    <w:p>
      <w:pPr>
        <w:pStyle w:val="TextBody"/>
        <w:bidi w:val="0"/>
        <w:spacing w:before="0" w:after="0"/>
        <w:jc w:val="left"/>
        <w:rPr/>
      </w:pPr>
      <w:r>
        <w:rPr/>
        <w:t> </w:t>
      </w:r>
    </w:p>
    <w:tbl>
      <w:tblPr>
        <w:tblW w:w="7393" w:type="dxa"/>
        <w:jc w:val="left"/>
        <w:tblInd w:w="0" w:type="dxa"/>
        <w:tblLayout w:type="fixed"/>
        <w:tblCellMar>
          <w:top w:w="0" w:type="dxa"/>
          <w:left w:w="0" w:type="dxa"/>
          <w:bottom w:w="0" w:type="dxa"/>
          <w:right w:w="0" w:type="dxa"/>
        </w:tblCellMar>
      </w:tblPr>
      <w:tblGrid>
        <w:gridCol w:w="1520"/>
        <w:gridCol w:w="120"/>
        <w:gridCol w:w="68"/>
        <w:gridCol w:w="68"/>
        <w:gridCol w:w="262"/>
        <w:gridCol w:w="27"/>
        <w:gridCol w:w="120"/>
        <w:gridCol w:w="276"/>
        <w:gridCol w:w="276"/>
        <w:gridCol w:w="2030"/>
        <w:gridCol w:w="108"/>
        <w:gridCol w:w="120"/>
        <w:gridCol w:w="590"/>
        <w:gridCol w:w="590"/>
        <w:gridCol w:w="590"/>
        <w:gridCol w:w="590"/>
        <w:gridCol w:w="38"/>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520" w:type="dxa"/>
            <w:tcBorders/>
            <w:shd w:fill="0BC11C" w:val="clear"/>
            <w:vAlign w:val="center"/>
          </w:tcPr>
          <w:p>
            <w:pPr>
              <w:pStyle w:val="TableContents"/>
              <w:bidi w:val="0"/>
              <w:spacing w:before="0" w:after="283"/>
              <w:jc w:val="left"/>
              <w:rPr>
                <w:sz w:val="4"/>
                <w:szCs w:val="4"/>
              </w:rPr>
            </w:pPr>
            <w:r>
              <w:rPr>
                <w:sz w:val="4"/>
                <w:szCs w:val="4"/>
              </w:rPr>
            </w:r>
          </w:p>
        </w:tc>
        <w:tc>
          <w:tcPr>
            <w:tcW w:w="545" w:type="dxa"/>
            <w:gridSpan w:val="5"/>
            <w:tcBorders/>
            <w:shd w:fill="0BC11C" w:val="clear"/>
            <w:vAlign w:val="center"/>
          </w:tcPr>
          <w:p>
            <w:pPr>
              <w:pStyle w:val="TableContents"/>
              <w:bidi w:val="0"/>
              <w:spacing w:before="0" w:after="283"/>
              <w:jc w:val="left"/>
              <w:rPr>
                <w:sz w:val="4"/>
                <w:szCs w:val="4"/>
              </w:rPr>
            </w:pPr>
            <w:r>
              <w:rPr>
                <w:sz w:val="4"/>
                <w:szCs w:val="4"/>
              </w:rPr>
            </w:r>
          </w:p>
        </w:tc>
        <w:tc>
          <w:tcPr>
            <w:tcW w:w="2810" w:type="dxa"/>
            <w:gridSpan w:val="5"/>
            <w:tcBorders/>
            <w:shd w:fill="0BC11C" w:val="clear"/>
            <w:vAlign w:val="center"/>
          </w:tcPr>
          <w:p>
            <w:pPr>
              <w:pStyle w:val="TableContents"/>
              <w:bidi w:val="0"/>
              <w:spacing w:before="0" w:after="283"/>
              <w:jc w:val="left"/>
              <w:rPr>
                <w:sz w:val="4"/>
                <w:szCs w:val="4"/>
              </w:rPr>
            </w:pPr>
            <w:r>
              <w:rPr>
                <w:sz w:val="4"/>
                <w:szCs w:val="4"/>
              </w:rPr>
            </w:r>
          </w:p>
        </w:tc>
        <w:tc>
          <w:tcPr>
            <w:tcW w:w="2480" w:type="dxa"/>
            <w:gridSpan w:val="5"/>
            <w:tcBorders/>
            <w:shd w:fill="0BC11C" w:val="clear"/>
            <w:vAlign w:val="center"/>
          </w:tcPr>
          <w:p>
            <w:pPr>
              <w:pStyle w:val="TableContents"/>
              <w:bidi w:val="0"/>
              <w:spacing w:before="0" w:after="283"/>
              <w:jc w:val="left"/>
              <w:rPr>
                <w:sz w:val="4"/>
                <w:szCs w:val="4"/>
              </w:rPr>
            </w:pPr>
            <w:r>
              <w:rPr>
                <w:sz w:val="4"/>
                <w:szCs w:val="4"/>
              </w:rPr>
            </w:r>
          </w:p>
        </w:tc>
        <w:tc>
          <w:tcPr>
            <w:tcW w:w="38" w:type="dxa"/>
            <w:tcBorders/>
            <w:shd w:fill="0BC11C" w:val="clear"/>
          </w:tcPr>
          <w:p>
            <w:pPr>
              <w:pStyle w:val="TableContents"/>
              <w:bidi w:val="0"/>
              <w:spacing w:before="0" w:after="283"/>
              <w:jc w:val="left"/>
              <w:rPr>
                <w:sz w:val="4"/>
                <w:szCs w:val="4"/>
              </w:rPr>
            </w:pPr>
            <w:r>
              <w:rPr>
                <w:sz w:val="4"/>
                <w:szCs w:val="4"/>
              </w:rPr>
            </w:r>
          </w:p>
        </w:tc>
      </w:tr>
      <w:tr>
        <w:trPr/>
        <w:tc>
          <w:tcPr>
            <w:tcW w:w="1520" w:type="dxa"/>
            <w:tcBorders/>
            <w:shd w:fill="0BC11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120" w:type="dxa"/>
            <w:tcBorders/>
            <w:shd w:fill="0BC11C" w:val="clear"/>
            <w:vAlign w:val="center"/>
          </w:tcPr>
          <w:p>
            <w:pPr>
              <w:pStyle w:val="TableContents"/>
              <w:bidi w:val="0"/>
              <w:spacing w:before="0" w:after="283"/>
              <w:jc w:val="left"/>
              <w:rPr/>
            </w:pPr>
            <w:r>
              <w:rPr/>
              <w:t>  </w:t>
            </w:r>
          </w:p>
        </w:tc>
        <w:tc>
          <w:tcPr>
            <w:tcW w:w="425" w:type="dxa"/>
            <w:gridSpan w:val="4"/>
            <w:tcBorders/>
            <w:shd w:fill="0BC11C" w:val="clear"/>
            <w:vAlign w:val="center"/>
          </w:tcPr>
          <w:p>
            <w:pPr>
              <w:pStyle w:val="TableContents"/>
              <w:bidi w:val="0"/>
              <w:spacing w:before="0" w:after="283"/>
              <w:jc w:val="center"/>
              <w:rPr>
                <w:b/>
                <w:color w:val="FFFFFF"/>
              </w:rPr>
            </w:pPr>
            <w:r>
              <w:rPr>
                <w:b/>
                <w:color w:val="FFFFFF"/>
              </w:rPr>
              <w:t>Age</w:t>
            </w:r>
          </w:p>
        </w:tc>
        <w:tc>
          <w:tcPr>
            <w:tcW w:w="120" w:type="dxa"/>
            <w:tcBorders/>
            <w:shd w:fill="0BC11C" w:val="clear"/>
            <w:vAlign w:val="center"/>
          </w:tcPr>
          <w:p>
            <w:pPr>
              <w:pStyle w:val="TableContents"/>
              <w:bidi w:val="0"/>
              <w:spacing w:before="0" w:after="283"/>
              <w:jc w:val="left"/>
              <w:rPr/>
            </w:pPr>
            <w:r>
              <w:rPr/>
              <w:t>  </w:t>
            </w:r>
          </w:p>
        </w:tc>
        <w:tc>
          <w:tcPr>
            <w:tcW w:w="2690" w:type="dxa"/>
            <w:gridSpan w:val="4"/>
            <w:tcBorders/>
            <w:shd w:fill="0BC11C" w:val="clear"/>
            <w:vAlign w:val="center"/>
          </w:tcPr>
          <w:p>
            <w:pPr>
              <w:pStyle w:val="TableContents"/>
              <w:bidi w:val="0"/>
              <w:spacing w:before="0" w:after="283"/>
              <w:jc w:val="center"/>
              <w:rPr>
                <w:b/>
                <w:color w:val="FFFFFF"/>
              </w:rPr>
            </w:pPr>
            <w:r>
              <w:rPr>
                <w:b/>
                <w:color w:val="FFFFFF"/>
              </w:rPr>
              <w:t>Served as a Director Since</w:t>
            </w:r>
          </w:p>
        </w:tc>
        <w:tc>
          <w:tcPr>
            <w:tcW w:w="120" w:type="dxa"/>
            <w:tcBorders/>
            <w:shd w:fill="0BC11C" w:val="clear"/>
            <w:vAlign w:val="center"/>
          </w:tcPr>
          <w:p>
            <w:pPr>
              <w:pStyle w:val="TableContents"/>
              <w:bidi w:val="0"/>
              <w:spacing w:before="0" w:after="283"/>
              <w:jc w:val="left"/>
              <w:rPr/>
            </w:pPr>
            <w:r>
              <w:rPr/>
              <w:t>  </w:t>
            </w:r>
          </w:p>
        </w:tc>
        <w:tc>
          <w:tcPr>
            <w:tcW w:w="2360" w:type="dxa"/>
            <w:gridSpan w:val="4"/>
            <w:tcBorders/>
            <w:shd w:fill="0BC11C" w:val="clear"/>
            <w:vAlign w:val="center"/>
          </w:tcPr>
          <w:p>
            <w:pPr>
              <w:pStyle w:val="TableContents"/>
              <w:bidi w:val="0"/>
              <w:spacing w:before="0" w:after="283"/>
              <w:jc w:val="center"/>
              <w:rPr>
                <w:b/>
                <w:color w:val="FFFFFF"/>
              </w:rPr>
            </w:pPr>
            <w:r>
              <w:rPr>
                <w:b/>
                <w:color w:val="FFFFFF"/>
              </w:rPr>
              <w:t>Position with Fortrea  </w:t>
            </w:r>
          </w:p>
        </w:tc>
        <w:tc>
          <w:tcPr>
            <w:tcW w:w="38" w:type="dxa"/>
            <w:tcBorders/>
            <w:shd w:fill="0BC11C" w:val="clear"/>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lineRule="atLeast" w:line="340" w:before="0" w:after="0"/>
              <w:jc w:val="left"/>
              <w:rPr>
                <w:rFonts w:ascii="ARIAL" w:hAnsi="ARIAL"/>
                <w:b/>
                <w:sz w:val="20"/>
              </w:rPr>
            </w:pPr>
            <w:r>
              <w:rPr>
                <w:rFonts w:ascii="ARIAL" w:hAnsi="ARIAL"/>
                <w:b/>
                <w:sz w:val="20"/>
              </w:rPr>
              <w:t>Edward Pesicka</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lineRule="atLeast" w:line="340" w:before="0" w:after="0"/>
              <w:jc w:val="left"/>
              <w:rPr/>
            </w:pPr>
            <w:r>
              <w:rPr/>
              <w:t> </w:t>
            </w:r>
          </w:p>
        </w:tc>
        <w:tc>
          <w:tcPr>
            <w:tcW w:w="262" w:type="dxa"/>
            <w:tcBorders/>
            <w:vAlign w:val="center"/>
          </w:tcPr>
          <w:p>
            <w:pPr>
              <w:pStyle w:val="TableContents"/>
              <w:bidi w:val="0"/>
              <w:spacing w:lineRule="atLeast" w:line="340" w:before="0" w:after="0"/>
              <w:jc w:val="right"/>
              <w:rPr>
                <w:rFonts w:ascii="ARIAL" w:hAnsi="ARIAL"/>
                <w:sz w:val="20"/>
              </w:rPr>
            </w:pPr>
            <w:r>
              <w:rPr>
                <w:rFonts w:ascii="ARIAL" w:hAnsi="ARIAL"/>
                <w:sz w:val="20"/>
              </w:rPr>
              <w:t>57</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lineRule="atLeast" w:line="340" w:before="0" w:after="0"/>
              <w:jc w:val="left"/>
              <w:rPr/>
            </w:pPr>
            <w:r>
              <w:rPr/>
              <w:t> </w:t>
            </w:r>
          </w:p>
        </w:tc>
        <w:tc>
          <w:tcPr>
            <w:tcW w:w="2030" w:type="dxa"/>
            <w:tcBorders/>
            <w:vAlign w:val="center"/>
          </w:tcPr>
          <w:p>
            <w:pPr>
              <w:pStyle w:val="TableContents"/>
              <w:bidi w:val="0"/>
              <w:spacing w:lineRule="atLeast" w:line="340" w:before="0" w:after="0"/>
              <w:jc w:val="right"/>
              <w:rPr>
                <w:rFonts w:ascii="ARIAL" w:hAnsi="ARIAL"/>
                <w:sz w:val="20"/>
              </w:rPr>
            </w:pPr>
            <w:r>
              <w:rPr>
                <w:rFonts w:ascii="ARIAL" w:hAnsi="ARIAL"/>
                <w:sz w:val="20"/>
              </w:rPr>
              <w:t>2023</w:t>
            </w:r>
          </w:p>
        </w:tc>
        <w:tc>
          <w:tcPr>
            <w:tcW w:w="1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0" w:type="dxa"/>
            <w:gridSpan w:val="4"/>
            <w:tcBorders/>
            <w:vAlign w:val="center"/>
          </w:tcPr>
          <w:p>
            <w:pPr>
              <w:pStyle w:val="TableContents"/>
              <w:bidi w:val="0"/>
              <w:spacing w:lineRule="atLeast" w:line="340" w:before="0" w:after="0"/>
              <w:jc w:val="left"/>
              <w:rPr/>
            </w:pPr>
            <w:r>
              <w:rPr/>
              <w:t>   </w:t>
            </w:r>
            <w:r>
              <w:rPr>
                <w:rFonts w:ascii="ARIAL" w:hAnsi="ARIAL"/>
                <w:sz w:val="18"/>
              </w:rPr>
              <w:t>Director</w:t>
            </w:r>
          </w:p>
        </w:tc>
        <w:tc>
          <w:tcPr>
            <w:tcW w:w="38" w:type="dxa"/>
            <w:tcBorders/>
            <w:vAlign w:val="center"/>
          </w:tcPr>
          <w:p>
            <w:pPr>
              <w:pStyle w:val="TableContents"/>
              <w:bidi w:val="0"/>
              <w:spacing w:before="0" w:after="283"/>
              <w:jc w:val="left"/>
              <w:rPr>
                <w:sz w:val="4"/>
                <w:szCs w:val="4"/>
              </w:rPr>
            </w:pPr>
            <w:r>
              <w:rPr>
                <w:sz w:val="4"/>
                <w:szCs w:val="4"/>
              </w:rPr>
            </w:r>
          </w:p>
        </w:tc>
      </w:tr>
      <w:tr>
        <w:trPr/>
        <w:tc>
          <w:tcPr>
            <w:tcW w:w="1520" w:type="dxa"/>
            <w:tcBorders/>
            <w:shd w:fill="EDEDED" w:val="clear"/>
            <w:vAlign w:val="center"/>
          </w:tcPr>
          <w:p>
            <w:pPr>
              <w:pStyle w:val="TableContents"/>
              <w:bidi w:val="0"/>
              <w:spacing w:lineRule="atLeast" w:line="340" w:before="0" w:after="0"/>
              <w:jc w:val="left"/>
              <w:rPr>
                <w:rFonts w:ascii="ARIAL" w:hAnsi="ARIAL"/>
                <w:b/>
                <w:sz w:val="20"/>
              </w:rPr>
            </w:pPr>
            <w:r>
              <w:rPr>
                <w:rFonts w:ascii="ARIAL" w:hAnsi="ARIAL"/>
                <w:b/>
                <w:sz w:val="20"/>
              </w:rPr>
              <w:t>David Smith</w:t>
            </w:r>
          </w:p>
        </w:tc>
        <w:tc>
          <w:tcPr>
            <w:tcW w:w="120"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lineRule="atLeast" w:line="340" w:before="0" w:after="0"/>
              <w:jc w:val="left"/>
              <w:rPr/>
            </w:pPr>
            <w:r>
              <w:rPr/>
              <w:t> </w:t>
            </w:r>
          </w:p>
        </w:tc>
        <w:tc>
          <w:tcPr>
            <w:tcW w:w="262" w:type="dxa"/>
            <w:tcBorders/>
            <w:shd w:fill="EDEDED" w:val="clear"/>
            <w:vAlign w:val="center"/>
          </w:tcPr>
          <w:p>
            <w:pPr>
              <w:pStyle w:val="TableContents"/>
              <w:bidi w:val="0"/>
              <w:spacing w:lineRule="atLeast" w:line="340" w:before="0" w:after="0"/>
              <w:jc w:val="right"/>
              <w:rPr>
                <w:rFonts w:ascii="ARIAL" w:hAnsi="ARIAL"/>
                <w:sz w:val="20"/>
              </w:rPr>
            </w:pPr>
            <w:r>
              <w:rPr>
                <w:rFonts w:ascii="ARIAL" w:hAnsi="ARIAL"/>
                <w:sz w:val="20"/>
              </w:rPr>
              <w:t>58</w:t>
            </w:r>
          </w:p>
        </w:tc>
        <w:tc>
          <w:tcPr>
            <w:tcW w:w="27"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276" w:type="dxa"/>
            <w:tcBorders/>
            <w:shd w:fill="EDEDED" w:val="clear"/>
            <w:vAlign w:val="center"/>
          </w:tcPr>
          <w:p>
            <w:pPr>
              <w:pStyle w:val="TableContents"/>
              <w:bidi w:val="0"/>
              <w:spacing w:before="0" w:after="283"/>
              <w:jc w:val="left"/>
              <w:rPr/>
            </w:pPr>
            <w:r>
              <w:rPr/>
              <w:t> </w:t>
            </w:r>
          </w:p>
        </w:tc>
        <w:tc>
          <w:tcPr>
            <w:tcW w:w="276" w:type="dxa"/>
            <w:tcBorders/>
            <w:shd w:fill="EDEDED" w:val="clear"/>
            <w:vAlign w:val="center"/>
          </w:tcPr>
          <w:p>
            <w:pPr>
              <w:pStyle w:val="TableContents"/>
              <w:bidi w:val="0"/>
              <w:spacing w:lineRule="atLeast" w:line="340" w:before="0" w:after="0"/>
              <w:jc w:val="left"/>
              <w:rPr/>
            </w:pPr>
            <w:r>
              <w:rPr/>
              <w:t> </w:t>
            </w:r>
          </w:p>
        </w:tc>
        <w:tc>
          <w:tcPr>
            <w:tcW w:w="2030" w:type="dxa"/>
            <w:tcBorders/>
            <w:shd w:fill="EDEDED" w:val="clear"/>
            <w:vAlign w:val="center"/>
          </w:tcPr>
          <w:p>
            <w:pPr>
              <w:pStyle w:val="TableContents"/>
              <w:bidi w:val="0"/>
              <w:spacing w:lineRule="atLeast" w:line="340" w:before="0" w:after="0"/>
              <w:jc w:val="right"/>
              <w:rPr>
                <w:rFonts w:ascii="ARIAL" w:hAnsi="ARIAL"/>
                <w:sz w:val="20"/>
              </w:rPr>
            </w:pPr>
            <w:r>
              <w:rPr>
                <w:rFonts w:ascii="ARIAL" w:hAnsi="ARIAL"/>
                <w:sz w:val="20"/>
              </w:rPr>
              <w:t>2023</w:t>
            </w:r>
          </w:p>
        </w:tc>
        <w:tc>
          <w:tcPr>
            <w:tcW w:w="108"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2360" w:type="dxa"/>
            <w:gridSpan w:val="4"/>
            <w:tcBorders/>
            <w:shd w:fill="EDEDED" w:val="clear"/>
            <w:vAlign w:val="center"/>
          </w:tcPr>
          <w:p>
            <w:pPr>
              <w:pStyle w:val="TableContents"/>
              <w:bidi w:val="0"/>
              <w:spacing w:lineRule="atLeast" w:line="340" w:before="0" w:after="0"/>
              <w:jc w:val="left"/>
              <w:rPr/>
            </w:pPr>
            <w:r>
              <w:rPr/>
              <w:t>   </w:t>
            </w:r>
            <w:r>
              <w:rPr>
                <w:rFonts w:ascii="ARIAL" w:hAnsi="ARIAL"/>
                <w:sz w:val="18"/>
              </w:rPr>
              <w:t>Director</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TextBody"/>
        <w:bidi w:val="0"/>
        <w:spacing w:before="160" w:after="0"/>
        <w:jc w:val="left"/>
        <w:rPr>
          <w:rFonts w:ascii="ARIAL" w:hAnsi="ARIAL"/>
          <w:sz w:val="18"/>
        </w:rPr>
      </w:pPr>
      <w:r>
        <w:rPr>
          <w:rFonts w:ascii="ARIAL" w:hAnsi="ARIAL"/>
          <w:sz w:val="18"/>
        </w:rPr>
        <w:t xml:space="preserve">The principal occupations and business experience, for at least the past five years, of each Class I Director Nominee for election at the 2024 Annual Meeting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top w:val="single" w:sz="6" w:space="0" w:color="EDEDED"/>
              <w:left w:val="single" w:sz="6" w:space="0" w:color="EDEDED"/>
              <w:bottom w:val="single" w:sz="6" w:space="0" w:color="EDEDED"/>
              <w:right w:val="single" w:sz="6" w:space="0" w:color="EDEDED"/>
            </w:tcBorders>
            <w:shd w:fill="EDEDED" w:val="clear"/>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Age:</w:t>
            </w:r>
          </w:p>
          <w:p>
            <w:pPr>
              <w:pStyle w:val="TableContents"/>
              <w:bidi w:val="0"/>
              <w:spacing w:before="0" w:after="0"/>
              <w:jc w:val="center"/>
              <w:rPr>
                <w:rFonts w:ascii="ARIAL" w:hAnsi="ARIAL"/>
                <w:sz w:val="18"/>
              </w:rPr>
            </w:pPr>
            <w:r>
              <w:rPr>
                <w:rFonts w:ascii="ARIAL" w:hAnsi="ARIAL"/>
                <w:sz w:val="18"/>
              </w:rPr>
              <w:t>57</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Director</w:t>
              <w:br/>
              <w:t>Since:</w:t>
            </w:r>
          </w:p>
          <w:p>
            <w:pPr>
              <w:pStyle w:val="TableContents"/>
              <w:bidi w:val="0"/>
              <w:spacing w:before="0" w:after="20"/>
              <w:jc w:val="center"/>
              <w:rPr>
                <w:rFonts w:ascii="ARIAL" w:hAnsi="ARIAL"/>
                <w:sz w:val="18"/>
              </w:rPr>
            </w:pPr>
            <w:r>
              <w:rPr>
                <w:rFonts w:ascii="ARIAL" w:hAnsi="ARIAL"/>
                <w:sz w:val="18"/>
              </w:rPr>
              <w:t>June 29, 2023</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rFonts w:ascii="ARIAL" w:hAnsi="ARIAL"/>
                <w:sz w:val="28"/>
              </w:rPr>
            </w:pPr>
            <w:r>
              <w:rPr>
                <w:rFonts w:ascii="ARIAL" w:hAnsi="ARIAL"/>
                <w:sz w:val="28"/>
              </w:rPr>
              <w:t>Edward Pesicka</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Mr. Pesicka</w:t>
            </w:r>
            <w:r>
              <w:rPr>
                <w:rFonts w:ascii="ARIAL" w:hAnsi="ARIAL"/>
                <w:sz w:val="18"/>
              </w:rPr>
              <w:t xml:space="preserve"> was appointed to our Board of Directors in connection with the Spin. Since March 2019, Mr. Pesicka has served as President and Chief Executive Officer, as well as on the board of directors, of Owens &amp; Minor, Inc., a global healthcare solutions company. From January 2016 until March 2019, Mr. Pesicka was an independent consultant and advisor in the healthcare, life science and distribution industries. From January 2000 until April 2015, Mr. Pesicka served in various roles of increasing responsibility at Thermo Fisher Scientific Inc., an American supplier of scientific instrumentation, reagents and consumables and software services, including Chief Commercial Officer and Senior Vice President from January 2014 to April 2015. Prior to Thermo Fisher Scientific, Mr. Pesicka spent eight years with TRW, Inc., an aerospace company, in its finance department and three years with PricewaterhouseCoopers as an auditor. Mr. Pesicka earned an MBA from Weatherhead School of Management at Case Western Reserve University and a BA in Business Administration and Management from Muskingum College. Since 2019, Mr. Pesicka has served as a director of Owens &amp; Minor, Inc.</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9</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PROPOSAL 1: ELECTION OF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top w:val="single" w:sz="6" w:space="0" w:color="EDEDED"/>
              <w:left w:val="single" w:sz="6" w:space="0" w:color="EDEDED"/>
              <w:bottom w:val="single" w:sz="6" w:space="0" w:color="EDEDED"/>
              <w:right w:val="single" w:sz="6" w:space="0" w:color="EDEDED"/>
            </w:tcBorders>
            <w:shd w:fill="EDEDED" w:val="clear"/>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Age:</w:t>
            </w:r>
          </w:p>
          <w:p>
            <w:pPr>
              <w:pStyle w:val="TableContents"/>
              <w:bidi w:val="0"/>
              <w:spacing w:before="0" w:after="0"/>
              <w:jc w:val="center"/>
              <w:rPr>
                <w:rFonts w:ascii="ARIAL" w:hAnsi="ARIAL"/>
                <w:sz w:val="18"/>
              </w:rPr>
            </w:pPr>
            <w:r>
              <w:rPr>
                <w:rFonts w:ascii="ARIAL" w:hAnsi="ARIAL"/>
                <w:sz w:val="18"/>
              </w:rPr>
              <w:t>58</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Director</w:t>
              <w:br/>
              <w:t>Since:</w:t>
            </w:r>
          </w:p>
          <w:p>
            <w:pPr>
              <w:pStyle w:val="TableContents"/>
              <w:bidi w:val="0"/>
              <w:spacing w:before="0" w:after="20"/>
              <w:jc w:val="center"/>
              <w:rPr>
                <w:rFonts w:ascii="ARIAL" w:hAnsi="ARIAL"/>
                <w:sz w:val="18"/>
              </w:rPr>
            </w:pPr>
            <w:r>
              <w:rPr>
                <w:rFonts w:ascii="ARIAL" w:hAnsi="ARIAL"/>
                <w:sz w:val="18"/>
              </w:rPr>
              <w:t>June 15, 2023</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rFonts w:ascii="ARIAL" w:hAnsi="ARIAL"/>
                <w:sz w:val="28"/>
              </w:rPr>
            </w:pPr>
            <w:r>
              <w:rPr>
                <w:rFonts w:ascii="ARIAL" w:hAnsi="ARIAL"/>
                <w:sz w:val="28"/>
              </w:rPr>
              <w:t>David Smith</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Mr. Smith</w:t>
            </w:r>
            <w:r>
              <w:rPr>
                <w:rFonts w:ascii="ARIAL" w:hAnsi="ARIAL"/>
                <w:sz w:val="18"/>
              </w:rPr>
              <w:t xml:space="preserve"> was appointed to our Board of Directors in connection with the Spin. Mr. Smith has over 25 years of pharmaceutical industry experience. Mr. Smith served as Executive Vice President and Chief Financial Officer for Charles River Laboratories International, Inc., an American pre-clinical contract research organization supporting the global pharmaceutical industry. Mr. Smith joined Charles River in April 2014 through their acquisition of the Galapagos Services Division, which was carved out from its parent company Galapagos NV, a Belgium pharmaceutical research company. Mr. Smith served as the Chief Executive Officer for that division and, on its acquisition, continued to manage its operation as Corporate Vice President at Charles River. In October that year, Mr. Smith was promoted to Corporate Senior Vice President with responsibilities for all Discovery Services at Charles River. In the following February, he was nominated as the successor to the incumbent Chief Financial Officer, formerly taking the helm in August 2015, a post Mr. Smith held until his retirement in May 2022. During Mr. Smith’s tenure as Chief Financial Officer, Charles River entered the S&amp;P 500 in May 2021. Previously, Mr. Smith also served as Chief Financial Officer at Cambridge University Hospitals in the United Kingdom and Galapagos NV. He held management positions at AstraZeneca in the Netherlands, Hungary, Sweden and the U.K. and held a variety of leadership roles, including in the R&amp;D division where he helped determine which molecules progressed through the pipeline. Mr. Smith trained as a Chartered Accountant in the U.K., with what is now called PwC, before relocating with the firm to Dubai. Mr. Smith obtained his Bachelor of Sciences Honors degree in Molecular Biophysics at the University of Leeds, UK.</w:t>
            </w:r>
          </w:p>
          <w:p>
            <w:pPr>
              <w:pStyle w:val="TableContents"/>
              <w:bidi w:val="0"/>
              <w:spacing w:before="0" w:after="20"/>
              <w:jc w:val="left"/>
              <w:rPr/>
            </w:pPr>
            <w:r>
              <w:rPr/>
              <w:t> </w:t>
            </w:r>
          </w:p>
        </w:tc>
      </w:tr>
    </w:tbl>
    <w:p>
      <w:pPr>
        <w:pStyle w:val="TextBody"/>
        <w:bidi w:val="0"/>
        <w:spacing w:before="360" w:after="0"/>
        <w:jc w:val="left"/>
        <w:rPr>
          <w:rFonts w:ascii="ARIAL" w:hAnsi="ARIAL"/>
          <w:sz w:val="20"/>
        </w:rPr>
      </w:pPr>
      <w:r>
        <w:rPr>
          <w:rFonts w:ascii="ARIAL" w:hAnsi="ARIAL"/>
          <w:sz w:val="20"/>
        </w:rPr>
        <w:t xml:space="preserve">CLASS II DIRECTORS (TERMS TO EXPIRE AT THE 2025 ANNUAL MEETING) </w:t>
      </w:r>
    </w:p>
    <w:p>
      <w:pPr>
        <w:pStyle w:val="TextBody"/>
        <w:pBdr>
          <w:bottom w:val="single" w:sz="2" w:space="1" w:color="0BC11C"/>
        </w:pBdr>
        <w:bidi w:val="0"/>
        <w:spacing w:lineRule="atLeast" w:line="142" w:before="0" w:after="40"/>
        <w:jc w:val="left"/>
        <w:rPr/>
      </w:pPr>
      <w:r>
        <w:rPr/>
        <w:t> </w:t>
      </w:r>
    </w:p>
    <w:p>
      <w:pPr>
        <w:pStyle w:val="TextBody"/>
        <w:bidi w:val="0"/>
        <w:spacing w:before="120" w:after="0"/>
        <w:jc w:val="left"/>
        <w:rPr>
          <w:rFonts w:ascii="ARIAL" w:hAnsi="ARIAL"/>
          <w:sz w:val="18"/>
        </w:rPr>
      </w:pPr>
      <w:r>
        <w:rPr>
          <w:rFonts w:ascii="ARIAL" w:hAnsi="ARIAL"/>
          <w:sz w:val="18"/>
        </w:rPr>
        <w:t xml:space="preserve">The current members of the Board who are Class II Directors are as follows: </w:t>
      </w:r>
    </w:p>
    <w:p>
      <w:pPr>
        <w:pStyle w:val="TextBody"/>
        <w:bidi w:val="0"/>
        <w:spacing w:before="0" w:after="0"/>
        <w:jc w:val="left"/>
        <w:rPr/>
      </w:pPr>
      <w:r>
        <w:rPr/>
        <w:t> </w:t>
      </w:r>
    </w:p>
    <w:tbl>
      <w:tblPr>
        <w:tblW w:w="7153" w:type="dxa"/>
        <w:jc w:val="left"/>
        <w:tblInd w:w="0" w:type="dxa"/>
        <w:tblLayout w:type="fixed"/>
        <w:tblCellMar>
          <w:top w:w="0" w:type="dxa"/>
          <w:left w:w="0" w:type="dxa"/>
          <w:bottom w:w="0" w:type="dxa"/>
          <w:right w:w="0" w:type="dxa"/>
        </w:tblCellMar>
      </w:tblPr>
      <w:tblGrid>
        <w:gridCol w:w="1280"/>
        <w:gridCol w:w="120"/>
        <w:gridCol w:w="68"/>
        <w:gridCol w:w="68"/>
        <w:gridCol w:w="262"/>
        <w:gridCol w:w="27"/>
        <w:gridCol w:w="120"/>
        <w:gridCol w:w="276"/>
        <w:gridCol w:w="276"/>
        <w:gridCol w:w="2030"/>
        <w:gridCol w:w="108"/>
        <w:gridCol w:w="120"/>
        <w:gridCol w:w="590"/>
        <w:gridCol w:w="590"/>
        <w:gridCol w:w="590"/>
        <w:gridCol w:w="590"/>
        <w:gridCol w:w="38"/>
      </w:tblGrid>
      <w:tr>
        <w:trPr/>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280" w:type="dxa"/>
            <w:tcBorders/>
            <w:shd w:fill="0BC11C" w:val="clear"/>
            <w:vAlign w:val="center"/>
          </w:tcPr>
          <w:p>
            <w:pPr>
              <w:pStyle w:val="TableContents"/>
              <w:bidi w:val="0"/>
              <w:spacing w:before="0" w:after="283"/>
              <w:jc w:val="left"/>
              <w:rPr>
                <w:sz w:val="4"/>
                <w:szCs w:val="4"/>
              </w:rPr>
            </w:pPr>
            <w:r>
              <w:rPr>
                <w:sz w:val="4"/>
                <w:szCs w:val="4"/>
              </w:rPr>
            </w:r>
          </w:p>
        </w:tc>
        <w:tc>
          <w:tcPr>
            <w:tcW w:w="545" w:type="dxa"/>
            <w:gridSpan w:val="5"/>
            <w:tcBorders/>
            <w:shd w:fill="0BC11C" w:val="clear"/>
            <w:vAlign w:val="center"/>
          </w:tcPr>
          <w:p>
            <w:pPr>
              <w:pStyle w:val="TableContents"/>
              <w:bidi w:val="0"/>
              <w:spacing w:before="0" w:after="283"/>
              <w:jc w:val="left"/>
              <w:rPr>
                <w:sz w:val="4"/>
                <w:szCs w:val="4"/>
              </w:rPr>
            </w:pPr>
            <w:r>
              <w:rPr>
                <w:sz w:val="4"/>
                <w:szCs w:val="4"/>
              </w:rPr>
            </w:r>
          </w:p>
        </w:tc>
        <w:tc>
          <w:tcPr>
            <w:tcW w:w="2810" w:type="dxa"/>
            <w:gridSpan w:val="5"/>
            <w:tcBorders/>
            <w:shd w:fill="0BC11C" w:val="clear"/>
            <w:vAlign w:val="center"/>
          </w:tcPr>
          <w:p>
            <w:pPr>
              <w:pStyle w:val="TableContents"/>
              <w:bidi w:val="0"/>
              <w:spacing w:before="0" w:after="283"/>
              <w:jc w:val="left"/>
              <w:rPr>
                <w:sz w:val="4"/>
                <w:szCs w:val="4"/>
              </w:rPr>
            </w:pPr>
            <w:r>
              <w:rPr>
                <w:sz w:val="4"/>
                <w:szCs w:val="4"/>
              </w:rPr>
            </w:r>
          </w:p>
        </w:tc>
        <w:tc>
          <w:tcPr>
            <w:tcW w:w="2480" w:type="dxa"/>
            <w:gridSpan w:val="5"/>
            <w:tcBorders/>
            <w:shd w:fill="0BC11C" w:val="clear"/>
            <w:vAlign w:val="center"/>
          </w:tcPr>
          <w:p>
            <w:pPr>
              <w:pStyle w:val="TableContents"/>
              <w:bidi w:val="0"/>
              <w:spacing w:before="0" w:after="283"/>
              <w:jc w:val="left"/>
              <w:rPr>
                <w:sz w:val="4"/>
                <w:szCs w:val="4"/>
              </w:rPr>
            </w:pPr>
            <w:r>
              <w:rPr>
                <w:sz w:val="4"/>
                <w:szCs w:val="4"/>
              </w:rPr>
            </w:r>
          </w:p>
        </w:tc>
        <w:tc>
          <w:tcPr>
            <w:tcW w:w="38" w:type="dxa"/>
            <w:tcBorders/>
            <w:shd w:fill="0BC11C" w:val="clear"/>
          </w:tcPr>
          <w:p>
            <w:pPr>
              <w:pStyle w:val="TableContents"/>
              <w:bidi w:val="0"/>
              <w:spacing w:before="0" w:after="283"/>
              <w:jc w:val="left"/>
              <w:rPr>
                <w:sz w:val="4"/>
                <w:szCs w:val="4"/>
              </w:rPr>
            </w:pPr>
            <w:r>
              <w:rPr>
                <w:sz w:val="4"/>
                <w:szCs w:val="4"/>
              </w:rPr>
            </w:r>
          </w:p>
        </w:tc>
      </w:tr>
      <w:tr>
        <w:trPr/>
        <w:tc>
          <w:tcPr>
            <w:tcW w:w="1280" w:type="dxa"/>
            <w:tcBorders/>
            <w:shd w:fill="0BC11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120" w:type="dxa"/>
            <w:tcBorders/>
            <w:shd w:fill="0BC11C" w:val="clear"/>
            <w:vAlign w:val="center"/>
          </w:tcPr>
          <w:p>
            <w:pPr>
              <w:pStyle w:val="TableContents"/>
              <w:bidi w:val="0"/>
              <w:spacing w:before="0" w:after="283"/>
              <w:jc w:val="left"/>
              <w:rPr/>
            </w:pPr>
            <w:r>
              <w:rPr/>
              <w:t>  </w:t>
            </w:r>
          </w:p>
        </w:tc>
        <w:tc>
          <w:tcPr>
            <w:tcW w:w="425" w:type="dxa"/>
            <w:gridSpan w:val="4"/>
            <w:tcBorders/>
            <w:shd w:fill="0BC11C" w:val="clear"/>
            <w:vAlign w:val="center"/>
          </w:tcPr>
          <w:p>
            <w:pPr>
              <w:pStyle w:val="TableContents"/>
              <w:bidi w:val="0"/>
              <w:spacing w:before="0" w:after="283"/>
              <w:jc w:val="center"/>
              <w:rPr>
                <w:b/>
                <w:color w:val="FFFFFF"/>
              </w:rPr>
            </w:pPr>
            <w:r>
              <w:rPr>
                <w:b/>
                <w:color w:val="FFFFFF"/>
              </w:rPr>
              <w:t>Age</w:t>
            </w:r>
          </w:p>
        </w:tc>
        <w:tc>
          <w:tcPr>
            <w:tcW w:w="120" w:type="dxa"/>
            <w:tcBorders/>
            <w:shd w:fill="0BC11C" w:val="clear"/>
            <w:vAlign w:val="center"/>
          </w:tcPr>
          <w:p>
            <w:pPr>
              <w:pStyle w:val="TableContents"/>
              <w:bidi w:val="0"/>
              <w:spacing w:before="0" w:after="283"/>
              <w:jc w:val="left"/>
              <w:rPr/>
            </w:pPr>
            <w:r>
              <w:rPr/>
              <w:t>  </w:t>
            </w:r>
          </w:p>
        </w:tc>
        <w:tc>
          <w:tcPr>
            <w:tcW w:w="2690" w:type="dxa"/>
            <w:gridSpan w:val="4"/>
            <w:tcBorders/>
            <w:shd w:fill="0BC11C" w:val="clear"/>
            <w:vAlign w:val="center"/>
          </w:tcPr>
          <w:p>
            <w:pPr>
              <w:pStyle w:val="TableContents"/>
              <w:bidi w:val="0"/>
              <w:spacing w:before="0" w:after="283"/>
              <w:jc w:val="center"/>
              <w:rPr>
                <w:b/>
                <w:color w:val="FFFFFF"/>
              </w:rPr>
            </w:pPr>
            <w:r>
              <w:rPr>
                <w:b/>
                <w:color w:val="FFFFFF"/>
              </w:rPr>
              <w:t>Served as a Director Since</w:t>
            </w:r>
          </w:p>
        </w:tc>
        <w:tc>
          <w:tcPr>
            <w:tcW w:w="120" w:type="dxa"/>
            <w:tcBorders/>
            <w:shd w:fill="0BC11C" w:val="clear"/>
            <w:vAlign w:val="center"/>
          </w:tcPr>
          <w:p>
            <w:pPr>
              <w:pStyle w:val="TableContents"/>
              <w:bidi w:val="0"/>
              <w:spacing w:before="0" w:after="283"/>
              <w:jc w:val="left"/>
              <w:rPr/>
            </w:pPr>
            <w:r>
              <w:rPr/>
              <w:t>  </w:t>
            </w:r>
          </w:p>
        </w:tc>
        <w:tc>
          <w:tcPr>
            <w:tcW w:w="2360" w:type="dxa"/>
            <w:gridSpan w:val="4"/>
            <w:tcBorders/>
            <w:shd w:fill="0BC11C" w:val="clear"/>
            <w:vAlign w:val="center"/>
          </w:tcPr>
          <w:p>
            <w:pPr>
              <w:pStyle w:val="TableContents"/>
              <w:bidi w:val="0"/>
              <w:spacing w:before="0" w:after="283"/>
              <w:jc w:val="center"/>
              <w:rPr>
                <w:b/>
                <w:color w:val="FFFFFF"/>
              </w:rPr>
            </w:pPr>
            <w:r>
              <w:rPr>
                <w:b/>
                <w:color w:val="FFFFFF"/>
              </w:rPr>
              <w:t>Position with Fortrea  </w:t>
            </w:r>
          </w:p>
        </w:tc>
        <w:tc>
          <w:tcPr>
            <w:tcW w:w="38" w:type="dxa"/>
            <w:tcBorders/>
            <w:shd w:fill="0BC11C" w:val="clear"/>
          </w:tcPr>
          <w:p>
            <w:pPr>
              <w:pStyle w:val="TableContents"/>
              <w:bidi w:val="0"/>
              <w:spacing w:before="0" w:after="283"/>
              <w:jc w:val="left"/>
              <w:rPr>
                <w:sz w:val="4"/>
                <w:szCs w:val="4"/>
              </w:rPr>
            </w:pPr>
            <w:r>
              <w:rPr>
                <w:sz w:val="4"/>
                <w:szCs w:val="4"/>
              </w:rPr>
            </w:r>
          </w:p>
        </w:tc>
      </w:tr>
      <w:tr>
        <w:trPr/>
        <w:tc>
          <w:tcPr>
            <w:tcW w:w="1280" w:type="dxa"/>
            <w:tcBorders/>
            <w:vAlign w:val="center"/>
          </w:tcPr>
          <w:p>
            <w:pPr>
              <w:pStyle w:val="TableContents"/>
              <w:bidi w:val="0"/>
              <w:spacing w:lineRule="atLeast" w:line="300" w:before="0" w:after="0"/>
              <w:jc w:val="left"/>
              <w:rPr>
                <w:rFonts w:ascii="ARIAL" w:hAnsi="ARIAL"/>
                <w:b/>
                <w:sz w:val="20"/>
              </w:rPr>
            </w:pPr>
            <w:r>
              <w:rPr>
                <w:rFonts w:ascii="ARIAL" w:hAnsi="ARIAL"/>
                <w:b/>
                <w:sz w:val="20"/>
              </w:rPr>
              <w:t>Dr. Amrit Ray</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lineRule="atLeast" w:line="300" w:before="0" w:after="0"/>
              <w:jc w:val="left"/>
              <w:rPr/>
            </w:pPr>
            <w:r>
              <w:rPr/>
              <w:t> </w:t>
            </w:r>
          </w:p>
        </w:tc>
        <w:tc>
          <w:tcPr>
            <w:tcW w:w="262" w:type="dxa"/>
            <w:tcBorders/>
            <w:vAlign w:val="center"/>
          </w:tcPr>
          <w:p>
            <w:pPr>
              <w:pStyle w:val="TableContents"/>
              <w:bidi w:val="0"/>
              <w:spacing w:lineRule="atLeast" w:line="300" w:before="0" w:after="0"/>
              <w:jc w:val="right"/>
              <w:rPr>
                <w:rFonts w:ascii="ARIAL" w:hAnsi="ARIAL"/>
                <w:sz w:val="20"/>
              </w:rPr>
            </w:pPr>
            <w:r>
              <w:rPr>
                <w:rFonts w:ascii="ARIAL" w:hAnsi="ARIAL"/>
                <w:sz w:val="20"/>
              </w:rPr>
              <w:t>51</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lineRule="atLeast" w:line="300" w:before="0" w:after="0"/>
              <w:jc w:val="left"/>
              <w:rPr/>
            </w:pPr>
            <w:r>
              <w:rPr/>
              <w:t> </w:t>
            </w:r>
          </w:p>
        </w:tc>
        <w:tc>
          <w:tcPr>
            <w:tcW w:w="2030" w:type="dxa"/>
            <w:tcBorders/>
            <w:vAlign w:val="center"/>
          </w:tcPr>
          <w:p>
            <w:pPr>
              <w:pStyle w:val="TableContents"/>
              <w:bidi w:val="0"/>
              <w:spacing w:lineRule="atLeast" w:line="300" w:before="0" w:after="0"/>
              <w:jc w:val="right"/>
              <w:rPr>
                <w:rFonts w:ascii="ARIAL" w:hAnsi="ARIAL"/>
                <w:sz w:val="20"/>
              </w:rPr>
            </w:pPr>
            <w:r>
              <w:rPr>
                <w:rFonts w:ascii="ARIAL" w:hAnsi="ARIAL"/>
                <w:sz w:val="20"/>
              </w:rPr>
              <w:t>2023</w:t>
            </w:r>
          </w:p>
        </w:tc>
        <w:tc>
          <w:tcPr>
            <w:tcW w:w="1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0" w:type="dxa"/>
            <w:gridSpan w:val="4"/>
            <w:tcBorders/>
            <w:vAlign w:val="center"/>
          </w:tcPr>
          <w:p>
            <w:pPr>
              <w:pStyle w:val="TableContents"/>
              <w:bidi w:val="0"/>
              <w:spacing w:lineRule="atLeast" w:line="300" w:before="0" w:after="0"/>
              <w:jc w:val="left"/>
              <w:rPr/>
            </w:pPr>
            <w:r>
              <w:rPr/>
              <w:t>   </w:t>
            </w:r>
            <w:r>
              <w:rPr>
                <w:rFonts w:ascii="ARIAL" w:hAnsi="ARIAL"/>
                <w:sz w:val="18"/>
              </w:rPr>
              <w:t>Director</w:t>
            </w:r>
          </w:p>
        </w:tc>
        <w:tc>
          <w:tcPr>
            <w:tcW w:w="38" w:type="dxa"/>
            <w:tcBorders/>
            <w:vAlign w:val="center"/>
          </w:tcPr>
          <w:p>
            <w:pPr>
              <w:pStyle w:val="TableContents"/>
              <w:bidi w:val="0"/>
              <w:spacing w:before="0" w:after="283"/>
              <w:jc w:val="left"/>
              <w:rPr>
                <w:sz w:val="4"/>
                <w:szCs w:val="4"/>
              </w:rPr>
            </w:pPr>
            <w:r>
              <w:rPr>
                <w:sz w:val="4"/>
                <w:szCs w:val="4"/>
              </w:rPr>
            </w:r>
          </w:p>
        </w:tc>
      </w:tr>
      <w:tr>
        <w:trPr/>
        <w:tc>
          <w:tcPr>
            <w:tcW w:w="1280" w:type="dxa"/>
            <w:tcBorders/>
            <w:shd w:fill="EDEDED" w:val="clear"/>
            <w:vAlign w:val="center"/>
          </w:tcPr>
          <w:p>
            <w:pPr>
              <w:pStyle w:val="TableContents"/>
              <w:bidi w:val="0"/>
              <w:spacing w:lineRule="atLeast" w:line="300" w:before="0" w:after="0"/>
              <w:jc w:val="left"/>
              <w:rPr>
                <w:rFonts w:ascii="ARIAL" w:hAnsi="ARIAL"/>
                <w:b/>
                <w:sz w:val="20"/>
              </w:rPr>
            </w:pPr>
            <w:r>
              <w:rPr>
                <w:rFonts w:ascii="ARIAL" w:hAnsi="ARIAL"/>
                <w:b/>
                <w:sz w:val="20"/>
              </w:rPr>
              <w:t>Betty Larson</w:t>
            </w:r>
          </w:p>
        </w:tc>
        <w:tc>
          <w:tcPr>
            <w:tcW w:w="120"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lineRule="atLeast" w:line="300" w:before="0" w:after="0"/>
              <w:jc w:val="left"/>
              <w:rPr/>
            </w:pPr>
            <w:r>
              <w:rPr/>
              <w:t> </w:t>
            </w:r>
          </w:p>
        </w:tc>
        <w:tc>
          <w:tcPr>
            <w:tcW w:w="262" w:type="dxa"/>
            <w:tcBorders/>
            <w:shd w:fill="EDEDED" w:val="clear"/>
            <w:vAlign w:val="center"/>
          </w:tcPr>
          <w:p>
            <w:pPr>
              <w:pStyle w:val="TableContents"/>
              <w:bidi w:val="0"/>
              <w:spacing w:lineRule="atLeast" w:line="300" w:before="0" w:after="0"/>
              <w:jc w:val="right"/>
              <w:rPr>
                <w:rFonts w:ascii="ARIAL" w:hAnsi="ARIAL"/>
                <w:sz w:val="20"/>
              </w:rPr>
            </w:pPr>
            <w:r>
              <w:rPr>
                <w:rFonts w:ascii="ARIAL" w:hAnsi="ARIAL"/>
                <w:sz w:val="20"/>
              </w:rPr>
              <w:t>48</w:t>
            </w:r>
          </w:p>
        </w:tc>
        <w:tc>
          <w:tcPr>
            <w:tcW w:w="27"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276" w:type="dxa"/>
            <w:tcBorders/>
            <w:shd w:fill="EDEDED" w:val="clear"/>
            <w:vAlign w:val="center"/>
          </w:tcPr>
          <w:p>
            <w:pPr>
              <w:pStyle w:val="TableContents"/>
              <w:bidi w:val="0"/>
              <w:spacing w:before="0" w:after="283"/>
              <w:jc w:val="left"/>
              <w:rPr/>
            </w:pPr>
            <w:r>
              <w:rPr/>
              <w:t> </w:t>
            </w:r>
          </w:p>
        </w:tc>
        <w:tc>
          <w:tcPr>
            <w:tcW w:w="276" w:type="dxa"/>
            <w:tcBorders/>
            <w:shd w:fill="EDEDED" w:val="clear"/>
            <w:vAlign w:val="center"/>
          </w:tcPr>
          <w:p>
            <w:pPr>
              <w:pStyle w:val="TableContents"/>
              <w:bidi w:val="0"/>
              <w:spacing w:lineRule="atLeast" w:line="300" w:before="0" w:after="0"/>
              <w:jc w:val="left"/>
              <w:rPr/>
            </w:pPr>
            <w:r>
              <w:rPr/>
              <w:t> </w:t>
            </w:r>
          </w:p>
        </w:tc>
        <w:tc>
          <w:tcPr>
            <w:tcW w:w="2030" w:type="dxa"/>
            <w:tcBorders/>
            <w:shd w:fill="EDEDED" w:val="clear"/>
            <w:vAlign w:val="center"/>
          </w:tcPr>
          <w:p>
            <w:pPr>
              <w:pStyle w:val="TableContents"/>
              <w:bidi w:val="0"/>
              <w:spacing w:lineRule="atLeast" w:line="300" w:before="0" w:after="0"/>
              <w:jc w:val="right"/>
              <w:rPr>
                <w:rFonts w:ascii="ARIAL" w:hAnsi="ARIAL"/>
                <w:sz w:val="20"/>
              </w:rPr>
            </w:pPr>
            <w:r>
              <w:rPr>
                <w:rFonts w:ascii="ARIAL" w:hAnsi="ARIAL"/>
                <w:sz w:val="20"/>
              </w:rPr>
              <w:t>2023</w:t>
            </w:r>
          </w:p>
        </w:tc>
        <w:tc>
          <w:tcPr>
            <w:tcW w:w="108"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2360" w:type="dxa"/>
            <w:gridSpan w:val="4"/>
            <w:tcBorders/>
            <w:shd w:fill="EDEDED" w:val="clear"/>
            <w:vAlign w:val="center"/>
          </w:tcPr>
          <w:p>
            <w:pPr>
              <w:pStyle w:val="TableContents"/>
              <w:bidi w:val="0"/>
              <w:spacing w:lineRule="atLeast" w:line="300" w:before="0" w:after="0"/>
              <w:jc w:val="left"/>
              <w:rPr/>
            </w:pPr>
            <w:r>
              <w:rPr/>
              <w:t>   </w:t>
            </w:r>
            <w:r>
              <w:rPr>
                <w:rFonts w:ascii="ARIAL" w:hAnsi="ARIAL"/>
                <w:sz w:val="18"/>
              </w:rPr>
              <w:t>Director</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bl>
    <w:p>
      <w:pPr>
        <w:pStyle w:val="TextBody"/>
        <w:bidi w:val="0"/>
        <w:spacing w:before="160" w:after="0"/>
        <w:jc w:val="left"/>
        <w:rPr>
          <w:rFonts w:ascii="ARIAL" w:hAnsi="ARIAL"/>
          <w:sz w:val="18"/>
        </w:rPr>
      </w:pPr>
      <w:r>
        <w:rPr>
          <w:rFonts w:ascii="ARIAL" w:hAnsi="ARIAL"/>
          <w:sz w:val="18"/>
        </w:rPr>
        <w:t xml:space="preserve">The principal occupations and business experience, for at least the past five years, of each Class II Director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top w:val="single" w:sz="6" w:space="0" w:color="EDEDED"/>
              <w:left w:val="single" w:sz="6" w:space="0" w:color="EDEDED"/>
              <w:bottom w:val="single" w:sz="6" w:space="0" w:color="EDEDED"/>
              <w:right w:val="single" w:sz="6" w:space="0" w:color="EDEDED"/>
            </w:tcBorders>
            <w:shd w:fill="EDEDED" w:val="clear"/>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Age:</w:t>
            </w:r>
          </w:p>
          <w:p>
            <w:pPr>
              <w:pStyle w:val="TableContents"/>
              <w:bidi w:val="0"/>
              <w:spacing w:before="0" w:after="0"/>
              <w:jc w:val="center"/>
              <w:rPr>
                <w:rFonts w:ascii="ARIAL" w:hAnsi="ARIAL"/>
                <w:sz w:val="18"/>
              </w:rPr>
            </w:pPr>
            <w:r>
              <w:rPr>
                <w:rFonts w:ascii="ARIAL" w:hAnsi="ARIAL"/>
                <w:sz w:val="18"/>
              </w:rPr>
              <w:t>51</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Director</w:t>
              <w:br/>
              <w:t>Since:</w:t>
            </w:r>
          </w:p>
          <w:p>
            <w:pPr>
              <w:pStyle w:val="TableContents"/>
              <w:bidi w:val="0"/>
              <w:spacing w:before="0" w:after="20"/>
              <w:jc w:val="center"/>
              <w:rPr>
                <w:rFonts w:ascii="ARIAL" w:hAnsi="ARIAL"/>
                <w:sz w:val="18"/>
              </w:rPr>
            </w:pPr>
            <w:r>
              <w:rPr>
                <w:rFonts w:ascii="ARIAL" w:hAnsi="ARIAL"/>
                <w:sz w:val="18"/>
              </w:rPr>
              <w:t>June 29, 2023</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rFonts w:ascii="ARIAL" w:hAnsi="ARIAL"/>
                <w:sz w:val="28"/>
              </w:rPr>
            </w:pPr>
            <w:r>
              <w:rPr>
                <w:rFonts w:ascii="ARIAL" w:hAnsi="ARIAL"/>
                <w:sz w:val="28"/>
              </w:rPr>
              <w:t>Dr. Amrit Ray</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Dr. Ray</w:t>
            </w:r>
            <w:r>
              <w:rPr>
                <w:rFonts w:ascii="ARIAL" w:hAnsi="ARIAL"/>
                <w:sz w:val="18"/>
              </w:rPr>
              <w:t xml:space="preserve"> was appointed to our Board of Directors in connection with the Spin. Dr. Ray has over 25 years of biopharmaceutical industry experience. Dr. Ray is a physician researcher and advisor to life sciences companies. From March 2022 until December 2022, Dr. Ray served as the Chief Patient Officer at Biohaven Pharmaceuticals, a biopharmaceutical company. From 2017 until January 2021, Dr. Ray served as the Global President, Head of R&amp;D and Medical, overseeing all aspects of R&amp;D worldwide for the Essential Health and later Upjohn divisions at Pfizer, a biopharmaceutical company. Previously from 2009-2017, Dr. Ray served in positions of increasing responsibility including as the Chief Medical Officer and as the Chief Safety Officer for global pharmaceuticals at Johnson &amp; Johnson, a healthcare company. Dr. Ray earned degrees in Immunology and in Medicine at Edinburgh University, and an MBA from the Tuck School of Business at Dartmouth College. Dr. Ray is a Visiting Professor of Practice at the Faculty of Medical Sciences of Newcastle University, UK, and serves on the Board of Trustees at The Hastings Center for Bioethics. Since 2022, Dr. Ray has served as a director of Ultragenyx Pharmaceutical Inc., a biopharmaceutical company.</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10</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PROPOSAL 1: ELECTION OF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top w:val="single" w:sz="6" w:space="0" w:color="EDEDED"/>
              <w:left w:val="single" w:sz="6" w:space="0" w:color="EDEDED"/>
              <w:bottom w:val="single" w:sz="6" w:space="0" w:color="EDEDED"/>
              <w:right w:val="single" w:sz="6" w:space="0" w:color="EDEDED"/>
            </w:tcBorders>
            <w:shd w:fill="EDEDED" w:val="clear"/>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Age:</w:t>
            </w:r>
          </w:p>
          <w:p>
            <w:pPr>
              <w:pStyle w:val="TableContents"/>
              <w:bidi w:val="0"/>
              <w:spacing w:before="0" w:after="0"/>
              <w:jc w:val="center"/>
              <w:rPr>
                <w:rFonts w:ascii="ARIAL" w:hAnsi="ARIAL"/>
                <w:sz w:val="18"/>
              </w:rPr>
            </w:pPr>
            <w:r>
              <w:rPr>
                <w:rFonts w:ascii="ARIAL" w:hAnsi="ARIAL"/>
                <w:sz w:val="18"/>
              </w:rPr>
              <w:t>48</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Director</w:t>
              <w:br/>
              <w:t>Since:</w:t>
            </w:r>
          </w:p>
          <w:p>
            <w:pPr>
              <w:pStyle w:val="TableContents"/>
              <w:bidi w:val="0"/>
              <w:spacing w:before="0" w:after="20"/>
              <w:jc w:val="center"/>
              <w:rPr>
                <w:rFonts w:ascii="ARIAL" w:hAnsi="ARIAL"/>
                <w:sz w:val="18"/>
              </w:rPr>
            </w:pPr>
            <w:r>
              <w:rPr>
                <w:rFonts w:ascii="ARIAL" w:hAnsi="ARIAL"/>
                <w:sz w:val="18"/>
              </w:rPr>
              <w:t>June 29, 2023</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rFonts w:ascii="ARIAL" w:hAnsi="ARIAL"/>
                <w:sz w:val="28"/>
              </w:rPr>
            </w:pPr>
            <w:r>
              <w:rPr>
                <w:rFonts w:ascii="ARIAL" w:hAnsi="ARIAL"/>
                <w:sz w:val="28"/>
              </w:rPr>
              <w:t>Betty Larson</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Ms. Larson</w:t>
            </w:r>
            <w:r>
              <w:rPr>
                <w:rFonts w:ascii="ARIAL" w:hAnsi="ARIAL"/>
                <w:sz w:val="18"/>
              </w:rPr>
              <w:t xml:space="preserve"> was appointed to our Board of Directors in connection with the Spin. Since 2023, Ms. Larson has served as Chief People Officer of GE HealthCare Technologies Inc., a medical technology, pharmaceutical diagnostics and digital solutions company. From March 2022 until January 2023, Ms. Larson served as the Chief People Officer of GE’s Healthcare business. Since early 2022, Ms. Larson has been directly involved in leading the HR, Communications and Corporate Marketing organizations for GE HealthCare which spun-out from GE in January of 2023. Leading teams responsible for the development and activation of the new company brand, purpose and culture. From 2017 until 2022, Ms. Larson served as executive Vice President and Chief Human Resources Officer at Becton, Dickinson and Company, a global medical technology company. In 2017 and through 2018, Ms. Larson played a key role in the $24 billion acquisition of C.R. Bard, Inc. and was directly accountable for HR and Communications following acquisition and through integration. While also at Becton Dickinson, Ms. Larson was on the Steering Committee and responsible for all HR, Communications and Social Investing decisions related to the spin-out of Becton’s diabetes business, now Embecta a public company since 2022. Prior to that role, Ms. Larson served as Chief Human Resources Officer for C. R. Bard, Inc, a leading medical technology company in the fields of vascular, urology and surgical specialty products. She started her career at Baxter International, an American multinational healthcare company, where she held a variety of leadership roles during her 16-year tenure. Ms. Larson earned a bachelor’s degree in psychology and a master’s degree in human resources from the University of Illinois, and an MBA from Northwestern University. Ms. Larson recently tendered her offer to resign from the Board in connection with an upcoming significant change in her principal occupation, as required by our Corporate Governance Guidelines. In the event the Board accepts Ms. Larson’s offer to resign, we intend to initiate a search for a director to fill any vacancy upon Ms. Larson’s departure.</w:t>
            </w:r>
          </w:p>
          <w:p>
            <w:pPr>
              <w:pStyle w:val="TableContents"/>
              <w:bidi w:val="0"/>
              <w:spacing w:before="0" w:after="20"/>
              <w:jc w:val="left"/>
              <w:rPr/>
            </w:pPr>
            <w:r>
              <w:rPr/>
              <w:t> </w:t>
            </w:r>
          </w:p>
        </w:tc>
      </w:tr>
    </w:tbl>
    <w:p>
      <w:pPr>
        <w:pStyle w:val="TextBody"/>
        <w:bidi w:val="0"/>
        <w:spacing w:before="360" w:after="0"/>
        <w:jc w:val="left"/>
        <w:rPr>
          <w:rFonts w:ascii="ARIAL" w:hAnsi="ARIAL"/>
          <w:sz w:val="20"/>
        </w:rPr>
      </w:pPr>
      <w:r>
        <w:rPr>
          <w:rFonts w:ascii="ARIAL" w:hAnsi="ARIAL"/>
          <w:sz w:val="20"/>
        </w:rPr>
        <w:t xml:space="preserve">CLASS III DIRECTORS (TERMS TO EXPIRE AT THE 2026 ANNUAL MEETING) </w:t>
      </w:r>
    </w:p>
    <w:p>
      <w:pPr>
        <w:pStyle w:val="TextBody"/>
        <w:pBdr>
          <w:bottom w:val="single" w:sz="2" w:space="1" w:color="0BC11C"/>
        </w:pBdr>
        <w:bidi w:val="0"/>
        <w:spacing w:lineRule="atLeast" w:line="142" w:before="0" w:after="40"/>
        <w:jc w:val="left"/>
        <w:rPr/>
      </w:pPr>
      <w:r>
        <w:rPr/>
        <w:t> </w:t>
      </w:r>
    </w:p>
    <w:p>
      <w:pPr>
        <w:pStyle w:val="TextBody"/>
        <w:bidi w:val="0"/>
        <w:spacing w:before="120" w:after="0"/>
        <w:jc w:val="left"/>
        <w:rPr>
          <w:rFonts w:ascii="ARIAL" w:hAnsi="ARIAL"/>
          <w:sz w:val="18"/>
        </w:rPr>
      </w:pPr>
      <w:r>
        <w:rPr>
          <w:rFonts w:ascii="ARIAL" w:hAnsi="ARIAL"/>
          <w:sz w:val="18"/>
        </w:rPr>
        <w:t xml:space="preserve">The current members of the Board who are Class III Directors are as follows: </w:t>
      </w:r>
    </w:p>
    <w:p>
      <w:pPr>
        <w:pStyle w:val="TextBody"/>
        <w:bidi w:val="0"/>
        <w:spacing w:before="0" w:after="0"/>
        <w:jc w:val="left"/>
        <w:rPr/>
      </w:pPr>
      <w:r>
        <w:rPr/>
        <w:t> </w:t>
      </w:r>
    </w:p>
    <w:tbl>
      <w:tblPr>
        <w:tblW w:w="9268" w:type="dxa"/>
        <w:jc w:val="left"/>
        <w:tblInd w:w="0" w:type="dxa"/>
        <w:tblLayout w:type="fixed"/>
        <w:tblCellMar>
          <w:top w:w="0" w:type="dxa"/>
          <w:left w:w="0" w:type="dxa"/>
          <w:bottom w:w="0" w:type="dxa"/>
          <w:right w:w="0" w:type="dxa"/>
        </w:tblCellMar>
      </w:tblPr>
      <w:tblGrid>
        <w:gridCol w:w="1640"/>
        <w:gridCol w:w="120"/>
        <w:gridCol w:w="68"/>
        <w:gridCol w:w="68"/>
        <w:gridCol w:w="262"/>
        <w:gridCol w:w="27"/>
        <w:gridCol w:w="120"/>
        <w:gridCol w:w="276"/>
        <w:gridCol w:w="276"/>
        <w:gridCol w:w="2030"/>
        <w:gridCol w:w="108"/>
        <w:gridCol w:w="120"/>
        <w:gridCol w:w="1028"/>
        <w:gridCol w:w="1028"/>
        <w:gridCol w:w="1028"/>
        <w:gridCol w:w="1031"/>
        <w:gridCol w:w="38"/>
      </w:tblGrid>
      <w:tr>
        <w:trPr/>
        <w:tc>
          <w:tcPr>
            <w:tcW w:w="16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1640" w:type="dxa"/>
            <w:tcBorders/>
            <w:shd w:fill="0BC11C" w:val="clear"/>
            <w:vAlign w:val="center"/>
          </w:tcPr>
          <w:p>
            <w:pPr>
              <w:pStyle w:val="TableContents"/>
              <w:bidi w:val="0"/>
              <w:spacing w:before="0" w:after="283"/>
              <w:jc w:val="left"/>
              <w:rPr>
                <w:sz w:val="4"/>
                <w:szCs w:val="4"/>
              </w:rPr>
            </w:pPr>
            <w:r>
              <w:rPr>
                <w:sz w:val="4"/>
                <w:szCs w:val="4"/>
              </w:rPr>
            </w:r>
          </w:p>
        </w:tc>
        <w:tc>
          <w:tcPr>
            <w:tcW w:w="545" w:type="dxa"/>
            <w:gridSpan w:val="5"/>
            <w:tcBorders/>
            <w:shd w:fill="0BC11C" w:val="clear"/>
            <w:vAlign w:val="center"/>
          </w:tcPr>
          <w:p>
            <w:pPr>
              <w:pStyle w:val="TableContents"/>
              <w:bidi w:val="0"/>
              <w:spacing w:before="0" w:after="283"/>
              <w:jc w:val="left"/>
              <w:rPr>
                <w:sz w:val="4"/>
                <w:szCs w:val="4"/>
              </w:rPr>
            </w:pPr>
            <w:r>
              <w:rPr>
                <w:sz w:val="4"/>
                <w:szCs w:val="4"/>
              </w:rPr>
            </w:r>
          </w:p>
        </w:tc>
        <w:tc>
          <w:tcPr>
            <w:tcW w:w="2810" w:type="dxa"/>
            <w:gridSpan w:val="5"/>
            <w:tcBorders/>
            <w:shd w:fill="0BC11C" w:val="clear"/>
            <w:vAlign w:val="center"/>
          </w:tcPr>
          <w:p>
            <w:pPr>
              <w:pStyle w:val="TableContents"/>
              <w:bidi w:val="0"/>
              <w:spacing w:before="0" w:after="283"/>
              <w:jc w:val="left"/>
              <w:rPr>
                <w:sz w:val="4"/>
                <w:szCs w:val="4"/>
              </w:rPr>
            </w:pPr>
            <w:r>
              <w:rPr>
                <w:sz w:val="4"/>
                <w:szCs w:val="4"/>
              </w:rPr>
            </w:r>
          </w:p>
        </w:tc>
        <w:tc>
          <w:tcPr>
            <w:tcW w:w="4235" w:type="dxa"/>
            <w:gridSpan w:val="5"/>
            <w:tcBorders/>
            <w:shd w:fill="0BC11C" w:val="clear"/>
            <w:vAlign w:val="center"/>
          </w:tcPr>
          <w:p>
            <w:pPr>
              <w:pStyle w:val="TableContents"/>
              <w:bidi w:val="0"/>
              <w:spacing w:before="0" w:after="283"/>
              <w:jc w:val="left"/>
              <w:rPr>
                <w:sz w:val="4"/>
                <w:szCs w:val="4"/>
              </w:rPr>
            </w:pPr>
            <w:r>
              <w:rPr>
                <w:sz w:val="4"/>
                <w:szCs w:val="4"/>
              </w:rPr>
            </w:r>
          </w:p>
        </w:tc>
        <w:tc>
          <w:tcPr>
            <w:tcW w:w="38" w:type="dxa"/>
            <w:tcBorders/>
            <w:shd w:fill="0BC11C" w:val="clear"/>
          </w:tcPr>
          <w:p>
            <w:pPr>
              <w:pStyle w:val="TableContents"/>
              <w:bidi w:val="0"/>
              <w:spacing w:before="0" w:after="283"/>
              <w:jc w:val="left"/>
              <w:rPr>
                <w:sz w:val="4"/>
                <w:szCs w:val="4"/>
              </w:rPr>
            </w:pPr>
            <w:r>
              <w:rPr>
                <w:sz w:val="4"/>
                <w:szCs w:val="4"/>
              </w:rPr>
            </w:r>
          </w:p>
        </w:tc>
      </w:tr>
      <w:tr>
        <w:trPr/>
        <w:tc>
          <w:tcPr>
            <w:tcW w:w="1640" w:type="dxa"/>
            <w:tcBorders/>
            <w:shd w:fill="0BC11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120" w:type="dxa"/>
            <w:tcBorders/>
            <w:shd w:fill="0BC11C" w:val="clear"/>
            <w:vAlign w:val="center"/>
          </w:tcPr>
          <w:p>
            <w:pPr>
              <w:pStyle w:val="TableContents"/>
              <w:bidi w:val="0"/>
              <w:spacing w:before="0" w:after="283"/>
              <w:jc w:val="left"/>
              <w:rPr/>
            </w:pPr>
            <w:r>
              <w:rPr/>
              <w:t>  </w:t>
            </w:r>
          </w:p>
        </w:tc>
        <w:tc>
          <w:tcPr>
            <w:tcW w:w="425" w:type="dxa"/>
            <w:gridSpan w:val="4"/>
            <w:tcBorders/>
            <w:shd w:fill="0BC11C" w:val="clear"/>
            <w:vAlign w:val="center"/>
          </w:tcPr>
          <w:p>
            <w:pPr>
              <w:pStyle w:val="TableContents"/>
              <w:bidi w:val="0"/>
              <w:spacing w:before="0" w:after="283"/>
              <w:jc w:val="center"/>
              <w:rPr>
                <w:b/>
                <w:color w:val="FFFFFF"/>
              </w:rPr>
            </w:pPr>
            <w:r>
              <w:rPr>
                <w:b/>
                <w:color w:val="FFFFFF"/>
              </w:rPr>
              <w:t>Age</w:t>
            </w:r>
          </w:p>
        </w:tc>
        <w:tc>
          <w:tcPr>
            <w:tcW w:w="120" w:type="dxa"/>
            <w:tcBorders/>
            <w:shd w:fill="0BC11C" w:val="clear"/>
            <w:vAlign w:val="center"/>
          </w:tcPr>
          <w:p>
            <w:pPr>
              <w:pStyle w:val="TableContents"/>
              <w:bidi w:val="0"/>
              <w:spacing w:before="0" w:after="283"/>
              <w:jc w:val="left"/>
              <w:rPr/>
            </w:pPr>
            <w:r>
              <w:rPr/>
              <w:t>  </w:t>
            </w:r>
          </w:p>
        </w:tc>
        <w:tc>
          <w:tcPr>
            <w:tcW w:w="2690" w:type="dxa"/>
            <w:gridSpan w:val="4"/>
            <w:tcBorders/>
            <w:shd w:fill="0BC11C" w:val="clear"/>
            <w:vAlign w:val="center"/>
          </w:tcPr>
          <w:p>
            <w:pPr>
              <w:pStyle w:val="TableContents"/>
              <w:bidi w:val="0"/>
              <w:spacing w:before="0" w:after="283"/>
              <w:jc w:val="center"/>
              <w:rPr>
                <w:b/>
                <w:color w:val="FFFFFF"/>
              </w:rPr>
            </w:pPr>
            <w:r>
              <w:rPr>
                <w:b/>
                <w:color w:val="FFFFFF"/>
              </w:rPr>
              <w:t>Served as a Director Since</w:t>
            </w:r>
          </w:p>
        </w:tc>
        <w:tc>
          <w:tcPr>
            <w:tcW w:w="120" w:type="dxa"/>
            <w:tcBorders/>
            <w:shd w:fill="0BC11C" w:val="clear"/>
            <w:vAlign w:val="center"/>
          </w:tcPr>
          <w:p>
            <w:pPr>
              <w:pStyle w:val="TableContents"/>
              <w:bidi w:val="0"/>
              <w:spacing w:before="0" w:after="283"/>
              <w:jc w:val="left"/>
              <w:rPr/>
            </w:pPr>
            <w:r>
              <w:rPr/>
              <w:t>  </w:t>
            </w:r>
          </w:p>
        </w:tc>
        <w:tc>
          <w:tcPr>
            <w:tcW w:w="4115" w:type="dxa"/>
            <w:gridSpan w:val="4"/>
            <w:tcBorders/>
            <w:shd w:fill="0BC11C" w:val="clear"/>
            <w:vAlign w:val="center"/>
          </w:tcPr>
          <w:p>
            <w:pPr>
              <w:pStyle w:val="TableContents"/>
              <w:bidi w:val="0"/>
              <w:spacing w:before="0" w:after="283"/>
              <w:jc w:val="center"/>
              <w:rPr>
                <w:b/>
                <w:color w:val="FFFFFF"/>
              </w:rPr>
            </w:pPr>
            <w:r>
              <w:rPr>
                <w:b/>
                <w:color w:val="FFFFFF"/>
              </w:rPr>
              <w:t>Position with Fortrea  </w:t>
            </w:r>
          </w:p>
        </w:tc>
        <w:tc>
          <w:tcPr>
            <w:tcW w:w="38" w:type="dxa"/>
            <w:tcBorders/>
            <w:shd w:fill="0BC11C" w:val="clea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lineRule="atLeast" w:line="300" w:before="0" w:after="0"/>
              <w:jc w:val="left"/>
              <w:rPr>
                <w:rFonts w:ascii="ARIAL" w:hAnsi="ARIAL"/>
                <w:b/>
                <w:sz w:val="20"/>
              </w:rPr>
            </w:pPr>
            <w:r>
              <w:rPr>
                <w:rFonts w:ascii="ARIAL" w:hAnsi="ARIAL"/>
                <w:b/>
                <w:sz w:val="20"/>
              </w:rPr>
              <w:t>Thomas Pike</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lineRule="atLeast" w:line="300" w:before="0" w:after="0"/>
              <w:jc w:val="left"/>
              <w:rPr/>
            </w:pPr>
            <w:r>
              <w:rPr/>
              <w:t> </w:t>
            </w:r>
          </w:p>
        </w:tc>
        <w:tc>
          <w:tcPr>
            <w:tcW w:w="262" w:type="dxa"/>
            <w:tcBorders/>
            <w:vAlign w:val="center"/>
          </w:tcPr>
          <w:p>
            <w:pPr>
              <w:pStyle w:val="TableContents"/>
              <w:bidi w:val="0"/>
              <w:spacing w:lineRule="atLeast" w:line="300" w:before="0" w:after="0"/>
              <w:jc w:val="right"/>
              <w:rPr>
                <w:rFonts w:ascii="ARIAL" w:hAnsi="ARIAL"/>
                <w:sz w:val="20"/>
              </w:rPr>
            </w:pPr>
            <w:r>
              <w:rPr>
                <w:rFonts w:ascii="ARIAL" w:hAnsi="ARIAL"/>
                <w:sz w:val="20"/>
              </w:rPr>
              <w:t>64</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lineRule="atLeast" w:line="300" w:before="0" w:after="0"/>
              <w:jc w:val="left"/>
              <w:rPr/>
            </w:pPr>
            <w:r>
              <w:rPr/>
              <w:t> </w:t>
            </w:r>
          </w:p>
        </w:tc>
        <w:tc>
          <w:tcPr>
            <w:tcW w:w="2030" w:type="dxa"/>
            <w:tcBorders/>
            <w:vAlign w:val="center"/>
          </w:tcPr>
          <w:p>
            <w:pPr>
              <w:pStyle w:val="TableContents"/>
              <w:bidi w:val="0"/>
              <w:spacing w:lineRule="atLeast" w:line="300" w:before="0" w:after="0"/>
              <w:jc w:val="right"/>
              <w:rPr>
                <w:rFonts w:ascii="ARIAL" w:hAnsi="ARIAL"/>
                <w:sz w:val="20"/>
              </w:rPr>
            </w:pPr>
            <w:r>
              <w:rPr>
                <w:rFonts w:ascii="ARIAL" w:hAnsi="ARIAL"/>
                <w:sz w:val="20"/>
              </w:rPr>
              <w:t>2023</w:t>
            </w:r>
          </w:p>
        </w:tc>
        <w:tc>
          <w:tcPr>
            <w:tcW w:w="1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115" w:type="dxa"/>
            <w:gridSpan w:val="4"/>
            <w:tcBorders/>
            <w:vAlign w:val="center"/>
          </w:tcPr>
          <w:p>
            <w:pPr>
              <w:pStyle w:val="TableContents"/>
              <w:bidi w:val="0"/>
              <w:spacing w:lineRule="atLeast" w:line="300" w:before="0" w:after="0"/>
              <w:jc w:val="left"/>
              <w:rPr>
                <w:rFonts w:ascii="ARIAL" w:hAnsi="ARIAL"/>
                <w:sz w:val="18"/>
              </w:rPr>
            </w:pPr>
            <w:r>
              <w:rPr>
                <w:rFonts w:ascii="ARIAL" w:hAnsi="ARIAL"/>
                <w:sz w:val="18"/>
              </w:rPr>
              <w:t>Chief Executive Officer and Chairman of the Board</w:t>
            </w:r>
          </w:p>
        </w:tc>
        <w:tc>
          <w:tcPr>
            <w:tcW w:w="38" w:type="dxa"/>
            <w:tcBorders/>
            <w:vAlign w:val="center"/>
          </w:tcPr>
          <w:p>
            <w:pPr>
              <w:pStyle w:val="TableContents"/>
              <w:bidi w:val="0"/>
              <w:spacing w:before="0" w:after="283"/>
              <w:jc w:val="left"/>
              <w:rPr>
                <w:sz w:val="4"/>
                <w:szCs w:val="4"/>
              </w:rPr>
            </w:pPr>
            <w:r>
              <w:rPr>
                <w:sz w:val="4"/>
                <w:szCs w:val="4"/>
              </w:rPr>
            </w:r>
          </w:p>
        </w:tc>
      </w:tr>
      <w:tr>
        <w:trPr/>
        <w:tc>
          <w:tcPr>
            <w:tcW w:w="1640" w:type="dxa"/>
            <w:tcBorders/>
            <w:shd w:fill="EDEDED" w:val="clear"/>
            <w:vAlign w:val="center"/>
          </w:tcPr>
          <w:p>
            <w:pPr>
              <w:pStyle w:val="TableContents"/>
              <w:bidi w:val="0"/>
              <w:spacing w:lineRule="atLeast" w:line="300" w:before="0" w:after="0"/>
              <w:jc w:val="left"/>
              <w:rPr>
                <w:rFonts w:ascii="ARIAL" w:hAnsi="ARIAL"/>
                <w:b/>
                <w:sz w:val="20"/>
              </w:rPr>
            </w:pPr>
            <w:r>
              <w:rPr>
                <w:rFonts w:ascii="ARIAL" w:hAnsi="ARIAL"/>
                <w:b/>
                <w:sz w:val="20"/>
              </w:rPr>
              <w:t>R. Andrew Eckert</w:t>
            </w:r>
          </w:p>
        </w:tc>
        <w:tc>
          <w:tcPr>
            <w:tcW w:w="120"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lineRule="atLeast" w:line="300" w:before="0" w:after="0"/>
              <w:jc w:val="left"/>
              <w:rPr/>
            </w:pPr>
            <w:r>
              <w:rPr/>
              <w:t> </w:t>
            </w:r>
          </w:p>
        </w:tc>
        <w:tc>
          <w:tcPr>
            <w:tcW w:w="262" w:type="dxa"/>
            <w:tcBorders/>
            <w:shd w:fill="EDEDED" w:val="clear"/>
            <w:vAlign w:val="center"/>
          </w:tcPr>
          <w:p>
            <w:pPr>
              <w:pStyle w:val="TableContents"/>
              <w:bidi w:val="0"/>
              <w:spacing w:lineRule="atLeast" w:line="300" w:before="0" w:after="0"/>
              <w:jc w:val="right"/>
              <w:rPr>
                <w:rFonts w:ascii="ARIAL" w:hAnsi="ARIAL"/>
                <w:sz w:val="20"/>
              </w:rPr>
            </w:pPr>
            <w:r>
              <w:rPr>
                <w:rFonts w:ascii="ARIAL" w:hAnsi="ARIAL"/>
                <w:sz w:val="20"/>
              </w:rPr>
              <w:t>62</w:t>
            </w:r>
          </w:p>
        </w:tc>
        <w:tc>
          <w:tcPr>
            <w:tcW w:w="27"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276" w:type="dxa"/>
            <w:tcBorders/>
            <w:shd w:fill="EDEDED" w:val="clear"/>
            <w:vAlign w:val="center"/>
          </w:tcPr>
          <w:p>
            <w:pPr>
              <w:pStyle w:val="TableContents"/>
              <w:bidi w:val="0"/>
              <w:spacing w:before="0" w:after="283"/>
              <w:jc w:val="left"/>
              <w:rPr/>
            </w:pPr>
            <w:r>
              <w:rPr/>
              <w:t> </w:t>
            </w:r>
          </w:p>
        </w:tc>
        <w:tc>
          <w:tcPr>
            <w:tcW w:w="276" w:type="dxa"/>
            <w:tcBorders/>
            <w:shd w:fill="EDEDED" w:val="clear"/>
            <w:vAlign w:val="center"/>
          </w:tcPr>
          <w:p>
            <w:pPr>
              <w:pStyle w:val="TableContents"/>
              <w:bidi w:val="0"/>
              <w:spacing w:lineRule="atLeast" w:line="300" w:before="0" w:after="0"/>
              <w:jc w:val="left"/>
              <w:rPr/>
            </w:pPr>
            <w:r>
              <w:rPr/>
              <w:t> </w:t>
            </w:r>
          </w:p>
        </w:tc>
        <w:tc>
          <w:tcPr>
            <w:tcW w:w="2030" w:type="dxa"/>
            <w:tcBorders/>
            <w:shd w:fill="EDEDED" w:val="clear"/>
            <w:vAlign w:val="center"/>
          </w:tcPr>
          <w:p>
            <w:pPr>
              <w:pStyle w:val="TableContents"/>
              <w:bidi w:val="0"/>
              <w:spacing w:lineRule="atLeast" w:line="300" w:before="0" w:after="0"/>
              <w:jc w:val="right"/>
              <w:rPr>
                <w:rFonts w:ascii="ARIAL" w:hAnsi="ARIAL"/>
                <w:sz w:val="20"/>
              </w:rPr>
            </w:pPr>
            <w:r>
              <w:rPr>
                <w:rFonts w:ascii="ARIAL" w:hAnsi="ARIAL"/>
                <w:sz w:val="20"/>
              </w:rPr>
              <w:t>2023</w:t>
            </w:r>
          </w:p>
        </w:tc>
        <w:tc>
          <w:tcPr>
            <w:tcW w:w="108"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4115" w:type="dxa"/>
            <w:gridSpan w:val="4"/>
            <w:tcBorders/>
            <w:shd w:fill="EDEDED" w:val="clear"/>
            <w:vAlign w:val="center"/>
          </w:tcPr>
          <w:p>
            <w:pPr>
              <w:pStyle w:val="TableContents"/>
              <w:bidi w:val="0"/>
              <w:spacing w:lineRule="atLeast" w:line="300" w:before="0" w:after="0"/>
              <w:jc w:val="left"/>
              <w:rPr>
                <w:rFonts w:ascii="ARIAL" w:hAnsi="ARIAL"/>
                <w:sz w:val="18"/>
              </w:rPr>
            </w:pPr>
            <w:r>
              <w:rPr>
                <w:rFonts w:ascii="ARIAL" w:hAnsi="ARIAL"/>
                <w:sz w:val="18"/>
              </w:rPr>
              <w:t>Lead Independent Director</w:t>
            </w:r>
          </w:p>
        </w:tc>
        <w:tc>
          <w:tcPr>
            <w:tcW w:w="38" w:type="dxa"/>
            <w:tcBorders/>
            <w:shd w:fill="EDEDED" w:val="clear"/>
            <w:vAlign w:val="center"/>
          </w:tcPr>
          <w:p>
            <w:pPr>
              <w:pStyle w:val="TableContents"/>
              <w:bidi w:val="0"/>
              <w:spacing w:before="0" w:after="283"/>
              <w:jc w:val="left"/>
              <w:rPr>
                <w:sz w:val="4"/>
                <w:szCs w:val="4"/>
              </w:rPr>
            </w:pPr>
            <w:r>
              <w:rPr>
                <w:sz w:val="4"/>
                <w:szCs w:val="4"/>
              </w:rPr>
            </w:r>
          </w:p>
        </w:tc>
      </w:tr>
      <w:tr>
        <w:trPr/>
        <w:tc>
          <w:tcPr>
            <w:tcW w:w="1640" w:type="dxa"/>
            <w:tcBorders/>
            <w:vAlign w:val="center"/>
          </w:tcPr>
          <w:p>
            <w:pPr>
              <w:pStyle w:val="TableContents"/>
              <w:bidi w:val="0"/>
              <w:spacing w:lineRule="atLeast" w:line="300" w:before="0" w:after="0"/>
              <w:jc w:val="left"/>
              <w:rPr>
                <w:rFonts w:ascii="ARIAL" w:hAnsi="ARIAL"/>
                <w:b/>
                <w:sz w:val="20"/>
              </w:rPr>
            </w:pPr>
            <w:r>
              <w:rPr>
                <w:rFonts w:ascii="ARIAL" w:hAnsi="ARIAL"/>
                <w:b/>
                <w:sz w:val="20"/>
              </w:rPr>
              <w:t>Peter M. Neupert</w:t>
            </w:r>
          </w:p>
        </w:tc>
        <w:tc>
          <w:tcPr>
            <w:tcW w:w="12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lineRule="atLeast" w:line="300" w:before="0" w:after="0"/>
              <w:jc w:val="left"/>
              <w:rPr/>
            </w:pPr>
            <w:r>
              <w:rPr/>
              <w:t> </w:t>
            </w:r>
          </w:p>
        </w:tc>
        <w:tc>
          <w:tcPr>
            <w:tcW w:w="262" w:type="dxa"/>
            <w:tcBorders/>
            <w:vAlign w:val="center"/>
          </w:tcPr>
          <w:p>
            <w:pPr>
              <w:pStyle w:val="TableContents"/>
              <w:bidi w:val="0"/>
              <w:spacing w:lineRule="atLeast" w:line="300" w:before="0" w:after="0"/>
              <w:jc w:val="right"/>
              <w:rPr>
                <w:rFonts w:ascii="ARIAL" w:hAnsi="ARIAL"/>
                <w:sz w:val="20"/>
              </w:rPr>
            </w:pPr>
            <w:r>
              <w:rPr>
                <w:rFonts w:ascii="ARIAL" w:hAnsi="ARIAL"/>
                <w:sz w:val="20"/>
              </w:rPr>
              <w:t>68</w:t>
            </w:r>
          </w:p>
        </w:tc>
        <w:tc>
          <w:tcPr>
            <w:tcW w:w="2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lineRule="atLeast" w:line="300" w:before="0" w:after="0"/>
              <w:jc w:val="left"/>
              <w:rPr/>
            </w:pPr>
            <w:r>
              <w:rPr/>
              <w:t> </w:t>
            </w:r>
          </w:p>
        </w:tc>
        <w:tc>
          <w:tcPr>
            <w:tcW w:w="2030" w:type="dxa"/>
            <w:tcBorders/>
            <w:vAlign w:val="center"/>
          </w:tcPr>
          <w:p>
            <w:pPr>
              <w:pStyle w:val="TableContents"/>
              <w:bidi w:val="0"/>
              <w:spacing w:lineRule="atLeast" w:line="300" w:before="0" w:after="0"/>
              <w:jc w:val="right"/>
              <w:rPr>
                <w:rFonts w:ascii="ARIAL" w:hAnsi="ARIAL"/>
                <w:sz w:val="20"/>
              </w:rPr>
            </w:pPr>
            <w:r>
              <w:rPr>
                <w:rFonts w:ascii="ARIAL" w:hAnsi="ARIAL"/>
                <w:sz w:val="20"/>
              </w:rPr>
              <w:t>2023</w:t>
            </w:r>
          </w:p>
        </w:tc>
        <w:tc>
          <w:tcPr>
            <w:tcW w:w="1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4115" w:type="dxa"/>
            <w:gridSpan w:val="4"/>
            <w:tcBorders/>
            <w:vAlign w:val="center"/>
          </w:tcPr>
          <w:p>
            <w:pPr>
              <w:pStyle w:val="TableContents"/>
              <w:bidi w:val="0"/>
              <w:spacing w:lineRule="atLeast" w:line="300" w:before="0" w:after="0"/>
              <w:jc w:val="left"/>
              <w:rPr>
                <w:rFonts w:ascii="ARIAL" w:hAnsi="ARIAL"/>
                <w:sz w:val="18"/>
              </w:rPr>
            </w:pPr>
            <w:r>
              <w:rPr>
                <w:rFonts w:ascii="ARIAL" w:hAnsi="ARIAL"/>
                <w:sz w:val="18"/>
              </w:rPr>
              <w:t>Director</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60" w:after="0"/>
        <w:jc w:val="left"/>
        <w:rPr>
          <w:rFonts w:ascii="ARIAL" w:hAnsi="ARIAL"/>
          <w:sz w:val="18"/>
        </w:rPr>
      </w:pPr>
      <w:r>
        <w:rPr>
          <w:rFonts w:ascii="ARIAL" w:hAnsi="ARIAL"/>
          <w:sz w:val="18"/>
        </w:rPr>
        <w:t xml:space="preserve">The principal occupations and business experience, for at least the past five years, of each Class III Director are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top w:val="single" w:sz="6" w:space="0" w:color="EDEDED"/>
              <w:left w:val="single" w:sz="6" w:space="0" w:color="EDEDED"/>
              <w:bottom w:val="single" w:sz="6" w:space="0" w:color="EDEDED"/>
              <w:right w:val="single" w:sz="6" w:space="0" w:color="EDEDED"/>
            </w:tcBorders>
            <w:shd w:fill="EDEDED" w:val="clear"/>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Age:</w:t>
            </w:r>
          </w:p>
          <w:p>
            <w:pPr>
              <w:pStyle w:val="TableContents"/>
              <w:bidi w:val="0"/>
              <w:spacing w:before="0" w:after="0"/>
              <w:jc w:val="center"/>
              <w:rPr>
                <w:rFonts w:ascii="ARIAL" w:hAnsi="ARIAL"/>
                <w:sz w:val="18"/>
              </w:rPr>
            </w:pPr>
            <w:r>
              <w:rPr>
                <w:rFonts w:ascii="ARIAL" w:hAnsi="ARIAL"/>
                <w:sz w:val="18"/>
              </w:rPr>
              <w:t>64</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Director</w:t>
              <w:br/>
              <w:t>Since:</w:t>
            </w:r>
          </w:p>
          <w:p>
            <w:pPr>
              <w:pStyle w:val="TableContents"/>
              <w:bidi w:val="0"/>
              <w:spacing w:before="0" w:after="20"/>
              <w:jc w:val="center"/>
              <w:rPr>
                <w:rFonts w:ascii="ARIAL" w:hAnsi="ARIAL"/>
                <w:sz w:val="18"/>
              </w:rPr>
            </w:pPr>
            <w:r>
              <w:rPr>
                <w:rFonts w:ascii="ARIAL" w:hAnsi="ARIAL"/>
                <w:sz w:val="18"/>
              </w:rPr>
              <w:t>June 29, 2023</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rFonts w:ascii="ARIAL" w:hAnsi="ARIAL"/>
                <w:sz w:val="28"/>
              </w:rPr>
            </w:pPr>
            <w:r>
              <w:rPr>
                <w:rFonts w:ascii="ARIAL" w:hAnsi="ARIAL"/>
                <w:sz w:val="28"/>
              </w:rPr>
              <w:t>Thomas Pike</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Mr. Pike</w:t>
            </w:r>
            <w:r>
              <w:rPr>
                <w:rFonts w:ascii="ARIAL" w:hAnsi="ARIAL"/>
                <w:sz w:val="18"/>
              </w:rPr>
              <w:t xml:space="preserve"> has served as our Chief Executive Officer and Chairman of our Board of Directors since the Spin. Mr. Pike has more than 30 years of industry experience. Mr. Pike joined Labcorp in January 2023 as president and chief executive officer of its Drug Development, Clinical Development and Commercialization Services business unit. Prior to joining Labcorp, he co-founded, advised and served as a director for several healthcare and technology services companies, including companies with a focus on patients and clinical research sites from 2017 to 2023. Prior to that, Mr. Pike served as CEO and board member of Quintiles Transnational Holdings, Inc. (“Quintiles”), a leading fully integrated biopharmaceutical services company offering clinical, commercial and consulting solutions worldwide. Under Mr. Pike’s leadership, Quintiles was named one of the world’s Most Ethical Companies and Most Admired Companies by Fortune magazine. During his tenure, he also led the launch of Q2 Solutions, a clinical trial laboratory services organization, in a joint-venture transaction. Mr. Pike led Quintiles through a successful IPO, helping it grow into a Fortune 500 company with 36,000 employees worldwide. Mr. Pike retired as vice chairman of the merged Quintiles and IMS Health. Prior to Quintiles, Mr. Pike had a distinguished career at Accenture in executive roles, including Chief Risk Officer and Managing Director of the North America Health and Products business areas. Prior to that, he was the global Chief Operating Officer for Accenture’s Resources operating group, and he also served as Accenture’s Chief Strategy Officer and a member of the executive leadership team for Accenture’s IPO in July 2001. Earlier, he was at McKinsey &amp; Company and, since 2019, serves on the board of Martin Marietta Materials, Inc. Mr. Pike earned his Bachelor of Science in accounting from the University of Delaware.</w:t>
            </w:r>
          </w:p>
          <w:p>
            <w:pPr>
              <w:pStyle w:val="TableContents"/>
              <w:bidi w:val="0"/>
              <w:spacing w:before="0" w:after="20"/>
              <w:jc w:val="left"/>
              <w:rPr/>
            </w:pPr>
            <w:r>
              <w:rPr/>
              <w:t>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11</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PROPOSAL 1: ELECTION OF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top w:val="single" w:sz="6" w:space="0" w:color="EDEDED"/>
              <w:left w:val="single" w:sz="6" w:space="0" w:color="EDEDED"/>
              <w:bottom w:val="single" w:sz="6" w:space="0" w:color="EDEDED"/>
              <w:right w:val="single" w:sz="6" w:space="0" w:color="EDEDED"/>
            </w:tcBorders>
            <w:shd w:fill="EDEDED" w:val="clear"/>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Age:</w:t>
            </w:r>
          </w:p>
          <w:p>
            <w:pPr>
              <w:pStyle w:val="TableContents"/>
              <w:bidi w:val="0"/>
              <w:spacing w:before="0" w:after="0"/>
              <w:jc w:val="center"/>
              <w:rPr>
                <w:rFonts w:ascii="ARIAL" w:hAnsi="ARIAL"/>
                <w:sz w:val="18"/>
              </w:rPr>
            </w:pPr>
            <w:r>
              <w:rPr>
                <w:rFonts w:ascii="ARIAL" w:hAnsi="ARIAL"/>
                <w:sz w:val="18"/>
              </w:rPr>
              <w:t>62</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Director</w:t>
              <w:br/>
              <w:t>Since:</w:t>
            </w:r>
          </w:p>
          <w:p>
            <w:pPr>
              <w:pStyle w:val="TableContents"/>
              <w:bidi w:val="0"/>
              <w:spacing w:before="0" w:after="20"/>
              <w:jc w:val="center"/>
              <w:rPr>
                <w:rFonts w:ascii="ARIAL" w:hAnsi="ARIAL"/>
                <w:sz w:val="18"/>
              </w:rPr>
            </w:pPr>
            <w:r>
              <w:rPr>
                <w:rFonts w:ascii="ARIAL" w:hAnsi="ARIAL"/>
                <w:sz w:val="18"/>
              </w:rPr>
              <w:t>June 29, 2023</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rFonts w:ascii="ARIAL" w:hAnsi="ARIAL"/>
                <w:sz w:val="28"/>
              </w:rPr>
            </w:pPr>
            <w:r>
              <w:rPr>
                <w:rFonts w:ascii="ARIAL" w:hAnsi="ARIAL"/>
                <w:sz w:val="28"/>
              </w:rPr>
              <w:t>R. Andrew Eckert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Mr. Eckert</w:t>
            </w:r>
            <w:r>
              <w:rPr>
                <w:rFonts w:ascii="ARIAL" w:hAnsi="ARIAL"/>
                <w:sz w:val="18"/>
              </w:rPr>
              <w:t xml:space="preserve"> was appointed to our Board of Directors in connection with the Spin. Since December 2022, Mr. Eckert has served as a Senior Advisor to Permira, a global private equity firm. Mr. Eckert served as the Chief Executive Officer of Zelis Inc., a provider of healthcare cost management and payment solutions, from August 2020 until August 2021, and as the President and Chief Executive Officer of Acelity L.P., a global wound care company, from 2017 until October 2019. Mr. Eckert earned an MBA from Stanford University Graduate School of Business and a BS in Industrial Engineering from Stanford University. Since January 2016, Mr. Eckert has served as director of Becton, Dickinson and Company, a global medical technology company. In addition, Mr. Eckert’s prior board service includes Varian Medical Systems, Inc., a medical device and software company, where he served as a director from 2005 to 2014 and as Chairman of the Board from 2014 to 2021.</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top w:val="single" w:sz="6" w:space="0" w:color="EDEDED"/>
              <w:left w:val="single" w:sz="6" w:space="0" w:color="EDEDED"/>
              <w:bottom w:val="single" w:sz="6" w:space="0" w:color="EDEDED"/>
              <w:right w:val="single" w:sz="6" w:space="0" w:color="EDEDED"/>
            </w:tcBorders>
            <w:shd w:fill="EDEDED" w:val="clear"/>
            <w:tcMar>
              <w:top w:w="28" w:type="dxa"/>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Age:</w:t>
            </w:r>
          </w:p>
          <w:p>
            <w:pPr>
              <w:pStyle w:val="TableContents"/>
              <w:bidi w:val="0"/>
              <w:spacing w:before="0" w:after="0"/>
              <w:jc w:val="center"/>
              <w:rPr>
                <w:rFonts w:ascii="ARIAL" w:hAnsi="ARIAL"/>
                <w:sz w:val="18"/>
              </w:rPr>
            </w:pPr>
            <w:r>
              <w:rPr>
                <w:rFonts w:ascii="ARIAL" w:hAnsi="ARIAL"/>
                <w:sz w:val="18"/>
              </w:rPr>
              <w:t>68</w:t>
            </w:r>
          </w:p>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Director</w:t>
              <w:br/>
              <w:t>Since:</w:t>
            </w:r>
          </w:p>
          <w:p>
            <w:pPr>
              <w:pStyle w:val="TableContents"/>
              <w:bidi w:val="0"/>
              <w:spacing w:before="0" w:after="20"/>
              <w:jc w:val="center"/>
              <w:rPr>
                <w:rFonts w:ascii="ARIAL" w:hAnsi="ARIAL"/>
                <w:sz w:val="18"/>
              </w:rPr>
            </w:pPr>
            <w:r>
              <w:rPr>
                <w:rFonts w:ascii="ARIAL" w:hAnsi="ARIAL"/>
                <w:sz w:val="18"/>
              </w:rPr>
              <w:t>June 29, 2023</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rFonts w:ascii="ARIAL" w:hAnsi="ARIAL"/>
                <w:sz w:val="28"/>
              </w:rPr>
            </w:pPr>
            <w:r>
              <w:rPr>
                <w:rFonts w:ascii="ARIAL" w:hAnsi="ARIAL"/>
                <w:sz w:val="28"/>
              </w:rPr>
              <w:t>Peter M. Neupert</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b/>
                <w:sz w:val="18"/>
              </w:rPr>
              <w:t>Mr. Neupert</w:t>
            </w:r>
            <w:r>
              <w:rPr>
                <w:rFonts w:ascii="ARIAL" w:hAnsi="ARIAL"/>
                <w:sz w:val="18"/>
              </w:rPr>
              <w:t xml:space="preserve"> was appointed to our Board of Directors in connection with the Spin. Mr. Neupert served as an Operating Partner at Health Evolution Partners, a private equity fund, from February 2012 to July 2014. Prior to joining Health Evolution Partners, Mr. Neupert served as Corporate Vice President, Health Solutions Group at Microsoft from August 2005 to January 2012, and as the Chief Executive Officer and Chairman of the board of directors of Drugstore.com, which he joined in July 1998. Prior to drugstore.com, Mr. Neupert was Corporate Vice President for News and Publishing at Microsoft, where he created and led MSNBC.com and MSNBC Cable and managed Microsoft’s other online publishing entities including Slate.com. Since 2013, Mr. Neupert has served as a director of Labcorp and as a director of Adaptive Biotechnologies Corporation. Mr. Neupert previously served as a member of the board of directors of NextGen Healthcare, Inc., a public software company, and several private companies. Mr. Neupert served as a member of the Board of Trustees of Fred Hutchinson Cancer Research Center from June 2007 to June 2020. Mr. Neupert holds an MBA from the Tuck School of Business at Dartmouth College and a BA in Philosophy from Colorado College.</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12</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left"/>
        <w:rPr>
          <w:rFonts w:ascii="Times New Roman" w:hAnsi="Times New Roman"/>
          <w:sz w:val="40"/>
        </w:rPr>
      </w:pPr>
      <w:bookmarkStart w:id="12" w:name="toc814840_10"/>
      <w:bookmarkEnd w:id="12"/>
      <w:r>
        <w:rPr>
          <w:rFonts w:ascii="Times New Roman" w:hAnsi="Times New Roman"/>
          <w:sz w:val="40"/>
        </w:rPr>
        <w:t xml:space="preserve">Proposal 2: Ratification of Appointment of Independent Registered Public Accounting Firm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120" w:after="0"/>
        <w:jc w:val="left"/>
        <w:rPr>
          <w:rFonts w:ascii="ARIAL" w:hAnsi="ARIAL"/>
          <w:sz w:val="18"/>
        </w:rPr>
      </w:pPr>
      <w:r>
        <w:rPr>
          <w:rFonts w:ascii="ARIAL" w:hAnsi="ARIAL"/>
          <w:sz w:val="18"/>
        </w:rPr>
        <w:t xml:space="preserve">Our Audit Committee has appointed Deloitte &amp; Touche LLP as our independent registered public accounting firm for the fiscal year ending December 31, 2024. The Labcorp Audit Committee engaged Deloitte &amp; Touche LLP as our independent registered public accounting firm for the fiscal years ending December 31, 2022, and December 31, 2023 and the Fortrea Audit Committee ratified the engagement for fiscal year 2023 after the Spin. Our Board has directed that the appointment for the fiscal year ending December 31, 2024 be submitted to our stockholders for ratification. Although ratification of our appointment of Deloitte &amp; Touche LLP is not required, we value the opinions of our stockholders and believe that stockholder ratification of our appointment is a good corporate governance practice. </w:t>
      </w:r>
    </w:p>
    <w:p>
      <w:pPr>
        <w:pStyle w:val="TextBody"/>
        <w:bidi w:val="0"/>
        <w:spacing w:before="160" w:after="0"/>
        <w:jc w:val="left"/>
        <w:rPr>
          <w:rFonts w:ascii="ARIAL" w:hAnsi="ARIAL"/>
          <w:sz w:val="18"/>
        </w:rPr>
      </w:pPr>
      <w:r>
        <w:rPr>
          <w:rFonts w:ascii="ARIAL" w:hAnsi="ARIAL"/>
          <w:sz w:val="18"/>
        </w:rPr>
        <w:t xml:space="preserve">Neither the accounting firm nor any of its members has any direct or indirect financial interest in or any connection with us in any capacity other than as our auditors, providing audit and non-audit related services. A representative of Deloitte &amp; Touche LLP is expected to attend the Annual Meeting and to have an opportunity to make a statement and be available to respond to appropriate questions from stockholders. </w:t>
      </w:r>
    </w:p>
    <w:p>
      <w:pPr>
        <w:pStyle w:val="TextBody"/>
        <w:bidi w:val="0"/>
        <w:spacing w:before="160" w:after="0"/>
        <w:jc w:val="left"/>
        <w:rPr>
          <w:rFonts w:ascii="ARIAL" w:hAnsi="ARIAL"/>
          <w:sz w:val="18"/>
        </w:rPr>
      </w:pPr>
      <w:r>
        <w:rPr>
          <w:rFonts w:ascii="ARIAL" w:hAnsi="ARIAL"/>
          <w:sz w:val="18"/>
        </w:rPr>
        <w:t xml:space="preserve">In the event that the appointment of Deloitte &amp; Touche LLP is not ratified by the stockholders, the Audit Committee will consider this fact when it appoints the independent registered public accounting firm for the fiscal year ending December 31, 2025. Even if the appointment of Deloitte &amp; Touche LLP is ratified, the Audit Committee retains the discretion to appoint a different independent registered public accounting firm at any time if it determines that such a change is in the interests of the Company. </w:t>
      </w:r>
    </w:p>
    <w:p>
      <w:pPr>
        <w:pStyle w:val="TextBody"/>
        <w:bidi w:val="0"/>
        <w:spacing w:before="360" w:after="0"/>
        <w:jc w:val="left"/>
        <w:rPr>
          <w:rFonts w:ascii="ARIAL" w:hAnsi="ARIAL"/>
          <w:b/>
          <w:sz w:val="20"/>
        </w:rPr>
      </w:pPr>
      <w:bookmarkStart w:id="13" w:name="toc814840_11"/>
      <w:bookmarkEnd w:id="13"/>
      <w:r>
        <w:rPr>
          <w:rFonts w:ascii="ARIAL" w:hAnsi="ARIAL"/>
          <w:b/>
          <w:sz w:val="20"/>
        </w:rPr>
        <w:t xml:space="preserve">Vote Required </w:t>
      </w:r>
    </w:p>
    <w:p>
      <w:pPr>
        <w:pStyle w:val="TextBody"/>
        <w:bidi w:val="0"/>
        <w:spacing w:before="160" w:after="0"/>
        <w:jc w:val="left"/>
        <w:rPr>
          <w:rFonts w:ascii="ARIAL" w:hAnsi="ARIAL"/>
          <w:sz w:val="18"/>
        </w:rPr>
      </w:pPr>
      <w:bookmarkStart w:id="14" w:name="toc814840_12"/>
      <w:bookmarkEnd w:id="14"/>
      <w:r>
        <w:rPr>
          <w:rFonts w:ascii="ARIAL" w:hAnsi="ARIAL"/>
          <w:sz w:val="18"/>
        </w:rPr>
        <w:t xml:space="preserve">This proposal requires the affirmative vote of the holders of a majority in voting power of the shares present and entitled to vote on the matter. Abstentions have the same effect as votes against the proposal. Because brokers have discretionary authority to vote on the ratification of the appointment of Deloitte &amp; Touche LLP, we do not expect any broker non-votes in connection with this proposal.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649605" cy="36830"/>
            <wp:effectExtent l="0" t="0" r="0" b="0"/>
            <wp:docPr id="29"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7" descr=""/>
                    <pic:cNvPicPr>
                      <a:picLocks noChangeAspect="1" noChangeArrowheads="1"/>
                    </pic:cNvPicPr>
                  </pic:nvPicPr>
                  <pic:blipFill>
                    <a:blip r:embed="rId24"/>
                    <a:stretch>
                      <a:fillRect/>
                    </a:stretch>
                  </pic:blipFill>
                  <pic:spPr bwMode="auto">
                    <a:xfrm>
                      <a:off x="0" y="0"/>
                      <a:ext cx="649605" cy="368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13</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40"/>
        </w:rPr>
      </w:pPr>
      <w:bookmarkStart w:id="15" w:name="toc814840_13"/>
      <w:bookmarkEnd w:id="15"/>
      <w:r>
        <w:rPr>
          <w:rFonts w:ascii="Times New Roman" w:hAnsi="Times New Roman"/>
          <w:sz w:val="40"/>
        </w:rPr>
        <w:t xml:space="preserve">Report of the Audit Committee of the Board of Directors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120" w:after="0"/>
        <w:jc w:val="left"/>
        <w:rPr>
          <w:rFonts w:ascii="ARIAL" w:hAnsi="ARIAL"/>
          <w:sz w:val="18"/>
        </w:rPr>
      </w:pPr>
      <w:r>
        <w:rPr>
          <w:rFonts w:ascii="ARIAL" w:hAnsi="ARIAL"/>
          <w:sz w:val="18"/>
        </w:rPr>
        <w:t xml:space="preserve">The Audit Committee has reviewed the Company’s audited financial statements for the fiscal year ended December 31, 2023 and has discussed these financial statements with management and the Company’s independent registered public accounting firm. The Audit Committee has also received from, and discussed with, the Company’s independent registered public accounting firm various communications that such independent registered public accounting firm is required to provide to the Audit Committee, including the matters required to be discussed under applicable Public Company Accounting Oversight Board (“PCAOB”) standards. </w:t>
      </w:r>
    </w:p>
    <w:p>
      <w:pPr>
        <w:pStyle w:val="TextBody"/>
        <w:bidi w:val="0"/>
        <w:spacing w:before="160" w:after="0"/>
        <w:jc w:val="left"/>
        <w:rPr>
          <w:rFonts w:ascii="ARIAL" w:hAnsi="ARIAL"/>
          <w:sz w:val="18"/>
        </w:rPr>
      </w:pPr>
      <w:r>
        <w:rPr>
          <w:rFonts w:ascii="ARIAL" w:hAnsi="ARIAL"/>
          <w:sz w:val="18"/>
        </w:rPr>
        <w:t xml:space="preserve">The Company’s independent registered public accounting firm also provided the Audit Committee with a formal written statement required by applicable requirements of the PCAOB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Fortrea Holdings Inc. </w:t>
      </w:r>
    </w:p>
    <w:p>
      <w:pPr>
        <w:pStyle w:val="TextBody"/>
        <w:bidi w:val="0"/>
        <w:spacing w:before="160" w:after="0"/>
        <w:jc w:val="left"/>
        <w:rPr>
          <w:rFonts w:ascii="ARIAL" w:hAnsi="ARIAL"/>
          <w:sz w:val="18"/>
        </w:rPr>
      </w:pPr>
      <w:r>
        <w:rPr>
          <w:rFonts w:ascii="ARIAL" w:hAnsi="ARIAL"/>
          <w:sz w:val="18"/>
        </w:rPr>
        <w:t xml:space="preserve">Based on its discussions with management and the independent registered public accounting firm, and its review of the representations and information provided by management and the independent registered public accounting firm, the Audit Committee recommended to the Board of Directors that the audited financial statements be included in the Company’s Annual Report on Form 10-K for the fiscal year ended December 31, 2023. This report is provided by the following independent directors, who comprise the committee: </w:t>
      </w:r>
    </w:p>
    <w:p>
      <w:pPr>
        <w:pStyle w:val="TextBody"/>
        <w:bidi w:val="0"/>
        <w:spacing w:before="480" w:after="0"/>
        <w:jc w:val="left"/>
        <w:rPr>
          <w:rFonts w:ascii="ARIAL" w:hAnsi="ARIAL"/>
          <w:sz w:val="18"/>
        </w:rPr>
      </w:pPr>
      <w:r>
        <w:rPr>
          <w:rFonts w:ascii="ARIAL" w:hAnsi="ARIAL"/>
          <w:b/>
          <w:sz w:val="18"/>
        </w:rPr>
        <w:t>The Audit Committee</w:t>
      </w:r>
      <w:r>
        <w:rPr>
          <w:rFonts w:ascii="ARIAL" w:hAnsi="ARIAL"/>
          <w:sz w:val="18"/>
        </w:rPr>
        <w:t xml:space="preserve"> </w:t>
      </w:r>
    </w:p>
    <w:p>
      <w:pPr>
        <w:pStyle w:val="TextBody"/>
        <w:bidi w:val="0"/>
        <w:spacing w:before="0" w:after="0"/>
        <w:jc w:val="left"/>
        <w:rPr>
          <w:rFonts w:ascii="ARIAL" w:hAnsi="ARIAL"/>
          <w:sz w:val="18"/>
        </w:rPr>
      </w:pPr>
      <w:r>
        <w:rPr>
          <w:rFonts w:ascii="ARIAL" w:hAnsi="ARIAL"/>
          <w:sz w:val="18"/>
        </w:rPr>
        <w:t xml:space="preserve">David Smith (Chair) </w:t>
      </w:r>
    </w:p>
    <w:p>
      <w:pPr>
        <w:pStyle w:val="TextBody"/>
        <w:bidi w:val="0"/>
        <w:spacing w:before="0" w:after="0"/>
        <w:jc w:val="left"/>
        <w:rPr>
          <w:rFonts w:ascii="ARIAL" w:hAnsi="ARIAL"/>
          <w:sz w:val="18"/>
        </w:rPr>
      </w:pPr>
      <w:r>
        <w:rPr>
          <w:rFonts w:ascii="ARIAL" w:hAnsi="ARIAL"/>
          <w:sz w:val="18"/>
        </w:rPr>
        <w:t xml:space="preserve">Peter M. Neupert </w:t>
      </w:r>
    </w:p>
    <w:p>
      <w:pPr>
        <w:pStyle w:val="TextBody"/>
        <w:bidi w:val="0"/>
        <w:spacing w:before="0" w:after="0"/>
        <w:jc w:val="left"/>
        <w:rPr>
          <w:rFonts w:ascii="ARIAL" w:hAnsi="ARIAL"/>
          <w:sz w:val="18"/>
        </w:rPr>
      </w:pPr>
      <w:r>
        <w:rPr>
          <w:rFonts w:ascii="ARIAL" w:hAnsi="ARIAL"/>
          <w:sz w:val="18"/>
        </w:rPr>
        <w:t xml:space="preserve">Edward Pesicka </w:t>
      </w:r>
    </w:p>
    <w:p>
      <w:pPr>
        <w:pStyle w:val="TextBody"/>
        <w:bidi w:val="0"/>
        <w:spacing w:before="0" w:after="0"/>
        <w:jc w:val="left"/>
        <w:rPr>
          <w:rFonts w:ascii="ARIAL" w:hAnsi="ARIAL"/>
          <w:sz w:val="18"/>
        </w:rPr>
      </w:pPr>
      <w:r>
        <w:rPr>
          <w:rFonts w:ascii="ARIAL" w:hAnsi="ARIAL"/>
          <w:sz w:val="18"/>
        </w:rPr>
        <w:t xml:space="preserve">Dr. Amrit Ray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14</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40"/>
        </w:rPr>
      </w:pPr>
      <w:bookmarkStart w:id="16" w:name="toc814840_14"/>
      <w:bookmarkEnd w:id="16"/>
      <w:r>
        <w:rPr>
          <w:rFonts w:ascii="Times New Roman" w:hAnsi="Times New Roman"/>
          <w:sz w:val="40"/>
        </w:rPr>
        <w:t xml:space="preserve">Independent Registered Public Accounting Firm Fees and Other Matters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120" w:after="0"/>
        <w:jc w:val="left"/>
        <w:rPr>
          <w:rFonts w:ascii="ARIAL" w:hAnsi="ARIAL"/>
          <w:sz w:val="18"/>
        </w:rPr>
      </w:pPr>
      <w:r>
        <w:rPr>
          <w:rFonts w:ascii="ARIAL" w:hAnsi="ARIAL"/>
          <w:sz w:val="18"/>
        </w:rPr>
        <w:t xml:space="preserve">Deloitte &amp; Touche LLP (“Deloitte”) began serving as our independent registered public accounting firm in fiscal year 2023. The following table summarizes the fees of Deloitte and its subsidiaries and affiliates billed to us for services rendered during 2023. Prior to the Spin, Labcorp paid any audit or tax fees related to Fortrea’s business. As a result, the amounts reported below are not necessarily representative of the fees we expect to pay Deloitte in future years. All Deloitte services for 2023 were approved in advance by our Audit Committee, or prior to the Spin by Labcorp’s Audit Committee and ratified by Fortrea’s Audit Committee. </w:t>
      </w:r>
    </w:p>
    <w:p>
      <w:pPr>
        <w:pStyle w:val="TextBody"/>
        <w:bidi w:val="0"/>
        <w:spacing w:before="0" w:after="0"/>
        <w:jc w:val="left"/>
        <w:rPr/>
      </w:pPr>
      <w:r>
        <w:rPr/>
        <w:t> </w:t>
      </w:r>
    </w:p>
    <w:tbl>
      <w:tblPr>
        <w:tblW w:w="2835" w:type="dxa"/>
        <w:jc w:val="left"/>
        <w:tblInd w:w="0" w:type="dxa"/>
        <w:tblLayout w:type="fixed"/>
        <w:tblCellMar>
          <w:top w:w="0" w:type="dxa"/>
          <w:left w:w="0" w:type="dxa"/>
          <w:bottom w:w="0" w:type="dxa"/>
          <w:right w:w="0" w:type="dxa"/>
        </w:tblCellMar>
      </w:tblPr>
      <w:tblGrid>
        <w:gridCol w:w="1520"/>
        <w:gridCol w:w="120"/>
        <w:gridCol w:w="140"/>
        <w:gridCol w:w="980"/>
        <w:gridCol w:w="75"/>
      </w:tblGrid>
      <w:tr>
        <w:trPr/>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20" w:type="dxa"/>
            <w:tcBorders/>
            <w:shd w:fill="0BC11C" w:val="clear"/>
            <w:vAlign w:val="center"/>
          </w:tcPr>
          <w:p>
            <w:pPr>
              <w:pStyle w:val="TableContents"/>
              <w:bidi w:val="0"/>
              <w:spacing w:before="0" w:after="283"/>
              <w:jc w:val="left"/>
              <w:rPr>
                <w:sz w:val="4"/>
                <w:szCs w:val="4"/>
              </w:rPr>
            </w:pPr>
            <w:r>
              <w:rPr>
                <w:sz w:val="4"/>
                <w:szCs w:val="4"/>
              </w:rPr>
            </w:r>
          </w:p>
        </w:tc>
        <w:tc>
          <w:tcPr>
            <w:tcW w:w="1315" w:type="dxa"/>
            <w:gridSpan w:val="4"/>
            <w:tcBorders/>
            <w:shd w:fill="0BC11C" w:val="clear"/>
            <w:vAlign w:val="center"/>
          </w:tcPr>
          <w:p>
            <w:pPr>
              <w:pStyle w:val="TableContents"/>
              <w:bidi w:val="0"/>
              <w:spacing w:before="0" w:after="283"/>
              <w:jc w:val="left"/>
              <w:rPr>
                <w:sz w:val="4"/>
                <w:szCs w:val="4"/>
              </w:rPr>
            </w:pPr>
            <w:r>
              <w:rPr>
                <w:sz w:val="4"/>
                <w:szCs w:val="4"/>
              </w:rPr>
            </w:r>
          </w:p>
        </w:tc>
      </w:tr>
      <w:tr>
        <w:trPr/>
        <w:tc>
          <w:tcPr>
            <w:tcW w:w="1520" w:type="dxa"/>
            <w:tcBorders/>
            <w:shd w:fill="0BC11C" w:val="clear"/>
            <w:vAlign w:val="center"/>
          </w:tcPr>
          <w:p>
            <w:pPr>
              <w:pStyle w:val="TableContents"/>
              <w:bidi w:val="0"/>
              <w:spacing w:before="0" w:after="283"/>
              <w:jc w:val="left"/>
              <w:rPr>
                <w:color w:val="FFFFFF"/>
              </w:rPr>
            </w:pPr>
            <w:r>
              <w:rPr>
                <w:color w:val="FFFFFF"/>
              </w:rPr>
              <w:t> </w:t>
            </w:r>
            <w:r>
              <w:rPr>
                <w:b/>
                <w:color w:val="FFFFFF"/>
              </w:rPr>
              <w:t>Fee Category</w:t>
            </w:r>
          </w:p>
        </w:tc>
        <w:tc>
          <w:tcPr>
            <w:tcW w:w="120" w:type="dxa"/>
            <w:tcBorders/>
            <w:shd w:fill="0BC11C" w:val="clear"/>
            <w:vAlign w:val="center"/>
          </w:tcPr>
          <w:p>
            <w:pPr>
              <w:pStyle w:val="TableContents"/>
              <w:bidi w:val="0"/>
              <w:spacing w:before="0" w:after="283"/>
              <w:jc w:val="left"/>
              <w:rPr/>
            </w:pPr>
            <w:r>
              <w:rPr/>
              <w:t>  </w:t>
            </w:r>
          </w:p>
        </w:tc>
        <w:tc>
          <w:tcPr>
            <w:tcW w:w="1120" w:type="dxa"/>
            <w:gridSpan w:val="2"/>
            <w:tcBorders/>
            <w:shd w:fill="0BC11C" w:val="clear"/>
            <w:vAlign w:val="center"/>
          </w:tcPr>
          <w:p>
            <w:pPr>
              <w:pStyle w:val="TableContents"/>
              <w:bidi w:val="0"/>
              <w:spacing w:before="0" w:after="283"/>
              <w:jc w:val="center"/>
              <w:rPr>
                <w:b/>
                <w:color w:val="FFFFFF"/>
              </w:rPr>
            </w:pPr>
            <w:r>
              <w:rPr>
                <w:b/>
                <w:color w:val="FFFFFF"/>
              </w:rPr>
              <w:t>2023</w:t>
            </w:r>
          </w:p>
        </w:tc>
        <w:tc>
          <w:tcPr>
            <w:tcW w:w="75" w:type="dxa"/>
            <w:tcBorders/>
            <w:shd w:fill="0BC11C"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ARIAL" w:hAnsi="ARIAL"/>
                <w:sz w:val="18"/>
              </w:rPr>
            </w:pPr>
            <w:r>
              <w:rPr>
                <w:rFonts w:ascii="ARIAL" w:hAnsi="ARIAL"/>
                <w:sz w:val="18"/>
              </w:rPr>
              <w:t>Audit Fees (1)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3,098,273</w:t>
            </w:r>
          </w:p>
        </w:tc>
        <w:tc>
          <w:tcPr>
            <w:tcW w:w="75" w:type="dxa"/>
            <w:tcBorders/>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0"/>
              <w:jc w:val="left"/>
              <w:rPr>
                <w:rFonts w:ascii="ARIAL" w:hAnsi="ARIAL"/>
                <w:sz w:val="18"/>
              </w:rPr>
            </w:pPr>
            <w:r>
              <w:rPr>
                <w:rFonts w:ascii="ARIAL" w:hAnsi="ARIAL"/>
                <w:sz w:val="18"/>
              </w:rPr>
              <w:t>All Other Fees (2)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26,895</w:t>
            </w:r>
          </w:p>
        </w:tc>
        <w:tc>
          <w:tcPr>
            <w:tcW w:w="75" w:type="dxa"/>
            <w:tcBorders/>
            <w:vAlign w:val="center"/>
          </w:tcPr>
          <w:p>
            <w:pPr>
              <w:pStyle w:val="TableContents"/>
              <w:bidi w:val="0"/>
              <w:spacing w:before="0" w:after="283"/>
              <w:jc w:val="left"/>
              <w:rPr/>
            </w:pPr>
            <w:r>
              <w:rPr/>
              <w:t> </w:t>
            </w:r>
          </w:p>
        </w:tc>
      </w:tr>
      <w:tr>
        <w:trPr/>
        <w:tc>
          <w:tcPr>
            <w:tcW w:w="1520" w:type="dxa"/>
            <w:tcBorders/>
            <w:shd w:fill="EDEDED" w:val="clear"/>
            <w:vAlign w:val="center"/>
          </w:tcPr>
          <w:p>
            <w:pPr>
              <w:pStyle w:val="TableContents"/>
              <w:bidi w:val="0"/>
              <w:spacing w:before="0" w:after="0"/>
              <w:jc w:val="left"/>
              <w:rPr>
                <w:rFonts w:ascii="ARIAL" w:hAnsi="ARIAL"/>
                <w:sz w:val="18"/>
              </w:rPr>
            </w:pPr>
            <w:r>
              <w:rPr>
                <w:rFonts w:ascii="ARIAL" w:hAnsi="ARIAL"/>
                <w:sz w:val="18"/>
              </w:rPr>
              <w:t>Total Fees</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980" w:type="dxa"/>
            <w:tcBorders/>
            <w:shd w:fill="EDEDED" w:val="clear"/>
            <w:vAlign w:val="center"/>
          </w:tcPr>
          <w:p>
            <w:pPr>
              <w:pStyle w:val="TableContents"/>
              <w:bidi w:val="0"/>
              <w:spacing w:before="0" w:after="283"/>
              <w:jc w:val="right"/>
              <w:rPr/>
            </w:pPr>
            <w:r>
              <w:rPr/>
              <w:t>3,125,168</w:t>
            </w:r>
          </w:p>
        </w:tc>
        <w:tc>
          <w:tcPr>
            <w:tcW w:w="75" w:type="dxa"/>
            <w:tcBorders/>
            <w:shd w:fill="EDEDED"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(1)</w:t>
            </w:r>
          </w:p>
        </w:tc>
        <w:tc>
          <w:tcPr>
            <w:tcW w:w="9938" w:type="dxa"/>
            <w:tcBorders/>
            <w:vAlign w:val="center"/>
          </w:tcPr>
          <w:p>
            <w:pPr>
              <w:pStyle w:val="TableContents"/>
              <w:bidi w:val="0"/>
              <w:spacing w:before="0" w:after="0"/>
              <w:jc w:val="left"/>
              <w:rPr/>
            </w:pPr>
            <w:r>
              <w:rPr/>
              <w:t>“</w:t>
            </w:r>
            <w:r>
              <w:rPr>
                <w:rFonts w:ascii="ARIAL" w:hAnsi="ARIAL"/>
                <w:sz w:val="14"/>
              </w:rPr>
              <w:t xml:space="preserve">Audit Fees” include fees incurred for the audit of the Company’s annual financial statements, review of financial statements included in the Company’s quarterly reports on Form 10-Q, and services that were normally provided by Deloitte in connection with statutory and regulatory filings or engagements.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(2)</w:t>
            </w:r>
          </w:p>
        </w:tc>
        <w:tc>
          <w:tcPr>
            <w:tcW w:w="9916" w:type="dxa"/>
            <w:tcBorders/>
            <w:vAlign w:val="center"/>
          </w:tcPr>
          <w:p>
            <w:pPr>
              <w:pStyle w:val="TableContents"/>
              <w:bidi w:val="0"/>
              <w:spacing w:before="0" w:after="0"/>
              <w:jc w:val="left"/>
              <w:rPr/>
            </w:pPr>
            <w:r>
              <w:rPr/>
              <w:t>“</w:t>
            </w:r>
            <w:r>
              <w:rPr>
                <w:rFonts w:ascii="ARIAL" w:hAnsi="ARIAL"/>
                <w:sz w:val="14"/>
              </w:rPr>
              <w:t xml:space="preserve">All Other Fees” are fees incurred for any services not included in the other categories of fees. “All Other Fees” consisted of accounting research software and professional development services. </w:t>
            </w:r>
          </w:p>
        </w:tc>
      </w:tr>
    </w:tbl>
    <w:p>
      <w:pPr>
        <w:pStyle w:val="TextBody"/>
        <w:bidi w:val="0"/>
        <w:spacing w:before="120" w:after="0"/>
        <w:jc w:val="left"/>
        <w:rPr>
          <w:rFonts w:ascii="ARIAL" w:hAnsi="ARIAL"/>
          <w:sz w:val="18"/>
        </w:rPr>
      </w:pPr>
      <w:r>
        <w:rPr>
          <w:rFonts w:ascii="ARIAL" w:hAnsi="ARIAL"/>
          <w:sz w:val="18"/>
        </w:rPr>
        <w:t xml:space="preserve">All audit and non-audit services to be performed by our independent registered public accounting firm must be approved in advance by the Audit Committee. As permitted by SEC rules, the Audit Committee also has delegated to each of its members, acting singly, the authority to pre-approve any audit or non-audit services if the need for pre-approval arises between regularly scheduled meetings. Such interim approvals, together with full documentation, are presented to the Audit Committee at its next scheduled meeting. </w:t>
      </w:r>
    </w:p>
    <w:p>
      <w:pPr>
        <w:pStyle w:val="TextBody"/>
        <w:bidi w:val="0"/>
        <w:spacing w:before="160" w:after="0"/>
        <w:jc w:val="left"/>
        <w:rPr>
          <w:rFonts w:ascii="ARIAL" w:hAnsi="ARIAL"/>
          <w:sz w:val="18"/>
        </w:rPr>
      </w:pPr>
      <w:r>
        <w:rPr>
          <w:rFonts w:ascii="ARIAL" w:hAnsi="ARIAL"/>
          <w:sz w:val="18"/>
        </w:rPr>
        <w:t xml:space="preserve">As early as practicable in each fiscal year, the independent registered public accounting firm provides to the Audit Committee a schedule of the audit and other services that the independent registered public accounting firm expects to provide or may provide during the year. The schedule must be specific as to the nature of the proposed services, the proposed fees and other details that the Audit Committee may request. The Audit Committee will by resolution authorize or decline the proposed services. Upon approval, this schedule will serve as the budget for fees by specific activity or service for the year. A schedule of additional services proposed to be provided by the independent registered public accounting firm, or proposed revisions to services already approved, along with associated proposed fees, may be presented to the Audit Committee for their consideration and approval at any time. The schedule must be specific as to the nature of the proposed service, the proposed fee, and other details that the Audit Committee may request. The Audit Committee will by resolution authorize or decline authorization for each proposed new service. </w:t>
      </w:r>
    </w:p>
    <w:p>
      <w:pPr>
        <w:pStyle w:val="TextBody"/>
        <w:bidi w:val="0"/>
        <w:spacing w:before="160" w:after="0"/>
        <w:jc w:val="left"/>
        <w:rPr>
          <w:rFonts w:ascii="ARIAL" w:hAnsi="ARIAL"/>
          <w:sz w:val="18"/>
        </w:rPr>
      </w:pPr>
      <w:r>
        <w:rPr>
          <w:rFonts w:ascii="ARIAL" w:hAnsi="ARIAL"/>
          <w:sz w:val="18"/>
        </w:rPr>
        <w:t xml:space="preserve">Applicable SEC rules and regulations permit waiver of the pre-approval requirements for services other than audit, review or attest services if certain conditions are met. The Audit Committee has considered the compatibility of non-audit services performed by Deloitte with its independence and has concluded that the provision of non-audit services by Deloitte is compatible with that firm maintaining its independence from us and our management.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15</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40"/>
        </w:rPr>
      </w:pPr>
      <w:bookmarkStart w:id="17" w:name="toc814840_15"/>
      <w:bookmarkEnd w:id="17"/>
      <w:r>
        <w:rPr>
          <w:rFonts w:ascii="Times New Roman" w:hAnsi="Times New Roman"/>
          <w:sz w:val="40"/>
        </w:rPr>
        <w:t xml:space="preserve">Named Executive Officers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120" w:after="0"/>
        <w:jc w:val="left"/>
        <w:rPr>
          <w:rFonts w:ascii="ARIAL" w:hAnsi="ARIAL"/>
          <w:sz w:val="18"/>
        </w:rPr>
      </w:pPr>
      <w:r>
        <w:rPr>
          <w:rFonts w:ascii="ARIAL" w:hAnsi="ARIAL"/>
          <w:sz w:val="18"/>
        </w:rPr>
        <w:t xml:space="preserve">The following table identifies our current named executive officers, who are all of our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6"/>
        <w:gridCol w:w="120"/>
        <w:gridCol w:w="7589"/>
      </w:tblGrid>
      <w:tr>
        <w:trPr/>
        <w:tc>
          <w:tcPr>
            <w:tcW w:w="249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589" w:type="dxa"/>
            <w:tcBorders/>
            <w:vAlign w:val="center"/>
          </w:tcPr>
          <w:p>
            <w:pPr>
              <w:pStyle w:val="TableContents"/>
              <w:bidi w:val="0"/>
              <w:spacing w:before="0" w:after="283"/>
              <w:jc w:val="left"/>
              <w:rPr>
                <w:sz w:val="4"/>
                <w:szCs w:val="4"/>
              </w:rPr>
            </w:pPr>
            <w:r>
              <w:rPr>
                <w:sz w:val="4"/>
                <w:szCs w:val="4"/>
              </w:rPr>
            </w:r>
          </w:p>
        </w:tc>
      </w:tr>
      <w:tr>
        <w:trPr/>
        <w:tc>
          <w:tcPr>
            <w:tcW w:w="2496" w:type="dxa"/>
            <w:tcBorders/>
            <w:shd w:fill="0BC11C" w:val="clear"/>
            <w:vAlign w:val="center"/>
          </w:tcPr>
          <w:p>
            <w:pPr>
              <w:pStyle w:val="TableContents"/>
              <w:bidi w:val="0"/>
              <w:spacing w:before="0" w:after="283"/>
              <w:jc w:val="left"/>
              <w:rPr>
                <w:sz w:val="4"/>
                <w:szCs w:val="4"/>
              </w:rPr>
            </w:pPr>
            <w:r>
              <w:rPr>
                <w:sz w:val="4"/>
                <w:szCs w:val="4"/>
              </w:rPr>
            </w:r>
          </w:p>
        </w:tc>
        <w:tc>
          <w:tcPr>
            <w:tcW w:w="7709" w:type="dxa"/>
            <w:gridSpan w:val="2"/>
            <w:tcBorders/>
            <w:shd w:fill="0BC11C" w:val="clear"/>
            <w:vAlign w:val="center"/>
          </w:tcPr>
          <w:p>
            <w:pPr>
              <w:pStyle w:val="TableContents"/>
              <w:bidi w:val="0"/>
              <w:spacing w:before="0" w:after="283"/>
              <w:jc w:val="left"/>
              <w:rPr>
                <w:sz w:val="4"/>
                <w:szCs w:val="4"/>
              </w:rPr>
            </w:pPr>
            <w:r>
              <w:rPr>
                <w:sz w:val="4"/>
                <w:szCs w:val="4"/>
              </w:rPr>
            </w:r>
          </w:p>
        </w:tc>
      </w:tr>
      <w:tr>
        <w:trPr/>
        <w:tc>
          <w:tcPr>
            <w:tcW w:w="2496" w:type="dxa"/>
            <w:tcBorders/>
            <w:shd w:fill="0BC11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Name              </w:t>
            </w:r>
          </w:p>
        </w:tc>
        <w:tc>
          <w:tcPr>
            <w:tcW w:w="120" w:type="dxa"/>
            <w:tcBorders/>
            <w:shd w:fill="0BC11C" w:val="clear"/>
            <w:vAlign w:val="center"/>
          </w:tcPr>
          <w:p>
            <w:pPr>
              <w:pStyle w:val="TableContents"/>
              <w:bidi w:val="0"/>
              <w:spacing w:before="0" w:after="283"/>
              <w:jc w:val="left"/>
              <w:rPr/>
            </w:pPr>
            <w:r>
              <w:rPr/>
              <w:t>  </w:t>
            </w:r>
          </w:p>
        </w:tc>
        <w:tc>
          <w:tcPr>
            <w:tcW w:w="7589" w:type="dxa"/>
            <w:tcBorders/>
            <w:shd w:fill="0BC11C" w:val="clear"/>
            <w:vAlign w:val="center"/>
          </w:tcPr>
          <w:p>
            <w:pPr>
              <w:pStyle w:val="TableContents"/>
              <w:bidi w:val="0"/>
              <w:spacing w:before="0" w:after="283"/>
              <w:jc w:val="left"/>
              <w:rPr>
                <w:b/>
                <w:color w:val="FFFFFF"/>
              </w:rPr>
            </w:pPr>
            <w:r>
              <w:rPr>
                <w:b/>
                <w:color w:val="FFFFFF"/>
              </w:rPr>
              <w:t>Biographical Information</w:t>
            </w:r>
          </w:p>
        </w:tc>
      </w:tr>
      <w:tr>
        <w:trPr/>
        <w:tc>
          <w:tcPr>
            <w:tcW w:w="2496" w:type="dxa"/>
            <w:tcBorders/>
            <w:shd w:fill="FFFFFF" w:val="clear"/>
            <w:vAlign w:val="center"/>
          </w:tcPr>
          <w:p>
            <w:pPr>
              <w:pStyle w:val="TableContents"/>
              <w:bidi w:val="0"/>
              <w:spacing w:before="0" w:after="0"/>
              <w:jc w:val="left"/>
              <w:rPr>
                <w:rFonts w:ascii="ARIAL" w:hAnsi="ARIAL"/>
                <w:b/>
                <w:sz w:val="18"/>
              </w:rPr>
            </w:pPr>
            <w:r>
              <w:rPr>
                <w:rFonts w:ascii="ARIAL" w:hAnsi="ARIAL"/>
                <w:b/>
                <w:sz w:val="18"/>
              </w:rPr>
              <w:t>Thomas Pike</w:t>
            </w:r>
          </w:p>
          <w:p>
            <w:pPr>
              <w:pStyle w:val="TableContents"/>
              <w:bidi w:val="0"/>
              <w:spacing w:before="0" w:after="0"/>
              <w:jc w:val="left"/>
              <w:rPr>
                <w:rFonts w:ascii="ARIAL" w:hAnsi="ARIAL"/>
                <w:sz w:val="18"/>
              </w:rPr>
            </w:pPr>
            <w:r>
              <w:rPr>
                <w:rFonts w:ascii="ARIAL" w:hAnsi="ARIAL"/>
                <w:sz w:val="18"/>
              </w:rPr>
              <w:t>Age: 64</w:t>
            </w:r>
          </w:p>
          <w:p>
            <w:pPr>
              <w:pStyle w:val="TableContents"/>
              <w:bidi w:val="0"/>
              <w:spacing w:before="0" w:after="20"/>
              <w:jc w:val="left"/>
              <w:rPr>
                <w:rFonts w:ascii="ARIAL" w:hAnsi="ARIAL"/>
                <w:sz w:val="18"/>
              </w:rPr>
            </w:pPr>
            <w:r>
              <w:rPr>
                <w:rFonts w:ascii="ARIAL" w:hAnsi="ARIAL"/>
                <w:i/>
                <w:sz w:val="18"/>
              </w:rPr>
              <w:t>Chief Executive Officer and</w:t>
            </w:r>
            <w:r>
              <w:rPr>
                <w:rFonts w:ascii="ARIAL" w:hAnsi="ARIAL"/>
                <w:sz w:val="18"/>
              </w:rPr>
              <w:t xml:space="preserve"> </w:t>
            </w:r>
            <w:r>
              <w:rPr>
                <w:rFonts w:ascii="ARIAL" w:hAnsi="ARIAL"/>
                <w:i/>
                <w:sz w:val="18"/>
              </w:rPr>
              <w:t>Chairman of the Board</w:t>
            </w:r>
          </w:p>
        </w:tc>
        <w:tc>
          <w:tcPr>
            <w:tcW w:w="120" w:type="dxa"/>
            <w:tcBorders/>
            <w:shd w:fill="FFFFFF" w:val="clear"/>
            <w:vAlign w:val="center"/>
          </w:tcPr>
          <w:p>
            <w:pPr>
              <w:pStyle w:val="TableContents"/>
              <w:bidi w:val="0"/>
              <w:spacing w:before="0" w:after="283"/>
              <w:jc w:val="left"/>
              <w:rPr/>
            </w:pPr>
            <w:r>
              <w:rPr/>
              <w:t>  </w:t>
            </w:r>
          </w:p>
        </w:tc>
        <w:tc>
          <w:tcPr>
            <w:tcW w:w="7589" w:type="dxa"/>
            <w:tcBorders/>
            <w:shd w:fill="FFFFFF" w:val="clear"/>
            <w:vAlign w:val="center"/>
          </w:tcPr>
          <w:p>
            <w:pPr>
              <w:pStyle w:val="TableContents"/>
              <w:bidi w:val="0"/>
              <w:spacing w:before="0" w:after="283"/>
              <w:jc w:val="left"/>
              <w:rPr/>
            </w:pPr>
            <w:r>
              <w:rPr/>
              <w:t>See biography on page 11 of this proxy statement.</w:t>
            </w:r>
          </w:p>
        </w:tc>
      </w:tr>
      <w:tr>
        <w:trPr/>
        <w:tc>
          <w:tcPr>
            <w:tcW w:w="2496" w:type="dxa"/>
            <w:tcBorders/>
            <w:shd w:fill="EDEDED" w:val="clear"/>
            <w:vAlign w:val="center"/>
          </w:tcPr>
          <w:p>
            <w:pPr>
              <w:pStyle w:val="TableContents"/>
              <w:bidi w:val="0"/>
              <w:spacing w:before="0" w:after="283"/>
              <w:jc w:val="left"/>
              <w:rPr>
                <w:sz w:val="4"/>
                <w:szCs w:val="4"/>
              </w:rPr>
            </w:pPr>
            <w:r>
              <w:rPr>
                <w:sz w:val="4"/>
                <w:szCs w:val="4"/>
              </w:rPr>
            </w:r>
          </w:p>
        </w:tc>
        <w:tc>
          <w:tcPr>
            <w:tcW w:w="7709"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496"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Jill McConnell</w:t>
            </w:r>
          </w:p>
          <w:p>
            <w:pPr>
              <w:pStyle w:val="TableContents"/>
              <w:bidi w:val="0"/>
              <w:spacing w:before="0" w:after="20"/>
              <w:jc w:val="left"/>
              <w:rPr>
                <w:rFonts w:ascii="ARIAL" w:hAnsi="ARIAL"/>
                <w:sz w:val="18"/>
              </w:rPr>
            </w:pPr>
            <w:r>
              <w:rPr>
                <w:rFonts w:ascii="ARIAL" w:hAnsi="ARIAL"/>
                <w:sz w:val="18"/>
              </w:rPr>
              <w:t>Age: 50</w:t>
              <w:br/>
            </w:r>
            <w:r>
              <w:rPr>
                <w:rFonts w:ascii="ARIAL" w:hAnsi="ARIAL"/>
                <w:i/>
                <w:sz w:val="18"/>
              </w:rPr>
              <w:t>Chief Financial Officer</w:t>
            </w:r>
          </w:p>
        </w:tc>
        <w:tc>
          <w:tcPr>
            <w:tcW w:w="120" w:type="dxa"/>
            <w:tcBorders/>
            <w:shd w:fill="EDEDED" w:val="clear"/>
            <w:vAlign w:val="center"/>
          </w:tcPr>
          <w:p>
            <w:pPr>
              <w:pStyle w:val="TableContents"/>
              <w:bidi w:val="0"/>
              <w:spacing w:before="0" w:after="283"/>
              <w:jc w:val="left"/>
              <w:rPr/>
            </w:pPr>
            <w:r>
              <w:rPr/>
              <w:t>  </w:t>
            </w:r>
          </w:p>
        </w:tc>
        <w:tc>
          <w:tcPr>
            <w:tcW w:w="7589" w:type="dxa"/>
            <w:tcBorders/>
            <w:shd w:fill="EDEDED" w:val="clear"/>
            <w:vAlign w:val="center"/>
          </w:tcPr>
          <w:p>
            <w:pPr>
              <w:pStyle w:val="TableContents"/>
              <w:bidi w:val="0"/>
              <w:spacing w:before="0" w:after="283"/>
              <w:jc w:val="left"/>
              <w:rPr/>
            </w:pPr>
            <w:r>
              <w:rPr/>
              <w:t>Jill McConnell has served as our Chief Financial Officer since the Spin and previously served as Chief Financial Officer of the Labcorp Drug Development Segment since 2018. In the approximately 20 years prior to 2018, Ms. McConnell served in a variety of finance roles of increasing responsibility at GSK, a British multinational pharmaceutical and biotechnology company, including Senior Vice President and Chief Financial Officer of its ViiV Healthcare division and Vice President and Head of Finance of its US Pharmaceuticals division, among others. Ms. McConnell received a BA degree from Gettysburg College, and an MBA, Health &amp; Medical Services from Saint Joseph’s University.</w:t>
            </w:r>
          </w:p>
        </w:tc>
      </w:tr>
      <w:tr>
        <w:trPr/>
        <w:tc>
          <w:tcPr>
            <w:tcW w:w="2496" w:type="dxa"/>
            <w:tcBorders/>
            <w:shd w:fill="FFFFFF" w:val="clear"/>
            <w:vAlign w:val="center"/>
          </w:tcPr>
          <w:p>
            <w:pPr>
              <w:pStyle w:val="TableContents"/>
              <w:bidi w:val="0"/>
              <w:spacing w:before="0" w:after="283"/>
              <w:jc w:val="left"/>
              <w:rPr>
                <w:sz w:val="4"/>
                <w:szCs w:val="4"/>
              </w:rPr>
            </w:pPr>
            <w:r>
              <w:rPr>
                <w:sz w:val="4"/>
                <w:szCs w:val="4"/>
              </w:rPr>
            </w:r>
          </w:p>
        </w:tc>
        <w:tc>
          <w:tcPr>
            <w:tcW w:w="7709"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2496" w:type="dxa"/>
            <w:tcBorders/>
            <w:shd w:fill="FFFFFF" w:val="clear"/>
            <w:vAlign w:val="center"/>
          </w:tcPr>
          <w:p>
            <w:pPr>
              <w:pStyle w:val="TableContents"/>
              <w:bidi w:val="0"/>
              <w:spacing w:before="0" w:after="0"/>
              <w:jc w:val="left"/>
              <w:rPr>
                <w:rFonts w:ascii="ARIAL" w:hAnsi="ARIAL"/>
                <w:sz w:val="18"/>
              </w:rPr>
            </w:pPr>
            <w:r>
              <w:rPr>
                <w:rFonts w:ascii="ARIAL" w:hAnsi="ARIAL"/>
                <w:b/>
                <w:sz w:val="18"/>
              </w:rPr>
              <w:t>Mark Morais,</w:t>
              <w:br/>
            </w:r>
            <w:r>
              <w:rPr>
                <w:rFonts w:ascii="ARIAL" w:hAnsi="ARIAL"/>
                <w:sz w:val="18"/>
              </w:rPr>
              <w:t>Age: 48</w:t>
            </w:r>
          </w:p>
          <w:p>
            <w:pPr>
              <w:pStyle w:val="TableContents"/>
              <w:bidi w:val="0"/>
              <w:spacing w:before="0" w:after="20"/>
              <w:jc w:val="left"/>
              <w:rPr>
                <w:rFonts w:ascii="ARIAL" w:hAnsi="ARIAL"/>
                <w:sz w:val="18"/>
              </w:rPr>
            </w:pPr>
            <w:r>
              <w:rPr>
                <w:rFonts w:ascii="ARIAL" w:hAnsi="ARIAL"/>
                <w:i/>
                <w:sz w:val="18"/>
              </w:rPr>
              <w:t>Chief Operating Officer and</w:t>
            </w:r>
            <w:r>
              <w:rPr>
                <w:rFonts w:ascii="ARIAL" w:hAnsi="ARIAL"/>
                <w:sz w:val="18"/>
              </w:rPr>
              <w:t xml:space="preserve"> </w:t>
            </w:r>
            <w:r>
              <w:rPr>
                <w:rFonts w:ascii="ARIAL" w:hAnsi="ARIAL"/>
                <w:i/>
                <w:sz w:val="18"/>
              </w:rPr>
              <w:t>President, Clinical Services</w:t>
            </w:r>
          </w:p>
        </w:tc>
        <w:tc>
          <w:tcPr>
            <w:tcW w:w="120" w:type="dxa"/>
            <w:tcBorders/>
            <w:shd w:fill="FFFFFF" w:val="clear"/>
            <w:vAlign w:val="center"/>
          </w:tcPr>
          <w:p>
            <w:pPr>
              <w:pStyle w:val="TableContents"/>
              <w:bidi w:val="0"/>
              <w:spacing w:before="0" w:after="283"/>
              <w:jc w:val="left"/>
              <w:rPr/>
            </w:pPr>
            <w:r>
              <w:rPr/>
              <w:t>  </w:t>
            </w:r>
          </w:p>
        </w:tc>
        <w:tc>
          <w:tcPr>
            <w:tcW w:w="7589" w:type="dxa"/>
            <w:tcBorders/>
            <w:shd w:fill="FFFFFF" w:val="clear"/>
            <w:vAlign w:val="center"/>
          </w:tcPr>
          <w:p>
            <w:pPr>
              <w:pStyle w:val="TableContents"/>
              <w:bidi w:val="0"/>
              <w:spacing w:before="0" w:after="283"/>
              <w:jc w:val="left"/>
              <w:rPr/>
            </w:pPr>
            <w:r>
              <w:rPr/>
              <w:t>Mark Morais has served as our Chief Operating Officer and President, Clinical Services, since the Spin. Previously, Mr. Morais served as President of Clinical Services and Commercial Solutions, within the Labcorp Drug Development Segment, since September 2020 and Chief Operating Officer and President of Labcorp Clinical Development, since October 2022. Prior to September 2020, Mr. Morais served as Senior Vice President Strategic Deal Development, Enterprise Client Solutions and Alliance Management at Covance, Labcorp’s drug development company, from May 2018 to September 2020 and from December 2016 to May 2018 he served as Covance’s Vice President of Strategic Deal Development and Pricing. Prior to Covance, Mr. Morais also served in various positions of increasing responsibility at Quintiles from April 2001 to January 2017. Mr. Morais earned a BS degree from North Carolina State University.</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16</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color w:val="0BC11C"/>
        </w:rPr>
      </w:pPr>
      <w:r>
        <w:rPr>
          <w:color w:val="0BC11C"/>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40"/>
        </w:rPr>
      </w:pPr>
      <w:bookmarkStart w:id="18" w:name="toc814840_16"/>
      <w:bookmarkEnd w:id="18"/>
      <w:r>
        <w:rPr>
          <w:rFonts w:ascii="Times New Roman" w:hAnsi="Times New Roman"/>
          <w:sz w:val="40"/>
        </w:rPr>
        <w:t xml:space="preserve">Corporate Governance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120" w:after="0"/>
        <w:jc w:val="left"/>
        <w:rPr>
          <w:rFonts w:ascii="ARIAL" w:hAnsi="ARIAL"/>
          <w:sz w:val="20"/>
        </w:rPr>
      </w:pPr>
      <w:bookmarkStart w:id="19" w:name="toc814840_17"/>
      <w:bookmarkEnd w:id="19"/>
      <w:r>
        <w:rPr>
          <w:rFonts w:ascii="ARIAL" w:hAnsi="ARIAL"/>
          <w:sz w:val="20"/>
        </w:rPr>
        <w:t xml:space="preserve">General </w:t>
      </w:r>
    </w:p>
    <w:p>
      <w:pPr>
        <w:pStyle w:val="TextBody"/>
        <w:bidi w:val="0"/>
        <w:spacing w:before="120" w:after="0"/>
        <w:jc w:val="left"/>
        <w:rPr>
          <w:rFonts w:ascii="ARIAL" w:hAnsi="ARIAL"/>
          <w:sz w:val="18"/>
        </w:rPr>
      </w:pPr>
      <w:r>
        <w:rPr>
          <w:rFonts w:ascii="ARIAL" w:hAnsi="ARIAL"/>
          <w:sz w:val="18"/>
        </w:rPr>
        <w:t xml:space="preserve">Our Board has adopted Corporate Governance Guidelines, a Code of Conduct and Ethics, a Supplier Code of Conduct, and charters for our Audit Committee, Management Development and Compensation Committee, and Nominating, Corporate Governance and Compliance Committee to assist the Board in the exercise of its responsibilities and to serve as a framework for the effective governance of the Company. You can access our current committee charters, our Corporate Governance Guidelines, our Code of Conduct and Ethics, and our Supplier Code of Conduct in the “Governance” section of the “Investors” page of our website located at </w:t>
      </w:r>
      <w:r>
        <w:rPr>
          <w:rFonts w:ascii="ARIAL" w:hAnsi="ARIAL"/>
          <w:i/>
          <w:sz w:val="18"/>
        </w:rPr>
        <w:t>www.fortrea.com</w:t>
      </w:r>
      <w:r>
        <w:rPr>
          <w:rFonts w:ascii="ARIAL" w:hAnsi="ARIAL"/>
          <w:sz w:val="18"/>
        </w:rPr>
        <w:t xml:space="preserve">, or by writing to our Corporate Secretary at our offices at 8 Moore Drive, Durham, North Carolina 27709. </w:t>
      </w:r>
    </w:p>
    <w:p>
      <w:pPr>
        <w:pStyle w:val="TextBody"/>
        <w:bidi w:val="0"/>
        <w:spacing w:before="360" w:after="0"/>
        <w:jc w:val="left"/>
        <w:rPr>
          <w:rFonts w:ascii="ARIAL" w:hAnsi="ARIAL"/>
          <w:sz w:val="20"/>
        </w:rPr>
      </w:pPr>
      <w:bookmarkStart w:id="20" w:name="toc814840_18"/>
      <w:bookmarkEnd w:id="20"/>
      <w:r>
        <w:rPr>
          <w:rFonts w:ascii="ARIAL" w:hAnsi="ARIAL"/>
          <w:sz w:val="20"/>
        </w:rPr>
        <w:t xml:space="preserve">Board Composition </w:t>
      </w:r>
    </w:p>
    <w:p>
      <w:pPr>
        <w:pStyle w:val="TextBody"/>
        <w:bidi w:val="0"/>
        <w:spacing w:before="120" w:after="0"/>
        <w:jc w:val="left"/>
        <w:rPr>
          <w:rFonts w:ascii="ARIAL" w:hAnsi="ARIAL"/>
          <w:sz w:val="18"/>
        </w:rPr>
      </w:pPr>
      <w:r>
        <w:rPr>
          <w:rFonts w:ascii="ARIAL" w:hAnsi="ARIAL"/>
          <w:sz w:val="18"/>
        </w:rPr>
        <w:t xml:space="preserve">Our Board currently consists of seven members: Edward Pesicka, David Smith, Dr. Amrit Ray, Betty Larson, Thomas Pike, Peter M. Neupert, and R. Andrew Eckert. Ms. Larson recently tendered her offer to resign from the Board in connection with an upcoming significant change in her principal occupation, as required by our Corporate Governance Guidelines. In the event the Board accepts Ms. Larson’s offer to resign, we intend to initiate a search for a director to fill any vacancy upon Ms. Larson’s departure. As set forth in our Amended and Restated Certificate of Incorporation, the Board is currently divided into three classes with staggered, three-year terms that will transition to a Board that is not classified as of the 2028 Annual Meeting. As part of that transition, at the Annual Meeting, the Class I directors will be elected for a term of office to expire at the 2027 Annual Meeting. At the 2025 Annual Meeting, the Class II directors will be elected for a term of office to expire at the 2028 Annual Meeting. At the 2026 Annual Meeting, the Class III directors will be elected for a term of office to expire at the 2028 Annual Meeting. At the 2027 Annual Meeting, the Class I directors will be elected for a term of office to expire at the 2028 Annual Meeting. Commencing at the 2028 Annual Meeting of Stockholders and at all subsequent Annual Meetings, the Board will no longer be classified, and all directors will be elected for a term of office to expire at the next succeeding Annual Meeting. Our Amended and Restated Certificate of Incorporation and Amended and Restated Bylaws provide that the authorized number of directors may be changed only by resolution of the Board. Any additional directorships resulting from an increase in the number of directors will be distributed among the three classes so that, as nearly as possible, each class will consist of one-third of the directors. The division of our Board into three classes with staggered terms ending at the 2028 Annual Meeting may delay or prevent a change of our management or a change in control of our Company. Our directors may be removed only for cause, at a meeting called for that purpose. </w:t>
      </w:r>
    </w:p>
    <w:p>
      <w:pPr>
        <w:pStyle w:val="TextBody"/>
        <w:bidi w:val="0"/>
        <w:spacing w:before="0" w:after="0"/>
        <w:jc w:val="left"/>
        <w:rPr/>
      </w:pPr>
      <w:r>
        <w:rPr/>
        <w:t> </w:t>
      </w:r>
    </w:p>
    <w:tbl>
      <w:tblPr>
        <w:tblW w:w="3725" w:type="dxa"/>
        <w:jc w:val="left"/>
        <w:tblInd w:w="0" w:type="dxa"/>
        <w:tblLayout w:type="fixed"/>
        <w:tblCellMar>
          <w:top w:w="0" w:type="dxa"/>
          <w:left w:w="0" w:type="dxa"/>
          <w:bottom w:w="0" w:type="dxa"/>
          <w:right w:w="0" w:type="dxa"/>
        </w:tblCellMar>
      </w:tblPr>
      <w:tblGrid>
        <w:gridCol w:w="427"/>
        <w:gridCol w:w="256"/>
        <w:gridCol w:w="256"/>
        <w:gridCol w:w="256"/>
        <w:gridCol w:w="256"/>
        <w:gridCol w:w="256"/>
        <w:gridCol w:w="256"/>
        <w:gridCol w:w="256"/>
        <w:gridCol w:w="256"/>
        <w:gridCol w:w="256"/>
        <w:gridCol w:w="256"/>
        <w:gridCol w:w="256"/>
        <w:gridCol w:w="283"/>
        <w:gridCol w:w="23"/>
        <w:gridCol w:w="23"/>
        <w:gridCol w:w="23"/>
        <w:gridCol w:w="23"/>
        <w:gridCol w:w="23"/>
        <w:gridCol w:w="23"/>
        <w:gridCol w:w="23"/>
        <w:gridCol w:w="38"/>
      </w:tblGrid>
      <w:tr>
        <w:trPr/>
        <w:tc>
          <w:tcPr>
            <w:tcW w:w="42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725" w:type="dxa"/>
            <w:gridSpan w:val="21"/>
            <w:tcBorders/>
            <w:shd w:fill="0BC11C" w:val="clear"/>
            <w:vAlign w:val="center"/>
          </w:tcPr>
          <w:p>
            <w:pPr>
              <w:pStyle w:val="TableContents"/>
              <w:bidi w:val="0"/>
              <w:spacing w:before="0" w:after="283"/>
              <w:jc w:val="left"/>
              <w:rPr>
                <w:sz w:val="4"/>
                <w:szCs w:val="4"/>
              </w:rPr>
            </w:pPr>
            <w:r>
              <w:rPr>
                <w:sz w:val="4"/>
                <w:szCs w:val="4"/>
              </w:rPr>
            </w:r>
          </w:p>
        </w:tc>
      </w:tr>
      <w:tr>
        <w:trPr/>
        <w:tc>
          <w:tcPr>
            <w:tcW w:w="3526" w:type="dxa"/>
            <w:gridSpan w:val="13"/>
            <w:tcBorders/>
            <w:shd w:fill="0BC11C" w:val="clear"/>
            <w:vAlign w:val="center"/>
          </w:tcPr>
          <w:p>
            <w:pPr>
              <w:pStyle w:val="TableContents"/>
              <w:bidi w:val="0"/>
              <w:spacing w:before="0" w:after="0"/>
              <w:jc w:val="center"/>
              <w:rPr>
                <w:rFonts w:ascii="ARIAL" w:hAnsi="ARIAL"/>
                <w:b/>
                <w:color w:val="FFFFFF"/>
                <w:sz w:val="16"/>
              </w:rPr>
            </w:pPr>
            <w:bookmarkStart w:id="21" w:name="toc814840_19"/>
            <w:bookmarkEnd w:id="21"/>
            <w:r>
              <w:rPr>
                <w:rFonts w:ascii="ARIAL" w:hAnsi="ARIAL"/>
                <w:b/>
                <w:color w:val="FFFFFF"/>
                <w:sz w:val="16"/>
              </w:rPr>
              <w:t>Board Diversity Matrix (as of March 28, 2024)</w:t>
            </w:r>
          </w:p>
        </w:tc>
        <w:tc>
          <w:tcPr>
            <w:tcW w:w="199" w:type="dxa"/>
            <w:gridSpan w:val="8"/>
            <w:tcBorders/>
            <w:shd w:fill="0BC11C" w:val="clear"/>
          </w:tcPr>
          <w:p>
            <w:pPr>
              <w:pStyle w:val="TableContents"/>
              <w:bidi w:val="0"/>
              <w:spacing w:before="0" w:after="283"/>
              <w:jc w:val="left"/>
              <w:rPr>
                <w:sz w:val="4"/>
                <w:szCs w:val="4"/>
              </w:rPr>
            </w:pPr>
            <w:r>
              <w:rPr>
                <w:sz w:val="4"/>
                <w:szCs w:val="4"/>
              </w:rPr>
            </w:r>
          </w:p>
        </w:tc>
      </w:tr>
    </w:tbl>
    <w:p>
      <w:pPr>
        <w:pStyle w:val="TextBody"/>
        <w:bidi w:val="0"/>
        <w:spacing w:before="0" w:after="0"/>
        <w:jc w:val="left"/>
        <w:rPr>
          <w:rFonts w:ascii="ARIAL" w:hAnsi="ARIAL"/>
          <w:sz w:val="18"/>
        </w:rPr>
      </w:pPr>
      <w:r>
        <w:rPr>
          <w:rFonts w:ascii="ARIAL" w:hAnsi="ARIAL"/>
          <w:sz w:val="18"/>
        </w:rPr>
        <w:t xml:space="preserve">The following matrix is provided as required by the board diversity rules of Nasdaq. The information has been self-identified by our current directors. </w:t>
      </w:r>
    </w:p>
    <w:p>
      <w:pPr>
        <w:pStyle w:val="TextBody"/>
        <w:bidi w:val="0"/>
        <w:spacing w:before="0" w:after="0"/>
        <w:jc w:val="left"/>
        <w:rPr/>
      </w:pPr>
      <w:r>
        <w:rPr/>
        <w:t> </w:t>
      </w:r>
    </w:p>
    <w:tbl>
      <w:tblPr>
        <w:tblW w:w="4721" w:type="dxa"/>
        <w:jc w:val="left"/>
        <w:tblInd w:w="0" w:type="dxa"/>
        <w:tblLayout w:type="fixed"/>
        <w:tblCellMar>
          <w:top w:w="0" w:type="dxa"/>
          <w:left w:w="0" w:type="dxa"/>
          <w:bottom w:w="0" w:type="dxa"/>
          <w:right w:w="0" w:type="dxa"/>
        </w:tblCellMar>
      </w:tblPr>
      <w:tblGrid>
        <w:gridCol w:w="2885"/>
        <w:gridCol w:w="120"/>
        <w:gridCol w:w="108"/>
        <w:gridCol w:w="108"/>
        <w:gridCol w:w="471"/>
        <w:gridCol w:w="111"/>
        <w:gridCol w:w="120"/>
        <w:gridCol w:w="141"/>
        <w:gridCol w:w="141"/>
        <w:gridCol w:w="334"/>
        <w:gridCol w:w="182"/>
      </w:tblGrid>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sz w:val="4"/>
                <w:szCs w:val="4"/>
              </w:rPr>
            </w:pPr>
            <w:r>
              <w:rPr>
                <w:sz w:val="4"/>
                <w:szCs w:val="4"/>
              </w:rPr>
            </w:r>
          </w:p>
        </w:tc>
        <w:tc>
          <w:tcPr>
            <w:tcW w:w="1836" w:type="dxa"/>
            <w:gridSpan w:val="10"/>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left"/>
              <w:rPr>
                <w:rFonts w:ascii="ARIAL" w:hAnsi="ARIAL"/>
                <w:sz w:val="18"/>
              </w:rPr>
            </w:pPr>
            <w:r>
              <w:rPr>
                <w:rFonts w:ascii="ARIAL" w:hAnsi="ARIAL"/>
                <w:b/>
                <w:sz w:val="18"/>
              </w:rPr>
              <w:t xml:space="preserve">Board Size: </w:t>
            </w:r>
            <w:r>
              <w:rPr>
                <w:rFonts w:ascii="ARIAL" w:hAnsi="ARIAL"/>
                <w:sz w:val="18"/>
              </w:rPr>
              <w:t>7</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0"/>
              <w:jc w:val="left"/>
              <w:rPr/>
            </w:pPr>
            <w:r>
              <w:rPr/>
              <w:t> </w:t>
            </w:r>
          </w:p>
        </w:tc>
        <w:tc>
          <w:tcPr>
            <w:tcW w:w="1318" w:type="dxa"/>
            <w:gridSpan w:val="6"/>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0"/>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1836" w:type="dxa"/>
            <w:gridSpan w:val="10"/>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left"/>
              <w:rPr>
                <w:rFonts w:ascii="ARIAL" w:hAnsi="ARIAL"/>
                <w:sz w:val="18"/>
              </w:rPr>
            </w:pPr>
            <w:r>
              <w:rPr>
                <w:rFonts w:ascii="ARIAL" w:hAnsi="ARIAL"/>
                <w:b/>
                <w:sz w:val="18"/>
              </w:rPr>
              <w:t xml:space="preserve">Total Number of Directors*: </w:t>
            </w:r>
            <w:r>
              <w:rPr>
                <w:rFonts w:ascii="ARIAL" w:hAnsi="ARIAL"/>
                <w:sz w:val="18"/>
              </w:rPr>
              <w:t>7</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0"/>
              <w:jc w:val="left"/>
              <w:rPr/>
            </w:pPr>
            <w:r>
              <w:rPr/>
              <w:t> </w:t>
            </w:r>
          </w:p>
        </w:tc>
        <w:tc>
          <w:tcPr>
            <w:tcW w:w="1318" w:type="dxa"/>
            <w:gridSpan w:val="6"/>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0"/>
              <w:jc w:val="left"/>
              <w:rPr/>
            </w:pPr>
            <w:r>
              <w:rPr/>
              <w:t> </w:t>
            </w:r>
          </w:p>
        </w:tc>
      </w:tr>
      <w:tr>
        <w:trPr/>
        <w:tc>
          <w:tcPr>
            <w:tcW w:w="2885" w:type="dxa"/>
            <w:tcBorders/>
            <w:shd w:fill="0BC11C" w:val="clear"/>
            <w:vAlign w:val="center"/>
          </w:tcPr>
          <w:p>
            <w:pPr>
              <w:pStyle w:val="TableContents"/>
              <w:bidi w:val="0"/>
              <w:spacing w:before="0" w:after="283"/>
              <w:jc w:val="left"/>
              <w:rPr>
                <w:sz w:val="4"/>
                <w:szCs w:val="4"/>
              </w:rPr>
            </w:pPr>
            <w:r>
              <w:rPr>
                <w:sz w:val="4"/>
                <w:szCs w:val="4"/>
              </w:rPr>
            </w:r>
          </w:p>
        </w:tc>
        <w:tc>
          <w:tcPr>
            <w:tcW w:w="918" w:type="dxa"/>
            <w:gridSpan w:val="5"/>
            <w:tcBorders/>
            <w:shd w:fill="0BC11C" w:val="clear"/>
            <w:vAlign w:val="center"/>
          </w:tcPr>
          <w:p>
            <w:pPr>
              <w:pStyle w:val="TableContents"/>
              <w:bidi w:val="0"/>
              <w:spacing w:before="0" w:after="283"/>
              <w:jc w:val="left"/>
              <w:rPr>
                <w:sz w:val="4"/>
                <w:szCs w:val="4"/>
              </w:rPr>
            </w:pPr>
            <w:r>
              <w:rPr>
                <w:sz w:val="4"/>
                <w:szCs w:val="4"/>
              </w:rPr>
            </w:r>
          </w:p>
        </w:tc>
        <w:tc>
          <w:tcPr>
            <w:tcW w:w="918" w:type="dxa"/>
            <w:gridSpan w:val="5"/>
            <w:tcBorders/>
            <w:shd w:fill="0BC11C" w:val="clear"/>
            <w:vAlign w:val="center"/>
          </w:tcPr>
          <w:p>
            <w:pPr>
              <w:pStyle w:val="TableContents"/>
              <w:bidi w:val="0"/>
              <w:spacing w:before="0" w:after="283"/>
              <w:jc w:val="left"/>
              <w:rPr>
                <w:sz w:val="4"/>
                <w:szCs w:val="4"/>
              </w:rPr>
            </w:pPr>
            <w:r>
              <w:rPr>
                <w:sz w:val="4"/>
                <w:szCs w:val="4"/>
              </w:rPr>
            </w:r>
          </w:p>
        </w:tc>
      </w:tr>
      <w:tr>
        <w:trPr/>
        <w:tc>
          <w:tcPr>
            <w:tcW w:w="2885"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798" w:type="dxa"/>
            <w:gridSpan w:val="4"/>
            <w:tcBorders/>
            <w:shd w:fill="0BC11C"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6"/>
              </w:rPr>
              <w:t>Female </w:t>
            </w:r>
          </w:p>
          <w:p>
            <w:pPr>
              <w:pStyle w:val="TableContents"/>
              <w:bidi w:val="0"/>
              <w:spacing w:before="0" w:after="20"/>
              <w:jc w:val="left"/>
              <w:rPr/>
            </w:pPr>
            <w:r>
              <w:rPr/>
              <w:t> </w:t>
            </w:r>
          </w:p>
        </w:tc>
        <w:tc>
          <w:tcPr>
            <w:tcW w:w="120" w:type="dxa"/>
            <w:tcBorders/>
            <w:shd w:fill="0BC11C" w:val="clear"/>
            <w:vAlign w:val="center"/>
          </w:tcPr>
          <w:p>
            <w:pPr>
              <w:pStyle w:val="TableContents"/>
              <w:bidi w:val="0"/>
              <w:spacing w:before="0" w:after="283"/>
              <w:jc w:val="left"/>
              <w:rPr/>
            </w:pPr>
            <w:r>
              <w:rPr/>
              <w:t>  </w:t>
            </w:r>
          </w:p>
        </w:tc>
        <w:tc>
          <w:tcPr>
            <w:tcW w:w="798" w:type="dxa"/>
            <w:gridSpan w:val="4"/>
            <w:tcBorders/>
            <w:shd w:fill="0BC11C" w:val="cle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6"/>
              </w:rPr>
              <w:t>Male </w:t>
            </w:r>
          </w:p>
          <w:p>
            <w:pPr>
              <w:pStyle w:val="TableContents"/>
              <w:bidi w:val="0"/>
              <w:spacing w:before="0" w:after="20"/>
              <w:jc w:val="left"/>
              <w:rPr/>
            </w:pPr>
            <w:r>
              <w:rPr/>
              <w:t> </w:t>
            </w:r>
          </w:p>
        </w:tc>
      </w:tr>
      <w:tr>
        <w:trPr/>
        <w:tc>
          <w:tcPr>
            <w:tcW w:w="2885" w:type="dxa"/>
            <w:tcBorders/>
            <w:vAlign w:val="center"/>
          </w:tcPr>
          <w:p>
            <w:pPr>
              <w:pStyle w:val="TableContents"/>
              <w:bidi w:val="0"/>
              <w:spacing w:before="0" w:after="283"/>
              <w:jc w:val="left"/>
              <w:rPr>
                <w:sz w:val="4"/>
                <w:szCs w:val="4"/>
              </w:rPr>
            </w:pPr>
            <w:r>
              <w:rPr>
                <w:sz w:val="4"/>
                <w:szCs w:val="4"/>
              </w:rPr>
            </w:r>
          </w:p>
        </w:tc>
        <w:tc>
          <w:tcPr>
            <w:tcW w:w="918" w:type="dxa"/>
            <w:gridSpan w:val="5"/>
            <w:tcBorders/>
            <w:vAlign w:val="center"/>
          </w:tcPr>
          <w:p>
            <w:pPr>
              <w:pStyle w:val="TableContents"/>
              <w:bidi w:val="0"/>
              <w:spacing w:before="0" w:after="283"/>
              <w:jc w:val="left"/>
              <w:rPr>
                <w:sz w:val="4"/>
                <w:szCs w:val="4"/>
              </w:rPr>
            </w:pPr>
            <w:r>
              <w:rPr>
                <w:sz w:val="4"/>
                <w:szCs w:val="4"/>
              </w:rPr>
            </w:r>
          </w:p>
        </w:tc>
        <w:tc>
          <w:tcPr>
            <w:tcW w:w="918" w:type="dxa"/>
            <w:gridSpan w:val="5"/>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left"/>
              <w:rPr>
                <w:rFonts w:ascii="ARIAL" w:hAnsi="ARIAL"/>
                <w:b/>
                <w:sz w:val="18"/>
              </w:rPr>
            </w:pPr>
            <w:r>
              <w:rPr>
                <w:rFonts w:ascii="ARIAL" w:hAnsi="ARIAL"/>
                <w:b/>
                <w:sz w:val="18"/>
              </w:rPr>
              <w:t>Part I: Gender Identity</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0"/>
              <w:jc w:val="left"/>
              <w:rPr/>
            </w:pPr>
            <w:r>
              <w:rPr/>
              <w:t> </w:t>
            </w:r>
          </w:p>
        </w:tc>
        <w:tc>
          <w:tcPr>
            <w:tcW w:w="471" w:type="dxa"/>
            <w:tcBorders/>
            <w:vAlign w:val="center"/>
          </w:tcPr>
          <w:p>
            <w:pPr>
              <w:pStyle w:val="TableContents"/>
              <w:bidi w:val="0"/>
              <w:spacing w:before="0" w:after="0"/>
              <w:jc w:val="left"/>
              <w:rPr/>
            </w:pPr>
            <w:r>
              <w:rPr/>
              <w:t> </w:t>
            </w:r>
          </w:p>
        </w:tc>
        <w:tc>
          <w:tcPr>
            <w:tcW w:w="111"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pPr>
            <w:r>
              <w:rPr/>
              <w:t> </w:t>
            </w:r>
          </w:p>
        </w:tc>
        <w:tc>
          <w:tcPr>
            <w:tcW w:w="334"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0"/>
              <w:jc w:val="left"/>
              <w:rPr/>
            </w:pPr>
            <w:r>
              <w:rPr/>
              <w:t> </w:t>
            </w:r>
          </w:p>
        </w:tc>
      </w:tr>
      <w:tr>
        <w:trPr/>
        <w:tc>
          <w:tcPr>
            <w:tcW w:w="2885" w:type="dxa"/>
            <w:tcBorders/>
            <w:shd w:fill="EDEDED" w:val="clear"/>
            <w:vAlign w:val="center"/>
          </w:tcPr>
          <w:p>
            <w:pPr>
              <w:pStyle w:val="TableContents"/>
              <w:bidi w:val="0"/>
              <w:spacing w:before="0" w:after="283"/>
              <w:jc w:val="left"/>
              <w:rPr>
                <w:sz w:val="4"/>
                <w:szCs w:val="4"/>
              </w:rPr>
            </w:pPr>
            <w:r>
              <w:rPr>
                <w:sz w:val="4"/>
                <w:szCs w:val="4"/>
              </w:rPr>
            </w:r>
          </w:p>
        </w:tc>
        <w:tc>
          <w:tcPr>
            <w:tcW w:w="918" w:type="dxa"/>
            <w:gridSpan w:val="5"/>
            <w:tcBorders/>
            <w:shd w:fill="EDEDED" w:val="clear"/>
            <w:vAlign w:val="center"/>
          </w:tcPr>
          <w:p>
            <w:pPr>
              <w:pStyle w:val="TableContents"/>
              <w:bidi w:val="0"/>
              <w:spacing w:before="0" w:after="283"/>
              <w:jc w:val="left"/>
              <w:rPr>
                <w:sz w:val="4"/>
                <w:szCs w:val="4"/>
              </w:rPr>
            </w:pPr>
            <w:r>
              <w:rPr>
                <w:sz w:val="4"/>
                <w:szCs w:val="4"/>
              </w:rPr>
            </w:r>
          </w:p>
        </w:tc>
        <w:tc>
          <w:tcPr>
            <w:tcW w:w="918"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885" w:type="dxa"/>
            <w:tcBorders/>
            <w:shd w:fill="EDEDED" w:val="clear"/>
            <w:vAlign w:val="center"/>
          </w:tcPr>
          <w:p>
            <w:pPr>
              <w:pStyle w:val="TableContents"/>
              <w:bidi w:val="0"/>
              <w:spacing w:before="0" w:after="0"/>
              <w:jc w:val="left"/>
              <w:rPr>
                <w:rFonts w:ascii="ARIAL" w:hAnsi="ARIAL"/>
                <w:sz w:val="18"/>
              </w:rPr>
            </w:pPr>
            <w:r>
              <w:rPr>
                <w:rFonts w:ascii="ARIAL" w:hAnsi="ARIAL"/>
                <w:sz w:val="18"/>
              </w:rPr>
              <w:t>Directors</w:t>
            </w:r>
          </w:p>
        </w:tc>
        <w:tc>
          <w:tcPr>
            <w:tcW w:w="120" w:type="dxa"/>
            <w:tcBorders/>
            <w:shd w:fill="EDEDED" w:val="clear"/>
            <w:vAlign w:val="center"/>
          </w:tcPr>
          <w:p>
            <w:pPr>
              <w:pStyle w:val="TableContents"/>
              <w:bidi w:val="0"/>
              <w:spacing w:before="0" w:after="283"/>
              <w:jc w:val="left"/>
              <w:rPr/>
            </w:pPr>
            <w:r>
              <w:rPr/>
              <w:t>  </w:t>
            </w:r>
          </w:p>
        </w:tc>
        <w:tc>
          <w:tcPr>
            <w:tcW w:w="108" w:type="dxa"/>
            <w:tcBorders/>
            <w:shd w:fill="EDEDED" w:val="clear"/>
            <w:vAlign w:val="center"/>
          </w:tcPr>
          <w:p>
            <w:pPr>
              <w:pStyle w:val="TableContents"/>
              <w:bidi w:val="0"/>
              <w:spacing w:before="0" w:after="283"/>
              <w:jc w:val="left"/>
              <w:rPr/>
            </w:pPr>
            <w:r>
              <w:rPr/>
              <w:t> </w:t>
            </w:r>
          </w:p>
        </w:tc>
        <w:tc>
          <w:tcPr>
            <w:tcW w:w="108" w:type="dxa"/>
            <w:tcBorders/>
            <w:shd w:fill="EDEDED" w:val="clear"/>
            <w:vAlign w:val="center"/>
          </w:tcPr>
          <w:p>
            <w:pPr>
              <w:pStyle w:val="TableContents"/>
              <w:bidi w:val="0"/>
              <w:spacing w:before="0" w:after="283"/>
              <w:jc w:val="left"/>
              <w:rPr/>
            </w:pPr>
            <w:r>
              <w:rPr/>
              <w:t> </w:t>
            </w:r>
          </w:p>
        </w:tc>
        <w:tc>
          <w:tcPr>
            <w:tcW w:w="471" w:type="dxa"/>
            <w:tcBorders/>
            <w:shd w:fill="EDEDED" w:val="clear"/>
            <w:vAlign w:val="center"/>
          </w:tcPr>
          <w:p>
            <w:pPr>
              <w:pStyle w:val="TableContents"/>
              <w:bidi w:val="0"/>
              <w:spacing w:before="0" w:after="283"/>
              <w:jc w:val="right"/>
              <w:rPr/>
            </w:pPr>
            <w:r>
              <w:rPr/>
              <w:t>1</w:t>
            </w:r>
          </w:p>
        </w:tc>
        <w:tc>
          <w:tcPr>
            <w:tcW w:w="111"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41" w:type="dxa"/>
            <w:tcBorders/>
            <w:shd w:fill="EDEDED" w:val="clear"/>
            <w:vAlign w:val="center"/>
          </w:tcPr>
          <w:p>
            <w:pPr>
              <w:pStyle w:val="TableContents"/>
              <w:bidi w:val="0"/>
              <w:spacing w:before="0" w:after="283"/>
              <w:jc w:val="left"/>
              <w:rPr/>
            </w:pPr>
            <w:r>
              <w:rPr/>
              <w:t> </w:t>
            </w:r>
          </w:p>
        </w:tc>
        <w:tc>
          <w:tcPr>
            <w:tcW w:w="141" w:type="dxa"/>
            <w:tcBorders/>
            <w:shd w:fill="EDEDED" w:val="clear"/>
            <w:vAlign w:val="center"/>
          </w:tcPr>
          <w:p>
            <w:pPr>
              <w:pStyle w:val="TableContents"/>
              <w:bidi w:val="0"/>
              <w:spacing w:before="0" w:after="283"/>
              <w:jc w:val="left"/>
              <w:rPr/>
            </w:pPr>
            <w:r>
              <w:rPr/>
              <w:t> </w:t>
            </w:r>
          </w:p>
        </w:tc>
        <w:tc>
          <w:tcPr>
            <w:tcW w:w="334" w:type="dxa"/>
            <w:tcBorders/>
            <w:shd w:fill="EDEDED" w:val="clear"/>
            <w:vAlign w:val="center"/>
          </w:tcPr>
          <w:p>
            <w:pPr>
              <w:pStyle w:val="TableContents"/>
              <w:bidi w:val="0"/>
              <w:spacing w:before="0" w:after="283"/>
              <w:jc w:val="right"/>
              <w:rPr/>
            </w:pPr>
            <w:r>
              <w:rPr/>
              <w:t>6</w:t>
            </w:r>
          </w:p>
        </w:tc>
        <w:tc>
          <w:tcPr>
            <w:tcW w:w="182" w:type="dxa"/>
            <w:tcBorders/>
            <w:shd w:fill="EDEDED" w:val="clear"/>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sz w:val="4"/>
                <w:szCs w:val="4"/>
              </w:rPr>
            </w:pPr>
            <w:r>
              <w:rPr>
                <w:sz w:val="4"/>
                <w:szCs w:val="4"/>
              </w:rPr>
            </w:r>
          </w:p>
        </w:tc>
        <w:tc>
          <w:tcPr>
            <w:tcW w:w="918" w:type="dxa"/>
            <w:gridSpan w:val="5"/>
            <w:tcBorders/>
            <w:vAlign w:val="center"/>
          </w:tcPr>
          <w:p>
            <w:pPr>
              <w:pStyle w:val="TableContents"/>
              <w:bidi w:val="0"/>
              <w:spacing w:before="0" w:after="283"/>
              <w:jc w:val="left"/>
              <w:rPr>
                <w:sz w:val="4"/>
                <w:szCs w:val="4"/>
              </w:rPr>
            </w:pPr>
            <w:r>
              <w:rPr>
                <w:sz w:val="4"/>
                <w:szCs w:val="4"/>
              </w:rPr>
            </w:r>
          </w:p>
        </w:tc>
        <w:tc>
          <w:tcPr>
            <w:tcW w:w="918" w:type="dxa"/>
            <w:gridSpan w:val="5"/>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left"/>
              <w:rPr>
                <w:rFonts w:ascii="ARIAL" w:hAnsi="ARIAL"/>
                <w:b/>
                <w:sz w:val="18"/>
              </w:rPr>
            </w:pPr>
            <w:r>
              <w:rPr>
                <w:rFonts w:ascii="ARIAL" w:hAnsi="ARIAL"/>
                <w:b/>
                <w:sz w:val="18"/>
              </w:rPr>
              <w:t>Part II: Demographic Background</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0"/>
              <w:jc w:val="left"/>
              <w:rPr/>
            </w:pPr>
            <w:r>
              <w:rPr/>
              <w:t> </w:t>
            </w:r>
          </w:p>
        </w:tc>
        <w:tc>
          <w:tcPr>
            <w:tcW w:w="471" w:type="dxa"/>
            <w:tcBorders/>
            <w:vAlign w:val="center"/>
          </w:tcPr>
          <w:p>
            <w:pPr>
              <w:pStyle w:val="TableContents"/>
              <w:bidi w:val="0"/>
              <w:spacing w:before="0" w:after="0"/>
              <w:jc w:val="left"/>
              <w:rPr/>
            </w:pPr>
            <w:r>
              <w:rPr/>
              <w:t> </w:t>
            </w:r>
          </w:p>
        </w:tc>
        <w:tc>
          <w:tcPr>
            <w:tcW w:w="111" w:type="dxa"/>
            <w:tcBorders/>
            <w:vAlign w:val="center"/>
          </w:tcPr>
          <w:p>
            <w:pPr>
              <w:pStyle w:val="TableContents"/>
              <w:bidi w:val="0"/>
              <w:spacing w:before="0" w:after="0"/>
              <w:jc w:val="left"/>
              <w:rPr/>
            </w:pPr>
            <w:r>
              <w:rPr/>
              <w:t> </w:t>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jc w:val="left"/>
              <w:rPr/>
            </w:pPr>
            <w:r>
              <w:rPr/>
              <w:t> </w:t>
            </w:r>
          </w:p>
        </w:tc>
        <w:tc>
          <w:tcPr>
            <w:tcW w:w="334" w:type="dxa"/>
            <w:tcBorders/>
            <w:vAlign w:val="center"/>
          </w:tcPr>
          <w:p>
            <w:pPr>
              <w:pStyle w:val="TableContents"/>
              <w:bidi w:val="0"/>
              <w:spacing w:before="0" w:after="0"/>
              <w:jc w:val="left"/>
              <w:rPr/>
            </w:pPr>
            <w:r>
              <w:rPr/>
              <w:t> </w:t>
            </w:r>
          </w:p>
        </w:tc>
        <w:tc>
          <w:tcPr>
            <w:tcW w:w="182" w:type="dxa"/>
            <w:tcBorders/>
            <w:vAlign w:val="center"/>
          </w:tcPr>
          <w:p>
            <w:pPr>
              <w:pStyle w:val="TableContents"/>
              <w:bidi w:val="0"/>
              <w:spacing w:before="0" w:after="0"/>
              <w:jc w:val="left"/>
              <w:rPr/>
            </w:pPr>
            <w:r>
              <w:rPr/>
              <w:t> </w:t>
            </w:r>
          </w:p>
        </w:tc>
      </w:tr>
      <w:tr>
        <w:trPr/>
        <w:tc>
          <w:tcPr>
            <w:tcW w:w="2885" w:type="dxa"/>
            <w:tcBorders/>
            <w:shd w:fill="EDEDED" w:val="clear"/>
            <w:vAlign w:val="center"/>
          </w:tcPr>
          <w:p>
            <w:pPr>
              <w:pStyle w:val="TableContents"/>
              <w:bidi w:val="0"/>
              <w:spacing w:before="0" w:after="283"/>
              <w:jc w:val="left"/>
              <w:rPr>
                <w:sz w:val="4"/>
                <w:szCs w:val="4"/>
              </w:rPr>
            </w:pPr>
            <w:r>
              <w:rPr>
                <w:sz w:val="4"/>
                <w:szCs w:val="4"/>
              </w:rPr>
            </w:r>
          </w:p>
        </w:tc>
        <w:tc>
          <w:tcPr>
            <w:tcW w:w="918" w:type="dxa"/>
            <w:gridSpan w:val="5"/>
            <w:tcBorders/>
            <w:shd w:fill="EDEDED" w:val="clear"/>
            <w:vAlign w:val="center"/>
          </w:tcPr>
          <w:p>
            <w:pPr>
              <w:pStyle w:val="TableContents"/>
              <w:bidi w:val="0"/>
              <w:spacing w:before="0" w:after="283"/>
              <w:jc w:val="left"/>
              <w:rPr>
                <w:sz w:val="4"/>
                <w:szCs w:val="4"/>
              </w:rPr>
            </w:pPr>
            <w:r>
              <w:rPr>
                <w:sz w:val="4"/>
                <w:szCs w:val="4"/>
              </w:rPr>
            </w:r>
          </w:p>
        </w:tc>
        <w:tc>
          <w:tcPr>
            <w:tcW w:w="918" w:type="dxa"/>
            <w:gridSpan w:val="5"/>
            <w:tcBorders/>
            <w:shd w:fill="EDEDED" w:val="clear"/>
            <w:vAlign w:val="center"/>
          </w:tcPr>
          <w:p>
            <w:pPr>
              <w:pStyle w:val="TableContents"/>
              <w:bidi w:val="0"/>
              <w:spacing w:before="0" w:after="283"/>
              <w:jc w:val="left"/>
              <w:rPr>
                <w:sz w:val="4"/>
                <w:szCs w:val="4"/>
              </w:rPr>
            </w:pPr>
            <w:r>
              <w:rPr>
                <w:sz w:val="4"/>
                <w:szCs w:val="4"/>
              </w:rPr>
            </w:r>
          </w:p>
        </w:tc>
      </w:tr>
      <w:tr>
        <w:trPr/>
        <w:tc>
          <w:tcPr>
            <w:tcW w:w="2885" w:type="dxa"/>
            <w:tcBorders/>
            <w:shd w:fill="EDEDED" w:val="clear"/>
            <w:vAlign w:val="center"/>
          </w:tcPr>
          <w:p>
            <w:pPr>
              <w:pStyle w:val="TableContents"/>
              <w:bidi w:val="0"/>
              <w:spacing w:before="0" w:after="0"/>
              <w:jc w:val="left"/>
              <w:rPr>
                <w:rFonts w:ascii="ARIAL" w:hAnsi="ARIAL"/>
                <w:sz w:val="18"/>
              </w:rPr>
            </w:pPr>
            <w:r>
              <w:rPr>
                <w:rFonts w:ascii="ARIAL" w:hAnsi="ARIAL"/>
                <w:sz w:val="18"/>
              </w:rPr>
              <w:t>Asian</w:t>
            </w:r>
          </w:p>
        </w:tc>
        <w:tc>
          <w:tcPr>
            <w:tcW w:w="120" w:type="dxa"/>
            <w:tcBorders/>
            <w:shd w:fill="EDEDED" w:val="clear"/>
            <w:vAlign w:val="center"/>
          </w:tcPr>
          <w:p>
            <w:pPr>
              <w:pStyle w:val="TableContents"/>
              <w:bidi w:val="0"/>
              <w:spacing w:before="0" w:after="283"/>
              <w:jc w:val="left"/>
              <w:rPr/>
            </w:pPr>
            <w:r>
              <w:rPr/>
              <w:t>  </w:t>
            </w:r>
          </w:p>
        </w:tc>
        <w:tc>
          <w:tcPr>
            <w:tcW w:w="108" w:type="dxa"/>
            <w:tcBorders/>
            <w:shd w:fill="EDEDED" w:val="clear"/>
            <w:vAlign w:val="center"/>
          </w:tcPr>
          <w:p>
            <w:pPr>
              <w:pStyle w:val="TableContents"/>
              <w:bidi w:val="0"/>
              <w:spacing w:before="0" w:after="283"/>
              <w:jc w:val="left"/>
              <w:rPr/>
            </w:pPr>
            <w:r>
              <w:rPr/>
              <w:t> </w:t>
            </w:r>
          </w:p>
        </w:tc>
        <w:tc>
          <w:tcPr>
            <w:tcW w:w="108" w:type="dxa"/>
            <w:tcBorders/>
            <w:shd w:fill="EDEDED" w:val="clear"/>
            <w:vAlign w:val="center"/>
          </w:tcPr>
          <w:p>
            <w:pPr>
              <w:pStyle w:val="TableContents"/>
              <w:bidi w:val="0"/>
              <w:spacing w:before="0" w:after="283"/>
              <w:jc w:val="left"/>
              <w:rPr/>
            </w:pPr>
            <w:r>
              <w:rPr/>
              <w:t> </w:t>
            </w:r>
          </w:p>
        </w:tc>
        <w:tc>
          <w:tcPr>
            <w:tcW w:w="471" w:type="dxa"/>
            <w:tcBorders/>
            <w:shd w:fill="EDEDED" w:val="clear"/>
            <w:vAlign w:val="center"/>
          </w:tcPr>
          <w:p>
            <w:pPr>
              <w:pStyle w:val="TableContents"/>
              <w:bidi w:val="0"/>
              <w:spacing w:before="0" w:after="283"/>
              <w:jc w:val="right"/>
              <w:rPr/>
            </w:pPr>
            <w:r>
              <w:rPr/>
              <w:t>—</w:t>
            </w:r>
          </w:p>
        </w:tc>
        <w:tc>
          <w:tcPr>
            <w:tcW w:w="111" w:type="dxa"/>
            <w:tcBorders/>
            <w:shd w:fill="EDEDED" w:val="clear"/>
            <w:vAlign w:val="center"/>
          </w:tcPr>
          <w:p>
            <w:pPr>
              <w:pStyle w:val="TableContents"/>
              <w:bidi w:val="0"/>
              <w:spacing w:before="0" w:after="283"/>
              <w:jc w:val="left"/>
              <w:rPr>
                <w:sz w:val="4"/>
                <w:szCs w:val="4"/>
              </w:rPr>
            </w:pPr>
            <w:r>
              <w:rPr>
                <w:sz w:val="4"/>
                <w:szCs w:val="4"/>
              </w:rPr>
            </w:r>
          </w:p>
        </w:tc>
        <w:tc>
          <w:tcPr>
            <w:tcW w:w="120" w:type="dxa"/>
            <w:tcBorders/>
            <w:shd w:fill="EDEDED" w:val="clear"/>
            <w:vAlign w:val="center"/>
          </w:tcPr>
          <w:p>
            <w:pPr>
              <w:pStyle w:val="TableContents"/>
              <w:bidi w:val="0"/>
              <w:spacing w:before="0" w:after="283"/>
              <w:jc w:val="left"/>
              <w:rPr/>
            </w:pPr>
            <w:r>
              <w:rPr/>
              <w:t>  </w:t>
            </w:r>
          </w:p>
        </w:tc>
        <w:tc>
          <w:tcPr>
            <w:tcW w:w="141" w:type="dxa"/>
            <w:tcBorders/>
            <w:shd w:fill="EDEDED" w:val="clear"/>
            <w:vAlign w:val="center"/>
          </w:tcPr>
          <w:p>
            <w:pPr>
              <w:pStyle w:val="TableContents"/>
              <w:bidi w:val="0"/>
              <w:spacing w:before="0" w:after="283"/>
              <w:jc w:val="left"/>
              <w:rPr/>
            </w:pPr>
            <w:r>
              <w:rPr/>
              <w:t> </w:t>
            </w:r>
          </w:p>
        </w:tc>
        <w:tc>
          <w:tcPr>
            <w:tcW w:w="141" w:type="dxa"/>
            <w:tcBorders/>
            <w:shd w:fill="EDEDED" w:val="clear"/>
            <w:vAlign w:val="center"/>
          </w:tcPr>
          <w:p>
            <w:pPr>
              <w:pStyle w:val="TableContents"/>
              <w:bidi w:val="0"/>
              <w:spacing w:before="0" w:after="283"/>
              <w:jc w:val="left"/>
              <w:rPr/>
            </w:pPr>
            <w:r>
              <w:rPr/>
              <w:t> </w:t>
            </w:r>
          </w:p>
        </w:tc>
        <w:tc>
          <w:tcPr>
            <w:tcW w:w="334" w:type="dxa"/>
            <w:tcBorders/>
            <w:shd w:fill="EDEDED" w:val="clear"/>
            <w:vAlign w:val="center"/>
          </w:tcPr>
          <w:p>
            <w:pPr>
              <w:pStyle w:val="TableContents"/>
              <w:bidi w:val="0"/>
              <w:spacing w:before="0" w:after="283"/>
              <w:jc w:val="right"/>
              <w:rPr/>
            </w:pPr>
            <w:r>
              <w:rPr/>
              <w:t>1</w:t>
            </w:r>
          </w:p>
        </w:tc>
        <w:tc>
          <w:tcPr>
            <w:tcW w:w="182" w:type="dxa"/>
            <w:tcBorders/>
            <w:shd w:fill="EDEDED" w:val="clear"/>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sz w:val="4"/>
                <w:szCs w:val="4"/>
              </w:rPr>
            </w:pPr>
            <w:r>
              <w:rPr>
                <w:sz w:val="4"/>
                <w:szCs w:val="4"/>
              </w:rPr>
            </w:r>
          </w:p>
        </w:tc>
        <w:tc>
          <w:tcPr>
            <w:tcW w:w="918" w:type="dxa"/>
            <w:gridSpan w:val="5"/>
            <w:tcBorders/>
            <w:vAlign w:val="center"/>
          </w:tcPr>
          <w:p>
            <w:pPr>
              <w:pStyle w:val="TableContents"/>
              <w:bidi w:val="0"/>
              <w:spacing w:before="0" w:after="283"/>
              <w:jc w:val="left"/>
              <w:rPr>
                <w:sz w:val="4"/>
                <w:szCs w:val="4"/>
              </w:rPr>
            </w:pPr>
            <w:r>
              <w:rPr>
                <w:sz w:val="4"/>
                <w:szCs w:val="4"/>
              </w:rPr>
            </w:r>
          </w:p>
        </w:tc>
        <w:tc>
          <w:tcPr>
            <w:tcW w:w="918" w:type="dxa"/>
            <w:gridSpan w:val="5"/>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left"/>
              <w:rPr>
                <w:rFonts w:ascii="ARIAL" w:hAnsi="ARIAL"/>
                <w:sz w:val="18"/>
              </w:rPr>
            </w:pPr>
            <w:r>
              <w:rPr>
                <w:rFonts w:ascii="ARIAL" w:hAnsi="ARIAL"/>
                <w:sz w:val="18"/>
              </w:rPr>
              <w:t>White</w:t>
            </w:r>
          </w:p>
        </w:tc>
        <w:tc>
          <w:tcPr>
            <w:tcW w:w="120"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right"/>
              <w:rPr/>
            </w:pPr>
            <w:r>
              <w:rPr/>
              <w:t>1</w:t>
            </w:r>
          </w:p>
        </w:tc>
        <w:tc>
          <w:tcPr>
            <w:tcW w:w="1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283"/>
              <w:jc w:val="left"/>
              <w:rPr/>
            </w:pPr>
            <w:r>
              <w:rPr/>
              <w:t> </w:t>
            </w:r>
          </w:p>
        </w:tc>
        <w:tc>
          <w:tcPr>
            <w:tcW w:w="334" w:type="dxa"/>
            <w:tcBorders/>
            <w:vAlign w:val="center"/>
          </w:tcPr>
          <w:p>
            <w:pPr>
              <w:pStyle w:val="TableContents"/>
              <w:bidi w:val="0"/>
              <w:spacing w:before="0" w:after="283"/>
              <w:jc w:val="right"/>
              <w:rPr/>
            </w:pPr>
            <w:r>
              <w:rPr/>
              <w:t>5</w:t>
            </w:r>
          </w:p>
        </w:tc>
        <w:tc>
          <w:tcPr>
            <w:tcW w:w="18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155"/>
        <w:gridCol w:w="4550"/>
      </w:tblGrid>
      <w:tr>
        <w:trPr/>
        <w:tc>
          <w:tcPr>
            <w:tcW w:w="155"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0"/>
              <w:jc w:val="left"/>
              <w:rPr>
                <w:rFonts w:ascii="ARIAL" w:hAnsi="ARIAL"/>
                <w:sz w:val="14"/>
              </w:rPr>
            </w:pPr>
            <w:r>
              <w:rPr>
                <w:rFonts w:ascii="ARIAL" w:hAnsi="ARIAL"/>
                <w:sz w:val="14"/>
              </w:rPr>
              <w:t xml:space="preserve">Total includes both management and current non-management directors.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17</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b/>
          <w:sz w:val="20"/>
        </w:rPr>
      </w:pPr>
      <w:bookmarkStart w:id="22" w:name="toc814840_20"/>
      <w:bookmarkEnd w:id="22"/>
      <w:r>
        <w:rPr>
          <w:rFonts w:ascii="ARIAL" w:hAnsi="ARIAL"/>
          <w:b/>
          <w:sz w:val="20"/>
        </w:rPr>
        <w:t xml:space="preserve">Director Independence </w:t>
      </w:r>
    </w:p>
    <w:p>
      <w:pPr>
        <w:pStyle w:val="TextBody"/>
        <w:bidi w:val="0"/>
        <w:spacing w:before="160" w:after="0"/>
        <w:jc w:val="left"/>
        <w:rPr>
          <w:rFonts w:ascii="ARIAL" w:hAnsi="ARIAL"/>
          <w:sz w:val="18"/>
        </w:rPr>
      </w:pPr>
      <w:r>
        <w:rPr>
          <w:rFonts w:ascii="ARIAL" w:hAnsi="ARIAL"/>
          <w:sz w:val="18"/>
        </w:rPr>
        <w:t xml:space="preserve">All of our directors, other than Thomas Pike, qualify as “independent” in accordance with the listing requirements of Nasdaq. The Nasdaq independence definition includes a series of objective tests, including that the director is not, and has not been for at least three years, one of our employees and that neither the director nor any of his or her family members has engaged in various types of business dealings with us. In addition, as required by Nasdaq rules, our Board has made a subjective determination as to each independent director that no relationships exist, which, in the opinion of our Board, would interfere with the exercise of independent judgment in carrying out the responsibilities of a director. In making these determinations, our Board reviewed and discussed information provided by the directors and us with regard to each director’s business and personal activities and relationships as they may relate to us and our management. Mr. Pike is not independent because he is the Chief Executive Officer of Fortrea. </w:t>
      </w:r>
    </w:p>
    <w:p>
      <w:pPr>
        <w:pStyle w:val="TextBody"/>
        <w:bidi w:val="0"/>
        <w:spacing w:before="360" w:after="0"/>
        <w:jc w:val="left"/>
        <w:rPr>
          <w:rFonts w:ascii="ARIAL" w:hAnsi="ARIAL"/>
          <w:b/>
          <w:sz w:val="20"/>
        </w:rPr>
      </w:pPr>
      <w:bookmarkStart w:id="23" w:name="toc814840_21"/>
      <w:bookmarkEnd w:id="23"/>
      <w:r>
        <w:rPr>
          <w:rFonts w:ascii="ARIAL" w:hAnsi="ARIAL"/>
          <w:b/>
          <w:sz w:val="20"/>
        </w:rPr>
        <w:t xml:space="preserve">Director Candidates </w:t>
      </w:r>
    </w:p>
    <w:p>
      <w:pPr>
        <w:pStyle w:val="TextBody"/>
        <w:bidi w:val="0"/>
        <w:spacing w:before="160" w:after="0"/>
        <w:jc w:val="left"/>
        <w:rPr>
          <w:rFonts w:ascii="ARIAL" w:hAnsi="ARIAL"/>
          <w:sz w:val="18"/>
        </w:rPr>
      </w:pPr>
      <w:r>
        <w:rPr>
          <w:rFonts w:ascii="ARIAL" w:hAnsi="ARIAL"/>
          <w:sz w:val="18"/>
        </w:rPr>
        <w:t xml:space="preserve">In June 2023, the Board established a Nominating, Corporate Governance and Compliance Committee and adopted a committee charter. For more information, see “Committees of the Board—Nominating, Corporate Governance and Compliance Committee.” </w:t>
      </w:r>
    </w:p>
    <w:p>
      <w:pPr>
        <w:pStyle w:val="TextBody"/>
        <w:bidi w:val="0"/>
        <w:spacing w:before="160" w:after="0"/>
        <w:jc w:val="left"/>
        <w:rPr>
          <w:rFonts w:ascii="ARIAL" w:hAnsi="ARIAL"/>
          <w:sz w:val="18"/>
        </w:rPr>
      </w:pPr>
      <w:r>
        <w:rPr>
          <w:rFonts w:ascii="ARIAL" w:hAnsi="ARIAL"/>
          <w:sz w:val="18"/>
        </w:rPr>
        <w:t xml:space="preserve">With respect to facilitating the search process for director candidates, the Nominating, Corporate Governance and Compliance Committee has the sole authority to retain and terminate any search firm to be used to identify director candidates, including the sole authority to approve the search firm’s fees and other retention terms. The Nominating, Corporate Governance and Compliance Committee also has the authority to obtain advice and assistance from internal or outside legal, accounting or other advisors. Once potential candidates are identified, the Nominating, Corporate Governance and Compliance Committee evaluates the qualifications of potential candidates for director, including any nominees submitted by stockholders under and in accordance with the provisions of our bylaws and applicable laws and regulations. </w:t>
      </w:r>
    </w:p>
    <w:p>
      <w:pPr>
        <w:pStyle w:val="TextBody"/>
        <w:bidi w:val="0"/>
        <w:spacing w:before="160" w:after="0"/>
        <w:jc w:val="left"/>
        <w:rPr>
          <w:rFonts w:ascii="ARIAL" w:hAnsi="ARIAL"/>
          <w:sz w:val="18"/>
        </w:rPr>
      </w:pPr>
      <w:r>
        <w:rPr>
          <w:rFonts w:ascii="ARIAL" w:hAnsi="ARIAL"/>
          <w:sz w:val="18"/>
        </w:rPr>
        <w:t xml:space="preserve">In evaluating the suitability of individual candidates, the Nominating, Corporate Governance and Compliance Committee may consider many factors, including: (i) minimum individual qualifications, including a high level of personal and professional integrity, strong ethics and values and the ability to make mature business judgments, and (ii) all other factors it considers appropriate, which may include experience in corporate management, experience as a board member of other public companies, relevant professional or academic experience, leadership skills, financial and accounting background, executive compensation background, diversity and whether the candidate has the time required to fully participate as a director of the Company. The Nominating, Corporate Governance and Compliance Committee includes diversity, age, background, skills, tenure, and expertise as part of its search criteria, consistent with the requirement for relevant and diverse experience, skills and industry familiarity. Our Corporate Governance Guidelines provide that the Board should monitor the mix of specific experience, qualifications and skills of its directors in order to assure that the Board, as a whole, has the necessary tools to perform its oversight function effectively in light of our business and structure. </w:t>
      </w:r>
    </w:p>
    <w:p>
      <w:pPr>
        <w:pStyle w:val="TextBody"/>
        <w:bidi w:val="0"/>
        <w:spacing w:before="160" w:after="0"/>
        <w:jc w:val="left"/>
        <w:rPr>
          <w:rFonts w:ascii="ARIAL" w:hAnsi="ARIAL"/>
          <w:sz w:val="18"/>
        </w:rPr>
      </w:pPr>
      <w:r>
        <w:rPr>
          <w:rFonts w:ascii="ARIAL" w:hAnsi="ARIAL"/>
          <w:sz w:val="18"/>
        </w:rPr>
        <w:t xml:space="preserve">Stockholders may recommend individuals to the Board for consideration as potential director candidates by submitting the names of the recommended individuals, together with all information with respect to such proposed nominee required to be set forth in a stockholder’s notice pursuant to Bylaw 10(b)(i), all information relating to such proposed nominee that would be required to be disclosed in a proxy statement or other filing required pursuant to Section 14(a) under the Exchange Act, a reasonably detailed description of all direct and indirect compensation and other material monetary agreements, arrangements or understandings during the past three years, a completed questionnaire with respect to the identity, background and qualification of the proposed nominee and the background of any other person or entity on whose behalf the nomination is being made, and a written representation and agreement pursuant to Bylaw 10(b)(ii)(E) and any other materials required by Bylaw 10(b) of our Bylaws, to the Board of Directors, c/o Corporate Secretary, Fortrea Holdings Inc., 8 Moore Drive, Durham, North Carolina 27709. Bylaw 10(b) of our Bylaws outlines the specific requirements for stockholders who wish to nominate individuals for election as directors. The nomination notice required by the Bylaws must be delivered not later than the 90th day, nor earlier than the 120th day prior to the first anniversary of the preceding year’s annual meeting, subject to the other conditions in the Bylaws. In the event there is a vacancy, and assuming that appropriate biographical and background material has been provided on a timely basis, the Board will evaluate stockholder recommended candidates by following substantially the same process, and applying substantially the same criteria, as it follows for candidates submitted by others.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18</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b/>
          <w:sz w:val="20"/>
        </w:rPr>
      </w:pPr>
      <w:bookmarkStart w:id="24" w:name="toc814840_26a"/>
      <w:bookmarkEnd w:id="24"/>
      <w:r>
        <w:rPr>
          <w:rFonts w:ascii="ARIAL" w:hAnsi="ARIAL"/>
          <w:b/>
          <w:sz w:val="20"/>
        </w:rPr>
        <w:t xml:space="preserve">Stockholder Engagement </w:t>
      </w:r>
    </w:p>
    <w:p>
      <w:pPr>
        <w:pStyle w:val="TextBody"/>
        <w:bidi w:val="0"/>
        <w:spacing w:before="160" w:after="0"/>
        <w:jc w:val="left"/>
        <w:rPr>
          <w:rFonts w:ascii="ARIAL" w:hAnsi="ARIAL"/>
          <w:sz w:val="18"/>
        </w:rPr>
      </w:pPr>
      <w:r>
        <w:rPr>
          <w:rFonts w:ascii="ARIAL" w:hAnsi="ARIAL"/>
          <w:sz w:val="18"/>
        </w:rPr>
        <w:t xml:space="preserve">We value our stockholders’ perspectives, and we proactively conduct investor outreach throughout the year to provide us with an understanding of the priorities that matter most to our stockholders. We engage with stockholders through various outreach initiatives, including: (i) quarterly earnings releases with corresponding conference calls and webcasts; (ii) regular reports filed with the SEC, including annual and quarterly reports; (iii) participation in investor conferences and non-deal roadshows; (vi) in-person and virtual meetings with current and prospective investors and research analysts; and (v) proactive outreach to institutional investors, pension funds and governance professionals. </w:t>
      </w:r>
    </w:p>
    <w:p>
      <w:pPr>
        <w:pStyle w:val="TextBody"/>
        <w:bidi w:val="0"/>
        <w:spacing w:before="160" w:after="0"/>
        <w:jc w:val="left"/>
        <w:rPr>
          <w:rFonts w:ascii="ARIAL" w:hAnsi="ARIAL"/>
          <w:sz w:val="18"/>
        </w:rPr>
      </w:pPr>
      <w:r>
        <w:rPr>
          <w:rFonts w:ascii="ARIAL" w:hAnsi="ARIAL"/>
          <w:sz w:val="18"/>
        </w:rPr>
        <w:t xml:space="preserve">After the Spin, we held an investor day in July 2023 and conducted over 400 meetings with the investment community. We also engaged with current stockholders holding over 75% of our shares in the aggregate, while also reaching out to prospective investors. In addition to our quarterly earnings presentations, we presented at four sell-side conferences and conducted one non-deal roadshow with institutional investors at the Company. Along with discussing business results and initiatives, strategy, and capital structure, we talked with investors regarding a number of other topics essential to our business and the Company, including risk management and environmental, social and governance (ESG) matters. Our executives share insights from these interactions with our Board regularly. </w:t>
      </w:r>
    </w:p>
    <w:p>
      <w:pPr>
        <w:pStyle w:val="TextBody"/>
        <w:bidi w:val="0"/>
        <w:spacing w:before="360" w:after="0"/>
        <w:jc w:val="left"/>
        <w:rPr>
          <w:rFonts w:ascii="ARIAL" w:hAnsi="ARIAL"/>
          <w:b/>
          <w:sz w:val="20"/>
        </w:rPr>
      </w:pPr>
      <w:bookmarkStart w:id="25" w:name="toc814840_22"/>
      <w:bookmarkEnd w:id="25"/>
      <w:r>
        <w:rPr>
          <w:rFonts w:ascii="ARIAL" w:hAnsi="ARIAL"/>
          <w:b/>
          <w:sz w:val="20"/>
        </w:rPr>
        <w:t xml:space="preserve">Communications from Stockholders </w:t>
      </w:r>
    </w:p>
    <w:p>
      <w:pPr>
        <w:pStyle w:val="TextBody"/>
        <w:bidi w:val="0"/>
        <w:spacing w:before="160" w:after="0"/>
        <w:jc w:val="left"/>
        <w:rPr>
          <w:rFonts w:ascii="ARIAL" w:hAnsi="ARIAL"/>
          <w:sz w:val="18"/>
        </w:rPr>
      </w:pPr>
      <w:r>
        <w:rPr>
          <w:rFonts w:ascii="ARIAL" w:hAnsi="ARIAL"/>
          <w:sz w:val="18"/>
        </w:rPr>
        <w:t xml:space="preserve">Stockholders and other interested parties who desire to send a communication to members of the Board of Directors, its Chairman, its Lead Independent Director, its committees or any Director, may submit their communication by mail addressed to the attention of the Board of Directors, c/o Corporate Secretary, Fortrea Holdings Inc., 8 Moore Drive, Durham, North Carolina 27709. </w:t>
      </w:r>
    </w:p>
    <w:p>
      <w:pPr>
        <w:pStyle w:val="TextBody"/>
        <w:bidi w:val="0"/>
        <w:spacing w:before="160" w:after="0"/>
        <w:jc w:val="left"/>
        <w:rPr>
          <w:rFonts w:ascii="ARIAL" w:hAnsi="ARIAL"/>
          <w:sz w:val="18"/>
        </w:rPr>
      </w:pPr>
      <w:r>
        <w:rPr>
          <w:rFonts w:ascii="ARIAL" w:hAnsi="ARIAL"/>
          <w:sz w:val="18"/>
        </w:rPr>
        <w:t xml:space="preserve">Any communication should clearly specify the intended recipient. The office of the Corporate Secretary will receive the correspondence and forward it to the intended recipient unless the communication is an advertisement or other commercial solicitation or communication, obviously frivolous or obscene, unduly hostile, threatening or illegal, or is related to trivial matters (in which case it will be delivered to the intended recipient for review at the next regularly scheduled Board meeting). </w:t>
      </w:r>
    </w:p>
    <w:p>
      <w:pPr>
        <w:pStyle w:val="TextBody"/>
        <w:bidi w:val="0"/>
        <w:spacing w:before="360" w:after="0"/>
        <w:jc w:val="left"/>
        <w:rPr>
          <w:rFonts w:ascii="ARIAL" w:hAnsi="ARIAL"/>
          <w:b/>
          <w:sz w:val="20"/>
        </w:rPr>
      </w:pPr>
      <w:bookmarkStart w:id="26" w:name="toc814840_23"/>
      <w:bookmarkEnd w:id="26"/>
      <w:r>
        <w:rPr>
          <w:rFonts w:ascii="ARIAL" w:hAnsi="ARIAL"/>
          <w:b/>
          <w:sz w:val="20"/>
        </w:rPr>
        <w:t xml:space="preserve">Board Leadership Structure and Role in Risk Oversight </w:t>
      </w:r>
    </w:p>
    <w:p>
      <w:pPr>
        <w:pStyle w:val="TextBody"/>
        <w:bidi w:val="0"/>
        <w:spacing w:before="160" w:after="0"/>
        <w:jc w:val="left"/>
        <w:rPr>
          <w:rFonts w:ascii="ARIAL" w:hAnsi="ARIAL"/>
          <w:sz w:val="18"/>
        </w:rPr>
      </w:pPr>
      <w:r>
        <w:rPr>
          <w:rFonts w:ascii="ARIAL" w:hAnsi="ARIAL"/>
          <w:sz w:val="18"/>
        </w:rPr>
        <w:t xml:space="preserve">Our Board exercises its discretion in combining or separating the roles of Chairman of the Board and Chief Executive Officer as it deems appropriate in light of prevailing circumstances. We believe that we, like many U.S. companies, are well-served by a flexible leadership structure. Thomas Pike, our Chief Executive Officer, serves as Chairman of the Board. Our Board has determined that combining the roles of Chairman of the Board and Chief Executive Officer is best for our Company and its stockholders at this time because it promotes unified leadership by Mr. Pike and allows for a single, clear focus for management to execute our strategy and business plans. Our Board is comprised of individuals with extensive experience in finance, the healthcare industry and public company management and, with the exception of Mr. Pike, is comprised of directors who meet the independence standards of Nasdaq. For these reasons and because of the strong leadership of Mr. Pike as Chairman of the Board and Chief Executive Officer, our Board has concluded that our current leadership structure is appropriate at this time. However, our Board will continue to periodically review our leadership structure and may make such changes in the future as it deems appropriate. </w:t>
      </w:r>
    </w:p>
    <w:p>
      <w:pPr>
        <w:pStyle w:val="TextBody"/>
        <w:bidi w:val="0"/>
        <w:spacing w:before="160" w:after="0"/>
        <w:jc w:val="left"/>
        <w:rPr>
          <w:rFonts w:ascii="ARIAL" w:hAnsi="ARIAL"/>
          <w:sz w:val="18"/>
        </w:rPr>
      </w:pPr>
      <w:r>
        <w:rPr>
          <w:rFonts w:ascii="ARIAL" w:hAnsi="ARIAL"/>
          <w:sz w:val="18"/>
        </w:rPr>
        <w:t xml:space="preserve">Our Corporate Governance Guidelines provide that, if the Company does not qualify as a “controlled company” within the meaning of the Nasdaq rules, whenever our Chairman is not an Independent Director, the Board will elect one of the Board’s Independent Directors to serve as the Lead Independent Director. The Lead Independent Director is responsible for coordinating the activities of the Independent Directors and shall perform such other duties and responsibilities as the Board may determine, including: presiding at executive sessions of the Board; reporting the results of the executive sessions to the Chairman; providing feedback from executive sessions to the Chairman; serving as a liaison between the Chairman and the other Directors; advising the Chairman with respect to the schedule, agenda and information for Board meetings; advising the Chairman with respect to consultants who report directly to the Board; and being available, as appropriate, to communicate with the Company’s stockholders. Appointment of a Lead Independent Director, however, is not intended to diminish the role of the Chairman of the Board or the various Committee Chairs or the interaction between the directors and the Chairman. The Chairman, who presides at all meetings of the Board, takes the lead role in the boardroom. The Chair of each Board committee takes the lead on matters falling within the committee’s purview. The full list of responsibilities of our Lead Independent Director may be found in our Corporate Governance Guidelines. In June 2023, the independent directors elected R. Andrew Eckert as Lead Independent Director, and Mr. Eckert was reappointed to the role in March 2024.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19</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CORPORATE GOVERNANCE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Risk assessment and oversight are an integral part of our governance and management processes. Our management is responsible for our day-to-day risk management activities. Our Board oversees the implementation of risk mitigation strategies by management and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Examples of these risks include, but are not limited to, legal risks, economic risks, business operations risks, regulatory compliance risks, cybersecurity risks and reputational risks. With respect to the Board’s oversight of cybersecurity risks, which is set forth in greater detail below, the Board receives, at least twice per year, from management and our information systems officers, fulsome reports on our information systems, the cybersecurity landscape and cyber actors and threats. </w:t>
      </w:r>
    </w:p>
    <w:p>
      <w:pPr>
        <w:pStyle w:val="TextBody"/>
        <w:bidi w:val="0"/>
        <w:spacing w:before="160" w:after="0"/>
        <w:jc w:val="left"/>
        <w:rPr>
          <w:rFonts w:ascii="ARIAL" w:hAnsi="ARIAL"/>
          <w:sz w:val="18"/>
        </w:rPr>
      </w:pPr>
      <w:r>
        <w:rPr>
          <w:rFonts w:ascii="ARIAL" w:hAnsi="ARIAL"/>
          <w:sz w:val="18"/>
        </w:rPr>
        <w:t xml:space="preserve">Throughout the year, senior management reviews these and other risks with the Board at regular board meetings as part of management presentations that focus on particular business functions, operations or strategies, and presents the steps taken by management to mitigate or eliminate such risks. Our Board is apprised of particular risk management matters in connection with its general oversight and approval of corporate matters and significant transactions. Our Board administers this oversight function directly through the Board as a whole, as well as through various standing committees of the Board that address risks inherent in their respective areas of oversight. The Board does not believe that its role in the oversight of our risks affects the Board’s leadership structure. </w:t>
      </w:r>
    </w:p>
    <w:p>
      <w:pPr>
        <w:pStyle w:val="TextBody"/>
        <w:bidi w:val="0"/>
        <w:spacing w:before="360" w:after="0"/>
        <w:jc w:val="left"/>
        <w:rPr>
          <w:rFonts w:ascii="ARIAL" w:hAnsi="ARIAL"/>
          <w:b/>
          <w:sz w:val="20"/>
        </w:rPr>
      </w:pPr>
      <w:bookmarkStart w:id="27" w:name="toc814840_24"/>
      <w:bookmarkEnd w:id="27"/>
      <w:r>
        <w:rPr>
          <w:rFonts w:ascii="ARIAL" w:hAnsi="ARIAL"/>
          <w:b/>
          <w:sz w:val="20"/>
        </w:rPr>
        <w:t xml:space="preserve">Periodic Board Evaluation </w:t>
      </w:r>
    </w:p>
    <w:p>
      <w:pPr>
        <w:pStyle w:val="TextBody"/>
        <w:bidi w:val="0"/>
        <w:spacing w:before="160" w:after="0"/>
        <w:jc w:val="left"/>
        <w:rPr>
          <w:rFonts w:ascii="ARIAL" w:hAnsi="ARIAL"/>
          <w:sz w:val="18"/>
        </w:rPr>
      </w:pPr>
      <w:r>
        <w:rPr>
          <w:rFonts w:ascii="ARIAL" w:hAnsi="ARIAL"/>
          <w:sz w:val="18"/>
        </w:rPr>
        <w:t xml:space="preserve">Our Corporate Governance Guidelines require the Board to oversee a periodic assessment of the Board and its committees. The Company’s first periodic assessment of the Board and its committees is scheduled to take place in 2024. The Board of Directors and committees will conduct self-evaluations to assess the qualifications, attributes, skills and experience represented on the Board and to determine whether the Board and its committees are functioning effectively. The Nominating, Corporate Governance and Compliance Committee will receive input on the Board’s performance from directors and, through its Chair, discuss the input with the full Board and oversee the full Board’s review of its performance. The self-assessments focus on the Board’s and committees’ contribution to the Company and on areas in which the Board or management believes that the Board or any of its committees could improve. The Board and the Nominating, Corporate Governance and Compliance Committee will use the self-evaluations in making determinations regarding which directors will be nominated for election at the Annual Meeting. The Board and committee evaluation process also informs Board and committee composition, which includes evolution of the director skills and experience qualifications criteria to meet the current and anticipated needs of the business. </w:t>
      </w:r>
    </w:p>
    <w:p>
      <w:pPr>
        <w:pStyle w:val="TextBody"/>
        <w:bidi w:val="0"/>
        <w:spacing w:before="360" w:after="0"/>
        <w:jc w:val="left"/>
        <w:rPr>
          <w:rFonts w:ascii="ARIAL" w:hAnsi="ARIAL"/>
          <w:b/>
          <w:sz w:val="20"/>
        </w:rPr>
      </w:pPr>
      <w:bookmarkStart w:id="28" w:name="toc814840_25"/>
      <w:bookmarkEnd w:id="28"/>
      <w:r>
        <w:rPr>
          <w:rFonts w:ascii="ARIAL" w:hAnsi="ARIAL"/>
          <w:b/>
          <w:sz w:val="20"/>
        </w:rPr>
        <w:t xml:space="preserve">Code of Conduct and Ethics </w:t>
      </w:r>
    </w:p>
    <w:p>
      <w:pPr>
        <w:pStyle w:val="TextBody"/>
        <w:bidi w:val="0"/>
        <w:spacing w:before="160" w:after="0"/>
        <w:jc w:val="left"/>
        <w:rPr>
          <w:rFonts w:ascii="ARIAL" w:hAnsi="ARIAL"/>
          <w:sz w:val="18"/>
        </w:rPr>
      </w:pPr>
      <w:r>
        <w:rPr>
          <w:rFonts w:ascii="ARIAL" w:hAnsi="ARIAL"/>
          <w:sz w:val="18"/>
        </w:rPr>
        <w:t xml:space="preserve">We have a written Code of Conduct and Ethics that applies to our directors, officers and employees, including our principal executive officer, principal financial officer, principal accounting officer or controller, or persons performing similar functions. We have posted a current copy of the Code in the “Governance” section of the “Investors” page of our website located at </w:t>
      </w:r>
      <w:r>
        <w:rPr>
          <w:rFonts w:ascii="ARIAL" w:hAnsi="ARIAL"/>
          <w:i/>
          <w:sz w:val="18"/>
        </w:rPr>
        <w:t>www.fortrea.com</w:t>
      </w:r>
      <w:r>
        <w:rPr>
          <w:rFonts w:ascii="ARIAL" w:hAnsi="ARIAL"/>
          <w:sz w:val="18"/>
        </w:rPr>
        <w:t xml:space="preserve">. In addition, we intend to post on our website all disclosures that are required by law or the rules of Nasdaq concerning any amendments to, or waivers from, any provision of the Code. </w:t>
      </w:r>
    </w:p>
    <w:p>
      <w:pPr>
        <w:pStyle w:val="TextBody"/>
        <w:bidi w:val="0"/>
        <w:spacing w:before="360" w:after="0"/>
        <w:jc w:val="left"/>
        <w:rPr>
          <w:rFonts w:ascii="ARIAL" w:hAnsi="ARIAL"/>
          <w:b/>
          <w:sz w:val="20"/>
        </w:rPr>
      </w:pPr>
      <w:bookmarkStart w:id="29" w:name="toc814840_26"/>
      <w:bookmarkEnd w:id="29"/>
      <w:r>
        <w:rPr>
          <w:rFonts w:ascii="ARIAL" w:hAnsi="ARIAL"/>
          <w:b/>
          <w:sz w:val="20"/>
        </w:rPr>
        <w:t xml:space="preserve">Attendance by Members of the Board of Directors at Meetings </w:t>
      </w:r>
    </w:p>
    <w:p>
      <w:pPr>
        <w:pStyle w:val="TextBody"/>
        <w:bidi w:val="0"/>
        <w:spacing w:before="160" w:after="0"/>
        <w:jc w:val="left"/>
        <w:rPr>
          <w:rFonts w:ascii="ARIAL" w:hAnsi="ARIAL"/>
          <w:sz w:val="18"/>
        </w:rPr>
      </w:pPr>
      <w:r>
        <w:rPr>
          <w:rFonts w:ascii="ARIAL" w:hAnsi="ARIAL"/>
          <w:sz w:val="18"/>
        </w:rPr>
        <w:t xml:space="preserve">There were four (4) meetings of the Board during the fiscal year ended December 31, 2023. During the fiscal year ended December 31, 2023, all members of the Board of Directors attended all meetings of the Board and all non-employee directors attended all executive sessions of meetings of the Board without the presence of management. In 2023, all directors attended 100% of the meetings of the committees on which the director served. </w:t>
      </w:r>
    </w:p>
    <w:p>
      <w:pPr>
        <w:pStyle w:val="TextBody"/>
        <w:bidi w:val="0"/>
        <w:spacing w:before="160" w:after="0"/>
        <w:jc w:val="left"/>
        <w:rPr>
          <w:rFonts w:ascii="ARIAL" w:hAnsi="ARIAL"/>
          <w:sz w:val="18"/>
        </w:rPr>
      </w:pPr>
      <w:r>
        <w:rPr>
          <w:rFonts w:ascii="ARIAL" w:hAnsi="ARIAL"/>
          <w:sz w:val="18"/>
        </w:rPr>
        <w:t xml:space="preserve">Under our Corporate Governance Guidelines, which are available in the “Governance” section of the “Investors” page of our website located at </w:t>
      </w:r>
      <w:r>
        <w:rPr>
          <w:rFonts w:ascii="ARIAL" w:hAnsi="ARIAL"/>
          <w:i/>
          <w:sz w:val="18"/>
        </w:rPr>
        <w:t>www.fortrea.com</w:t>
      </w:r>
      <w:r>
        <w:rPr>
          <w:rFonts w:ascii="ARIAL" w:hAnsi="ARIAL"/>
          <w:sz w:val="18"/>
        </w:rPr>
        <w:t xml:space="preserve">, a director is expected to devote the time necessary to appropriately discharge their responsibilities and to prepare for and, to the extent possible, attend and participate in all meetings of the Board and of Board committees on which they serve. Each director is also expected to attend the annual meeting of stockholders.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20</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color w:val="0BC11C"/>
        </w:rPr>
      </w:pPr>
      <w:r>
        <w:rPr>
          <w:color w:val="0BC11C"/>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40"/>
        </w:rPr>
      </w:pPr>
      <w:bookmarkStart w:id="30" w:name="toc814840_27"/>
      <w:bookmarkEnd w:id="30"/>
      <w:r>
        <w:rPr>
          <w:rFonts w:ascii="Times New Roman" w:hAnsi="Times New Roman"/>
          <w:sz w:val="40"/>
        </w:rPr>
        <w:t xml:space="preserve">Committees of the Board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160" w:after="0"/>
        <w:jc w:val="left"/>
        <w:rPr>
          <w:rFonts w:ascii="ARIAL" w:hAnsi="ARIAL"/>
          <w:sz w:val="18"/>
        </w:rPr>
      </w:pPr>
      <w:r>
        <w:rPr>
          <w:rFonts w:ascii="ARIAL" w:hAnsi="ARIAL"/>
          <w:sz w:val="18"/>
        </w:rPr>
        <w:t xml:space="preserve">Our Board has established three standing committees, Audit, Management Development and Compensation, and Nominating, Corporate Governance and Compliance, each of which operates under a written charter that has been approved by our Board. All of the members of each of the Board’s three standing committees are independent as defined under the Nasdaq rules and any applicable heightened standards required for each committee. Thomas Pike, as our Chairman and Chief Executive Officer, does not serve on any of our standing committees. </w:t>
      </w:r>
    </w:p>
    <w:p>
      <w:pPr>
        <w:pStyle w:val="TextBody"/>
        <w:bidi w:val="0"/>
        <w:spacing w:before="160" w:after="0"/>
        <w:jc w:val="left"/>
        <w:rPr>
          <w:rFonts w:ascii="ARIAL" w:hAnsi="ARIAL"/>
          <w:sz w:val="18"/>
        </w:rPr>
      </w:pPr>
      <w:r>
        <w:rPr>
          <w:rFonts w:ascii="ARIAL" w:hAnsi="ARIAL"/>
          <w:sz w:val="18"/>
        </w:rPr>
        <w:t xml:space="preserve">The current members of each of the Board committees and committee Chairs are set forth in the following chart. </w:t>
      </w:r>
    </w:p>
    <w:p>
      <w:pPr>
        <w:pStyle w:val="TextBody"/>
        <w:bidi w:val="0"/>
        <w:spacing w:before="0" w:after="0"/>
        <w:jc w:val="left"/>
        <w:rPr/>
      </w:pPr>
      <w:r>
        <w:rPr/>
        <w:t> </w:t>
      </w:r>
    </w:p>
    <w:tbl>
      <w:tblPr>
        <w:tblW w:w="8165" w:type="dxa"/>
        <w:jc w:val="left"/>
        <w:tblInd w:w="0" w:type="dxa"/>
        <w:tblLayout w:type="fixed"/>
        <w:tblCellMar>
          <w:top w:w="0" w:type="dxa"/>
          <w:left w:w="0" w:type="dxa"/>
          <w:bottom w:w="0" w:type="dxa"/>
          <w:right w:w="0" w:type="dxa"/>
        </w:tblCellMar>
      </w:tblPr>
      <w:tblGrid>
        <w:gridCol w:w="1490"/>
        <w:gridCol w:w="60"/>
        <w:gridCol w:w="845"/>
        <w:gridCol w:w="60"/>
        <w:gridCol w:w="2990"/>
        <w:gridCol w:w="60"/>
        <w:gridCol w:w="2660"/>
      </w:tblGrid>
      <w:tr>
        <w:trPr/>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0" w:type="dxa"/>
            <w:tcBorders/>
            <w:vAlign w:val="center"/>
          </w:tcPr>
          <w:p>
            <w:pPr>
              <w:pStyle w:val="TableContents"/>
              <w:bidi w:val="0"/>
              <w:spacing w:before="0" w:after="283"/>
              <w:jc w:val="left"/>
              <w:rPr>
                <w:sz w:val="4"/>
                <w:szCs w:val="4"/>
              </w:rPr>
            </w:pPr>
            <w:r>
              <w:rPr>
                <w:sz w:val="4"/>
                <w:szCs w:val="4"/>
              </w:rPr>
            </w:r>
          </w:p>
        </w:tc>
      </w:tr>
      <w:tr>
        <w:trPr/>
        <w:tc>
          <w:tcPr>
            <w:tcW w:w="1490" w:type="dxa"/>
            <w:tcBorders/>
            <w:shd w:fill="0BC11C" w:val="clear"/>
            <w:vAlign w:val="center"/>
          </w:tcPr>
          <w:p>
            <w:pPr>
              <w:pStyle w:val="TableContents"/>
              <w:bidi w:val="0"/>
              <w:spacing w:before="0" w:after="283"/>
              <w:jc w:val="left"/>
              <w:rPr>
                <w:sz w:val="4"/>
                <w:szCs w:val="4"/>
              </w:rPr>
            </w:pPr>
            <w:r>
              <w:rPr>
                <w:sz w:val="4"/>
                <w:szCs w:val="4"/>
              </w:rPr>
            </w:r>
          </w:p>
        </w:tc>
        <w:tc>
          <w:tcPr>
            <w:tcW w:w="905" w:type="dxa"/>
            <w:gridSpan w:val="2"/>
            <w:tcBorders/>
            <w:shd w:fill="0BC11C" w:val="clear"/>
            <w:vAlign w:val="center"/>
          </w:tcPr>
          <w:p>
            <w:pPr>
              <w:pStyle w:val="TableContents"/>
              <w:bidi w:val="0"/>
              <w:spacing w:before="0" w:after="283"/>
              <w:jc w:val="left"/>
              <w:rPr>
                <w:sz w:val="4"/>
                <w:szCs w:val="4"/>
              </w:rPr>
            </w:pPr>
            <w:r>
              <w:rPr>
                <w:sz w:val="4"/>
                <w:szCs w:val="4"/>
              </w:rPr>
            </w:r>
          </w:p>
        </w:tc>
        <w:tc>
          <w:tcPr>
            <w:tcW w:w="3050" w:type="dxa"/>
            <w:gridSpan w:val="2"/>
            <w:tcBorders/>
            <w:shd w:fill="0BC11C" w:val="clear"/>
            <w:vAlign w:val="center"/>
          </w:tcPr>
          <w:p>
            <w:pPr>
              <w:pStyle w:val="TableContents"/>
              <w:bidi w:val="0"/>
              <w:spacing w:before="0" w:after="283"/>
              <w:jc w:val="left"/>
              <w:rPr>
                <w:sz w:val="4"/>
                <w:szCs w:val="4"/>
              </w:rPr>
            </w:pPr>
            <w:r>
              <w:rPr>
                <w:sz w:val="4"/>
                <w:szCs w:val="4"/>
              </w:rPr>
            </w:r>
          </w:p>
        </w:tc>
        <w:tc>
          <w:tcPr>
            <w:tcW w:w="2720" w:type="dxa"/>
            <w:gridSpan w:val="2"/>
            <w:tcBorders/>
            <w:shd w:fill="0BC11C" w:val="clear"/>
            <w:vAlign w:val="center"/>
          </w:tcPr>
          <w:p>
            <w:pPr>
              <w:pStyle w:val="TableContents"/>
              <w:bidi w:val="0"/>
              <w:spacing w:before="0" w:after="283"/>
              <w:jc w:val="left"/>
              <w:rPr>
                <w:sz w:val="4"/>
                <w:szCs w:val="4"/>
              </w:rPr>
            </w:pPr>
            <w:r>
              <w:rPr>
                <w:sz w:val="4"/>
                <w:szCs w:val="4"/>
              </w:rPr>
            </w:r>
          </w:p>
        </w:tc>
      </w:tr>
      <w:tr>
        <w:trPr/>
        <w:tc>
          <w:tcPr>
            <w:tcW w:w="1490" w:type="dxa"/>
            <w:tcBorders/>
            <w:shd w:fill="0BC11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60" w:type="dxa"/>
            <w:tcBorders/>
            <w:shd w:fill="0BC11C" w:val="clear"/>
            <w:vAlign w:val="center"/>
          </w:tcPr>
          <w:p>
            <w:pPr>
              <w:pStyle w:val="TableContents"/>
              <w:bidi w:val="0"/>
              <w:spacing w:before="0" w:after="283"/>
              <w:jc w:val="left"/>
              <w:rPr/>
            </w:pPr>
            <w:r>
              <w:rPr/>
              <w:t> </w:t>
            </w:r>
          </w:p>
        </w:tc>
        <w:tc>
          <w:tcPr>
            <w:tcW w:w="845" w:type="dxa"/>
            <w:tcBorders/>
            <w:shd w:fill="0BC11C" w:val="clear"/>
            <w:vAlign w:val="center"/>
          </w:tcPr>
          <w:p>
            <w:pPr>
              <w:pStyle w:val="TableContents"/>
              <w:bidi w:val="0"/>
              <w:spacing w:before="0" w:after="283"/>
              <w:jc w:val="center"/>
              <w:rPr>
                <w:color w:val="FFFFFF"/>
              </w:rPr>
            </w:pPr>
            <w:r>
              <w:rPr>
                <w:color w:val="FFFFFF"/>
              </w:rPr>
              <w:t> </w:t>
            </w:r>
            <w:r>
              <w:rPr>
                <w:b/>
                <w:color w:val="FFFFFF"/>
              </w:rPr>
              <w:t>Audit </w:t>
            </w:r>
          </w:p>
        </w:tc>
        <w:tc>
          <w:tcPr>
            <w:tcW w:w="60" w:type="dxa"/>
            <w:tcBorders/>
            <w:shd w:fill="0BC11C" w:val="clear"/>
            <w:vAlign w:val="center"/>
          </w:tcPr>
          <w:p>
            <w:pPr>
              <w:pStyle w:val="TableContents"/>
              <w:bidi w:val="0"/>
              <w:spacing w:before="0" w:after="283"/>
              <w:jc w:val="left"/>
              <w:rPr/>
            </w:pPr>
            <w:r>
              <w:rPr/>
              <w:t> </w:t>
            </w:r>
          </w:p>
        </w:tc>
        <w:tc>
          <w:tcPr>
            <w:tcW w:w="2990" w:type="dxa"/>
            <w:tcBorders/>
            <w:shd w:fill="0BC11C" w:val="clear"/>
            <w:vAlign w:val="center"/>
          </w:tcPr>
          <w:p>
            <w:pPr>
              <w:pStyle w:val="TableContents"/>
              <w:bidi w:val="0"/>
              <w:spacing w:before="0" w:after="283"/>
              <w:jc w:val="center"/>
              <w:rPr>
                <w:color w:val="FFFFFF"/>
              </w:rPr>
            </w:pPr>
            <w:r>
              <w:rPr>
                <w:color w:val="FFFFFF"/>
              </w:rPr>
              <w:t> </w:t>
            </w:r>
            <w:r>
              <w:rPr>
                <w:b/>
                <w:color w:val="FFFFFF"/>
              </w:rPr>
              <w:t>Management Development </w:t>
              <w:br/>
              <w:t>and Compensation</w:t>
            </w:r>
          </w:p>
        </w:tc>
        <w:tc>
          <w:tcPr>
            <w:tcW w:w="60" w:type="dxa"/>
            <w:tcBorders/>
            <w:shd w:fill="0BC11C" w:val="clear"/>
            <w:vAlign w:val="center"/>
          </w:tcPr>
          <w:p>
            <w:pPr>
              <w:pStyle w:val="TableContents"/>
              <w:bidi w:val="0"/>
              <w:spacing w:before="0" w:after="283"/>
              <w:jc w:val="left"/>
              <w:rPr/>
            </w:pPr>
            <w:r>
              <w:rPr/>
              <w:t> </w:t>
            </w:r>
          </w:p>
        </w:tc>
        <w:tc>
          <w:tcPr>
            <w:tcW w:w="2660" w:type="dxa"/>
            <w:tcBorders/>
            <w:shd w:fill="0BC11C" w:val="clear"/>
            <w:vAlign w:val="center"/>
          </w:tcPr>
          <w:p>
            <w:pPr>
              <w:pStyle w:val="TableContents"/>
              <w:bidi w:val="0"/>
              <w:spacing w:before="0" w:after="283"/>
              <w:jc w:val="center"/>
              <w:rPr>
                <w:color w:val="FFFFFF"/>
              </w:rPr>
            </w:pPr>
            <w:r>
              <w:rPr>
                <w:color w:val="FFFFFF"/>
              </w:rPr>
              <w:t> </w:t>
            </w:r>
            <w:r>
              <w:rPr>
                <w:b/>
                <w:color w:val="FFFFFF"/>
              </w:rPr>
              <w:t>Nominating, Corporate </w:t>
              <w:br/>
              <w:t>Governance and</w:t>
              <w:br/>
              <w:t>Compliance</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2720" w:type="dxa"/>
            <w:gridSpan w:val="2"/>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8"/>
              </w:rPr>
            </w:pPr>
            <w:r>
              <w:rPr>
                <w:rFonts w:ascii="ARIAL" w:hAnsi="ARIAL"/>
                <w:sz w:val="18"/>
              </w:rPr>
              <w:t>Thomas Pike</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left"/>
              <w:rPr/>
            </w:pPr>
            <w:r>
              <w:rPr/>
              <w:t> </w:t>
            </w:r>
          </w:p>
        </w:tc>
      </w:tr>
      <w:tr>
        <w:trPr/>
        <w:tc>
          <w:tcPr>
            <w:tcW w:w="1490" w:type="dxa"/>
            <w:tcBorders/>
            <w:shd w:fill="EDEDED" w:val="clear"/>
            <w:vAlign w:val="center"/>
          </w:tcPr>
          <w:p>
            <w:pPr>
              <w:pStyle w:val="TableContents"/>
              <w:bidi w:val="0"/>
              <w:spacing w:before="0" w:after="283"/>
              <w:jc w:val="left"/>
              <w:rPr>
                <w:sz w:val="4"/>
                <w:szCs w:val="4"/>
              </w:rPr>
            </w:pPr>
            <w:r>
              <w:rPr>
                <w:sz w:val="4"/>
                <w:szCs w:val="4"/>
              </w:rPr>
            </w:r>
          </w:p>
        </w:tc>
        <w:tc>
          <w:tcPr>
            <w:tcW w:w="905" w:type="dxa"/>
            <w:gridSpan w:val="2"/>
            <w:tcBorders/>
            <w:shd w:fill="EDEDED" w:val="clear"/>
            <w:vAlign w:val="center"/>
          </w:tcPr>
          <w:p>
            <w:pPr>
              <w:pStyle w:val="TableContents"/>
              <w:bidi w:val="0"/>
              <w:spacing w:before="0" w:after="283"/>
              <w:jc w:val="left"/>
              <w:rPr>
                <w:sz w:val="4"/>
                <w:szCs w:val="4"/>
              </w:rPr>
            </w:pPr>
            <w:r>
              <w:rPr>
                <w:sz w:val="4"/>
                <w:szCs w:val="4"/>
              </w:rPr>
            </w:r>
          </w:p>
        </w:tc>
        <w:tc>
          <w:tcPr>
            <w:tcW w:w="3050" w:type="dxa"/>
            <w:gridSpan w:val="2"/>
            <w:tcBorders/>
            <w:shd w:fill="EDEDED" w:val="clear"/>
            <w:vAlign w:val="center"/>
          </w:tcPr>
          <w:p>
            <w:pPr>
              <w:pStyle w:val="TableContents"/>
              <w:bidi w:val="0"/>
              <w:spacing w:before="0" w:after="283"/>
              <w:jc w:val="left"/>
              <w:rPr>
                <w:sz w:val="4"/>
                <w:szCs w:val="4"/>
              </w:rPr>
            </w:pPr>
            <w:r>
              <w:rPr>
                <w:sz w:val="4"/>
                <w:szCs w:val="4"/>
              </w:rPr>
            </w:r>
          </w:p>
        </w:tc>
        <w:tc>
          <w:tcPr>
            <w:tcW w:w="2720"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490" w:type="dxa"/>
            <w:tcBorders/>
            <w:shd w:fill="EDEDED" w:val="clear"/>
            <w:vAlign w:val="center"/>
          </w:tcPr>
          <w:p>
            <w:pPr>
              <w:pStyle w:val="TableContents"/>
              <w:bidi w:val="0"/>
              <w:spacing w:before="0" w:after="0"/>
              <w:jc w:val="left"/>
              <w:rPr>
                <w:rFonts w:ascii="ARIAL" w:hAnsi="ARIAL"/>
                <w:sz w:val="18"/>
              </w:rPr>
            </w:pPr>
            <w:r>
              <w:rPr>
                <w:rFonts w:ascii="ARIAL" w:hAnsi="ARIAL"/>
                <w:sz w:val="18"/>
              </w:rPr>
              <w:t>R. Andrew Eckert</w:t>
            </w:r>
          </w:p>
        </w:tc>
        <w:tc>
          <w:tcPr>
            <w:tcW w:w="60" w:type="dxa"/>
            <w:tcBorders/>
            <w:shd w:fill="EDEDED" w:val="clear"/>
            <w:vAlign w:val="center"/>
          </w:tcPr>
          <w:p>
            <w:pPr>
              <w:pStyle w:val="TableContents"/>
              <w:bidi w:val="0"/>
              <w:spacing w:before="0" w:after="283"/>
              <w:jc w:val="left"/>
              <w:rPr/>
            </w:pPr>
            <w:r>
              <w:rPr/>
              <w:t> </w:t>
            </w:r>
          </w:p>
        </w:tc>
        <w:tc>
          <w:tcPr>
            <w:tcW w:w="845"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990" w:type="dxa"/>
            <w:tcBorders/>
            <w:shd w:fill="EDEDED" w:val="clear"/>
            <w:vAlign w:val="center"/>
          </w:tcPr>
          <w:p>
            <w:pPr>
              <w:pStyle w:val="TableContents"/>
              <w:bidi w:val="0"/>
              <w:spacing w:before="0" w:after="283"/>
              <w:jc w:val="center"/>
              <w:rPr/>
            </w:pPr>
            <w:r>
              <w:rPr/>
              <w:t>Chair</w:t>
            </w:r>
          </w:p>
        </w:tc>
        <w:tc>
          <w:tcPr>
            <w:tcW w:w="60" w:type="dxa"/>
            <w:tcBorders/>
            <w:shd w:fill="EDEDED" w:val="clear"/>
            <w:vAlign w:val="center"/>
          </w:tcPr>
          <w:p>
            <w:pPr>
              <w:pStyle w:val="TableContents"/>
              <w:bidi w:val="0"/>
              <w:spacing w:before="0" w:after="283"/>
              <w:jc w:val="left"/>
              <w:rPr/>
            </w:pPr>
            <w:r>
              <w:rPr/>
              <w:t> </w:t>
            </w:r>
          </w:p>
        </w:tc>
        <w:tc>
          <w:tcPr>
            <w:tcW w:w="2660" w:type="dxa"/>
            <w:tcBorders/>
            <w:shd w:fill="EDEDED" w:val="clear"/>
            <w:vAlign w:val="center"/>
          </w:tcPr>
          <w:p>
            <w:pPr>
              <w:pStyle w:val="TableContents"/>
              <w:bidi w:val="0"/>
              <w:spacing w:before="0" w:after="283"/>
              <w:jc w:val="center"/>
              <w:rPr/>
            </w:pPr>
            <w:r>
              <w:rPr/>
              <w:t>X</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2720" w:type="dxa"/>
            <w:gridSpan w:val="2"/>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8"/>
              </w:rPr>
            </w:pPr>
            <w:r>
              <w:rPr>
                <w:rFonts w:ascii="ARIAL" w:hAnsi="ARIAL"/>
                <w:sz w:val="18"/>
              </w:rPr>
              <w:t>Betty Larson</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center"/>
              <w:rPr/>
            </w:pPr>
            <w:r>
              <w:rPr/>
              <w:t>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283"/>
              <w:jc w:val="center"/>
              <w:rPr/>
            </w:pPr>
            <w:r>
              <w:rPr/>
              <w:t>X</w:t>
            </w:r>
          </w:p>
        </w:tc>
      </w:tr>
      <w:tr>
        <w:trPr/>
        <w:tc>
          <w:tcPr>
            <w:tcW w:w="1490" w:type="dxa"/>
            <w:tcBorders/>
            <w:shd w:fill="EDEDED" w:val="clear"/>
            <w:vAlign w:val="center"/>
          </w:tcPr>
          <w:p>
            <w:pPr>
              <w:pStyle w:val="TableContents"/>
              <w:bidi w:val="0"/>
              <w:spacing w:before="0" w:after="283"/>
              <w:jc w:val="left"/>
              <w:rPr>
                <w:sz w:val="4"/>
                <w:szCs w:val="4"/>
              </w:rPr>
            </w:pPr>
            <w:r>
              <w:rPr>
                <w:sz w:val="4"/>
                <w:szCs w:val="4"/>
              </w:rPr>
            </w:r>
          </w:p>
        </w:tc>
        <w:tc>
          <w:tcPr>
            <w:tcW w:w="905" w:type="dxa"/>
            <w:gridSpan w:val="2"/>
            <w:tcBorders/>
            <w:shd w:fill="EDEDED" w:val="clear"/>
            <w:vAlign w:val="center"/>
          </w:tcPr>
          <w:p>
            <w:pPr>
              <w:pStyle w:val="TableContents"/>
              <w:bidi w:val="0"/>
              <w:spacing w:before="0" w:after="283"/>
              <w:jc w:val="left"/>
              <w:rPr>
                <w:sz w:val="4"/>
                <w:szCs w:val="4"/>
              </w:rPr>
            </w:pPr>
            <w:r>
              <w:rPr>
                <w:sz w:val="4"/>
                <w:szCs w:val="4"/>
              </w:rPr>
            </w:r>
          </w:p>
        </w:tc>
        <w:tc>
          <w:tcPr>
            <w:tcW w:w="3050" w:type="dxa"/>
            <w:gridSpan w:val="2"/>
            <w:tcBorders/>
            <w:shd w:fill="EDEDED" w:val="clear"/>
            <w:vAlign w:val="center"/>
          </w:tcPr>
          <w:p>
            <w:pPr>
              <w:pStyle w:val="TableContents"/>
              <w:bidi w:val="0"/>
              <w:spacing w:before="0" w:after="283"/>
              <w:jc w:val="left"/>
              <w:rPr>
                <w:sz w:val="4"/>
                <w:szCs w:val="4"/>
              </w:rPr>
            </w:pPr>
            <w:r>
              <w:rPr>
                <w:sz w:val="4"/>
                <w:szCs w:val="4"/>
              </w:rPr>
            </w:r>
          </w:p>
        </w:tc>
        <w:tc>
          <w:tcPr>
            <w:tcW w:w="2720"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490" w:type="dxa"/>
            <w:tcBorders/>
            <w:shd w:fill="EDEDED" w:val="clear"/>
            <w:vAlign w:val="center"/>
          </w:tcPr>
          <w:p>
            <w:pPr>
              <w:pStyle w:val="TableContents"/>
              <w:bidi w:val="0"/>
              <w:spacing w:before="0" w:after="0"/>
              <w:jc w:val="left"/>
              <w:rPr>
                <w:rFonts w:ascii="ARIAL" w:hAnsi="ARIAL"/>
                <w:sz w:val="18"/>
              </w:rPr>
            </w:pPr>
            <w:r>
              <w:rPr>
                <w:rFonts w:ascii="ARIAL" w:hAnsi="ARIAL"/>
                <w:sz w:val="18"/>
              </w:rPr>
              <w:t>Peter M. Neupert*</w:t>
            </w:r>
          </w:p>
        </w:tc>
        <w:tc>
          <w:tcPr>
            <w:tcW w:w="60" w:type="dxa"/>
            <w:tcBorders/>
            <w:shd w:fill="EDEDED" w:val="clear"/>
            <w:vAlign w:val="center"/>
          </w:tcPr>
          <w:p>
            <w:pPr>
              <w:pStyle w:val="TableContents"/>
              <w:bidi w:val="0"/>
              <w:spacing w:before="0" w:after="283"/>
              <w:jc w:val="left"/>
              <w:rPr/>
            </w:pPr>
            <w:r>
              <w:rPr/>
              <w:t> </w:t>
            </w:r>
          </w:p>
        </w:tc>
        <w:tc>
          <w:tcPr>
            <w:tcW w:w="845" w:type="dxa"/>
            <w:tcBorders/>
            <w:shd w:fill="EDEDED" w:val="clear"/>
            <w:vAlign w:val="center"/>
          </w:tcPr>
          <w:p>
            <w:pPr>
              <w:pStyle w:val="TableContents"/>
              <w:bidi w:val="0"/>
              <w:spacing w:before="0" w:after="283"/>
              <w:jc w:val="center"/>
              <w:rPr/>
            </w:pPr>
            <w:r>
              <w:rPr/>
              <w:t>X</w:t>
            </w:r>
          </w:p>
        </w:tc>
        <w:tc>
          <w:tcPr>
            <w:tcW w:w="60" w:type="dxa"/>
            <w:tcBorders/>
            <w:shd w:fill="EDEDED" w:val="clear"/>
            <w:vAlign w:val="center"/>
          </w:tcPr>
          <w:p>
            <w:pPr>
              <w:pStyle w:val="TableContents"/>
              <w:bidi w:val="0"/>
              <w:spacing w:before="0" w:after="283"/>
              <w:jc w:val="left"/>
              <w:rPr/>
            </w:pPr>
            <w:r>
              <w:rPr/>
              <w:t> </w:t>
            </w:r>
          </w:p>
        </w:tc>
        <w:tc>
          <w:tcPr>
            <w:tcW w:w="299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660" w:type="dxa"/>
            <w:tcBorders/>
            <w:shd w:fill="EDEDED" w:val="clear"/>
            <w:vAlign w:val="center"/>
          </w:tcPr>
          <w:p>
            <w:pPr>
              <w:pStyle w:val="TableContents"/>
              <w:bidi w:val="0"/>
              <w:spacing w:before="0" w:after="283"/>
              <w:jc w:val="center"/>
              <w:rPr/>
            </w:pPr>
            <w:r>
              <w:rPr/>
              <w:t>Chair</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2720" w:type="dxa"/>
            <w:gridSpan w:val="2"/>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8"/>
              </w:rPr>
            </w:pPr>
            <w:r>
              <w:rPr>
                <w:rFonts w:ascii="ARIAL" w:hAnsi="ARIAL"/>
                <w:sz w:val="18"/>
              </w:rPr>
              <w:t>Edward Pesicka*</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X</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center"/>
              <w:rPr/>
            </w:pPr>
            <w:r>
              <w:rPr/>
              <w:t>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left"/>
              <w:rPr/>
            </w:pPr>
            <w:r>
              <w:rPr/>
              <w:t> </w:t>
            </w:r>
          </w:p>
        </w:tc>
      </w:tr>
      <w:tr>
        <w:trPr/>
        <w:tc>
          <w:tcPr>
            <w:tcW w:w="1490" w:type="dxa"/>
            <w:tcBorders/>
            <w:shd w:fill="EDEDED" w:val="clear"/>
            <w:vAlign w:val="center"/>
          </w:tcPr>
          <w:p>
            <w:pPr>
              <w:pStyle w:val="TableContents"/>
              <w:bidi w:val="0"/>
              <w:spacing w:before="0" w:after="283"/>
              <w:jc w:val="left"/>
              <w:rPr>
                <w:sz w:val="4"/>
                <w:szCs w:val="4"/>
              </w:rPr>
            </w:pPr>
            <w:r>
              <w:rPr>
                <w:sz w:val="4"/>
                <w:szCs w:val="4"/>
              </w:rPr>
            </w:r>
          </w:p>
        </w:tc>
        <w:tc>
          <w:tcPr>
            <w:tcW w:w="905" w:type="dxa"/>
            <w:gridSpan w:val="2"/>
            <w:tcBorders/>
            <w:shd w:fill="EDEDED" w:val="clear"/>
            <w:vAlign w:val="center"/>
          </w:tcPr>
          <w:p>
            <w:pPr>
              <w:pStyle w:val="TableContents"/>
              <w:bidi w:val="0"/>
              <w:spacing w:before="0" w:after="283"/>
              <w:jc w:val="left"/>
              <w:rPr>
                <w:sz w:val="4"/>
                <w:szCs w:val="4"/>
              </w:rPr>
            </w:pPr>
            <w:r>
              <w:rPr>
                <w:sz w:val="4"/>
                <w:szCs w:val="4"/>
              </w:rPr>
            </w:r>
          </w:p>
        </w:tc>
        <w:tc>
          <w:tcPr>
            <w:tcW w:w="3050" w:type="dxa"/>
            <w:gridSpan w:val="2"/>
            <w:tcBorders/>
            <w:shd w:fill="EDEDED" w:val="clear"/>
            <w:vAlign w:val="center"/>
          </w:tcPr>
          <w:p>
            <w:pPr>
              <w:pStyle w:val="TableContents"/>
              <w:bidi w:val="0"/>
              <w:spacing w:before="0" w:after="283"/>
              <w:jc w:val="left"/>
              <w:rPr>
                <w:sz w:val="4"/>
                <w:szCs w:val="4"/>
              </w:rPr>
            </w:pPr>
            <w:r>
              <w:rPr>
                <w:sz w:val="4"/>
                <w:szCs w:val="4"/>
              </w:rPr>
            </w:r>
          </w:p>
        </w:tc>
        <w:tc>
          <w:tcPr>
            <w:tcW w:w="2720"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1490" w:type="dxa"/>
            <w:tcBorders/>
            <w:shd w:fill="EDEDED" w:val="clear"/>
            <w:vAlign w:val="center"/>
          </w:tcPr>
          <w:p>
            <w:pPr>
              <w:pStyle w:val="TableContents"/>
              <w:bidi w:val="0"/>
              <w:spacing w:before="0" w:after="0"/>
              <w:jc w:val="left"/>
              <w:rPr>
                <w:rFonts w:ascii="ARIAL" w:hAnsi="ARIAL"/>
                <w:sz w:val="18"/>
              </w:rPr>
            </w:pPr>
            <w:r>
              <w:rPr>
                <w:rFonts w:ascii="ARIAL" w:hAnsi="ARIAL"/>
                <w:sz w:val="18"/>
              </w:rPr>
              <w:t>Dr. Amrit Ray</w:t>
            </w:r>
          </w:p>
        </w:tc>
        <w:tc>
          <w:tcPr>
            <w:tcW w:w="60" w:type="dxa"/>
            <w:tcBorders/>
            <w:shd w:fill="EDEDED" w:val="clear"/>
            <w:vAlign w:val="center"/>
          </w:tcPr>
          <w:p>
            <w:pPr>
              <w:pStyle w:val="TableContents"/>
              <w:bidi w:val="0"/>
              <w:spacing w:before="0" w:after="283"/>
              <w:jc w:val="left"/>
              <w:rPr/>
            </w:pPr>
            <w:r>
              <w:rPr/>
              <w:t> </w:t>
            </w:r>
          </w:p>
        </w:tc>
        <w:tc>
          <w:tcPr>
            <w:tcW w:w="845" w:type="dxa"/>
            <w:tcBorders/>
            <w:shd w:fill="EDEDED" w:val="clear"/>
            <w:vAlign w:val="center"/>
          </w:tcPr>
          <w:p>
            <w:pPr>
              <w:pStyle w:val="TableContents"/>
              <w:bidi w:val="0"/>
              <w:spacing w:before="0" w:after="283"/>
              <w:jc w:val="center"/>
              <w:rPr/>
            </w:pPr>
            <w:r>
              <w:rPr/>
              <w:t>X</w:t>
            </w:r>
          </w:p>
        </w:tc>
        <w:tc>
          <w:tcPr>
            <w:tcW w:w="60" w:type="dxa"/>
            <w:tcBorders/>
            <w:shd w:fill="EDEDED" w:val="clear"/>
            <w:vAlign w:val="center"/>
          </w:tcPr>
          <w:p>
            <w:pPr>
              <w:pStyle w:val="TableContents"/>
              <w:bidi w:val="0"/>
              <w:spacing w:before="0" w:after="283"/>
              <w:jc w:val="left"/>
              <w:rPr/>
            </w:pPr>
            <w:r>
              <w:rPr/>
              <w:t> </w:t>
            </w:r>
          </w:p>
        </w:tc>
        <w:tc>
          <w:tcPr>
            <w:tcW w:w="299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660" w:type="dxa"/>
            <w:tcBorders/>
            <w:shd w:fill="EDEDED" w:val="clear"/>
            <w:vAlign w:val="center"/>
          </w:tcPr>
          <w:p>
            <w:pPr>
              <w:pStyle w:val="TableContents"/>
              <w:bidi w:val="0"/>
              <w:spacing w:before="0" w:after="283"/>
              <w:jc w:val="center"/>
              <w:rPr/>
            </w:pPr>
            <w:r>
              <w:rPr/>
              <w:t>X</w:t>
            </w:r>
          </w:p>
        </w:tc>
      </w:tr>
      <w:tr>
        <w:trPr/>
        <w:tc>
          <w:tcPr>
            <w:tcW w:w="1490" w:type="dxa"/>
            <w:tcBorders/>
            <w:vAlign w:val="center"/>
          </w:tcPr>
          <w:p>
            <w:pPr>
              <w:pStyle w:val="TableContents"/>
              <w:bidi w:val="0"/>
              <w:spacing w:before="0" w:after="283"/>
              <w:jc w:val="left"/>
              <w:rPr>
                <w:sz w:val="4"/>
                <w:szCs w:val="4"/>
              </w:rPr>
            </w:pPr>
            <w:r>
              <w:rPr>
                <w:sz w:val="4"/>
                <w:szCs w:val="4"/>
              </w:rPr>
            </w:r>
          </w:p>
        </w:tc>
        <w:tc>
          <w:tcPr>
            <w:tcW w:w="905" w:type="dxa"/>
            <w:gridSpan w:val="2"/>
            <w:tcBorders/>
            <w:vAlign w:val="center"/>
          </w:tcPr>
          <w:p>
            <w:pPr>
              <w:pStyle w:val="TableContents"/>
              <w:bidi w:val="0"/>
              <w:spacing w:before="0" w:after="283"/>
              <w:jc w:val="left"/>
              <w:rPr>
                <w:sz w:val="4"/>
                <w:szCs w:val="4"/>
              </w:rPr>
            </w:pPr>
            <w:r>
              <w:rPr>
                <w:sz w:val="4"/>
                <w:szCs w:val="4"/>
              </w:rPr>
            </w:r>
          </w:p>
        </w:tc>
        <w:tc>
          <w:tcPr>
            <w:tcW w:w="3050" w:type="dxa"/>
            <w:gridSpan w:val="2"/>
            <w:tcBorders/>
            <w:vAlign w:val="center"/>
          </w:tcPr>
          <w:p>
            <w:pPr>
              <w:pStyle w:val="TableContents"/>
              <w:bidi w:val="0"/>
              <w:spacing w:before="0" w:after="283"/>
              <w:jc w:val="left"/>
              <w:rPr>
                <w:sz w:val="4"/>
                <w:szCs w:val="4"/>
              </w:rPr>
            </w:pPr>
            <w:r>
              <w:rPr>
                <w:sz w:val="4"/>
                <w:szCs w:val="4"/>
              </w:rPr>
            </w:r>
          </w:p>
        </w:tc>
        <w:tc>
          <w:tcPr>
            <w:tcW w:w="2720" w:type="dxa"/>
            <w:gridSpan w:val="2"/>
            <w:tcBorders/>
            <w:vAlign w:val="center"/>
          </w:tcPr>
          <w:p>
            <w:pPr>
              <w:pStyle w:val="TableContents"/>
              <w:bidi w:val="0"/>
              <w:spacing w:before="0" w:after="283"/>
              <w:jc w:val="left"/>
              <w:rPr>
                <w:sz w:val="4"/>
                <w:szCs w:val="4"/>
              </w:rPr>
            </w:pPr>
            <w:r>
              <w:rPr>
                <w:sz w:val="4"/>
                <w:szCs w:val="4"/>
              </w:rPr>
            </w:r>
          </w:p>
        </w:tc>
      </w:tr>
      <w:tr>
        <w:trPr/>
        <w:tc>
          <w:tcPr>
            <w:tcW w:w="1490" w:type="dxa"/>
            <w:tcBorders/>
            <w:vAlign w:val="center"/>
          </w:tcPr>
          <w:p>
            <w:pPr>
              <w:pStyle w:val="TableContents"/>
              <w:bidi w:val="0"/>
              <w:spacing w:before="0" w:after="0"/>
              <w:jc w:val="left"/>
              <w:rPr>
                <w:rFonts w:ascii="ARIAL" w:hAnsi="ARIAL"/>
                <w:sz w:val="18"/>
              </w:rPr>
            </w:pPr>
            <w:r>
              <w:rPr>
                <w:rFonts w:ascii="ARIAL" w:hAnsi="ARIAL"/>
                <w:sz w:val="18"/>
              </w:rPr>
              <w:t>David Smith*</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Chair</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283"/>
              <w:jc w:val="center"/>
              <w:rPr/>
            </w:pPr>
            <w:r>
              <w:rPr/>
              <w:t>X</w:t>
            </w:r>
          </w:p>
        </w:tc>
        <w:tc>
          <w:tcPr>
            <w:tcW w:w="60" w:type="dxa"/>
            <w:tcBorders/>
            <w:vAlign w:val="center"/>
          </w:tcPr>
          <w:p>
            <w:pPr>
              <w:pStyle w:val="TableContents"/>
              <w:bidi w:val="0"/>
              <w:spacing w:before="0" w:after="283"/>
              <w:jc w:val="left"/>
              <w:rPr/>
            </w:pPr>
            <w:r>
              <w:rPr/>
              <w:t> </w:t>
            </w:r>
          </w:p>
        </w:tc>
        <w:tc>
          <w:tcPr>
            <w:tcW w:w="2660" w:type="dxa"/>
            <w:tcBorders/>
            <w:vAlign w:val="center"/>
          </w:tcPr>
          <w:p>
            <w:pPr>
              <w:pStyle w:val="TableContents"/>
              <w:bidi w:val="0"/>
              <w:spacing w:before="0" w:after="0"/>
              <w:jc w:val="left"/>
              <w:rPr/>
            </w:pPr>
            <w:r>
              <w:rPr/>
              <w:t> </w:t>
            </w:r>
          </w:p>
        </w:tc>
      </w:tr>
    </w:tbl>
    <w:p>
      <w:pPr>
        <w:pStyle w:val="TextBody"/>
        <w:bidi w:val="0"/>
        <w:spacing w:before="160" w:after="0"/>
        <w:jc w:val="left"/>
        <w:rPr>
          <w:rFonts w:ascii="ARIAL" w:hAnsi="ARIAL"/>
          <w:sz w:val="18"/>
        </w:rPr>
      </w:pPr>
      <w:r>
        <w:rPr>
          <w:rFonts w:ascii="ARIAL" w:hAnsi="ARIAL"/>
          <w:sz w:val="18"/>
        </w:rPr>
        <w:t xml:space="preserve">*The Board of Directors has determined that Mr. Smith, Mr. Pesicka, and Mr. Neupert are each an “audit committee financial expert” as defined under the SEC rules and regulations. </w:t>
      </w:r>
    </w:p>
    <w:p>
      <w:pPr>
        <w:pStyle w:val="TextBody"/>
        <w:bidi w:val="0"/>
        <w:spacing w:before="360" w:after="0"/>
        <w:jc w:val="left"/>
        <w:rPr>
          <w:rFonts w:ascii="ARIAL" w:hAnsi="ARIAL"/>
          <w:b/>
          <w:sz w:val="20"/>
        </w:rPr>
      </w:pPr>
      <w:bookmarkStart w:id="31" w:name="toc814840_28"/>
      <w:bookmarkEnd w:id="31"/>
      <w:r>
        <w:rPr>
          <w:rFonts w:ascii="ARIAL" w:hAnsi="ARIAL"/>
          <w:b/>
          <w:sz w:val="20"/>
        </w:rPr>
        <w:t xml:space="preserve">Audit Committee </w:t>
      </w:r>
    </w:p>
    <w:p>
      <w:pPr>
        <w:pStyle w:val="TextBody"/>
        <w:bidi w:val="0"/>
        <w:spacing w:before="160" w:after="0"/>
        <w:jc w:val="left"/>
        <w:rPr>
          <w:rFonts w:ascii="ARIAL" w:hAnsi="ARIAL"/>
          <w:sz w:val="18"/>
        </w:rPr>
      </w:pPr>
      <w:r>
        <w:rPr>
          <w:rFonts w:ascii="ARIAL" w:hAnsi="ARIAL"/>
          <w:sz w:val="18"/>
        </w:rPr>
        <w:t xml:space="preserve">The purpose of our Audit Committee is to assist the Board in its oversight of our accounting and financial reporting processes and the audit of our financial statements, the integrity of our financial statements, compliance with legal and regulatory requirements, the independence and qualifications of the independent auditor, the performance of our internal audit function and independent auditor, and other activities typical of an audit committee. The Audit Committee’s role also includes oversight as it relates to enterprise risk management and cybersecurity risk. In fulfilling its purpose, our Audit Committee has the following principal duties: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selecting, compensating, and overseeing the independent auditors of the Company, and discharging or replacing the independent auditors;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reviewing the annual audited financial statements with management and the independent auditors, including (a) major issues regarding accounting and auditing principles and practices, (b) our disclosures under “Management’s Discussion and Analysis of Results of Operations and Financial Condition,” and (c) the adequacy of internal controls that could significantly affect the Company’s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reviewing analyses and reports prepared by management and the independent auditors of significant financial reporting issues and judgments and critical accounting policies and practices;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reviewing with management and the independent auditors our quarterly financial statements and our disclosures and recommending to the Board that the audited financial statements be included in our annual report on Form 10-K (the “Form 10-K”) and whether the Form 10-K should be filed with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reviewing all related party transactions in accordance with our Related Party Transactions Policy, Nasdaq listing rules and SEC rules;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meeting periodically with management, internal audit staff, and the independent auditors to review and discuss our major financial risk exposures;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reviewing major changes to our auditing and accounting principles and practices as suggested by the independent auditors, the internal audit department or management;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21</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COMMITTEES OF THE BOARD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receiving periodic reports, at least annually, from the independent auditors regarding the auditors’ independence; the independent auditors’ internal quality control procedures; any material issues raised by the most recent internal quality control review, or peer review, of the firm, or by any inquiry or investigation by governmental or professional authorities; </w:t>
            </w:r>
          </w:p>
        </w:tc>
      </w:tr>
    </w:tbl>
    <w:p>
      <w:pPr>
        <w:pStyle w:val="TextBody"/>
        <w:bidi w:val="0"/>
        <w:spacing w:before="0" w:after="0"/>
        <w:jc w:val="left"/>
        <w:rPr/>
      </w:pPr>
      <w:r>
        <w:rPr/>
        <w:t> </w:t>
      </w:r>
    </w:p>
    <w:tbl>
      <w:tblPr>
        <w:tblW w:w="6970" w:type="dxa"/>
        <w:jc w:val="left"/>
        <w:tblInd w:w="0" w:type="dxa"/>
        <w:tblLayout w:type="fixed"/>
        <w:tblCellMar>
          <w:top w:w="0" w:type="dxa"/>
          <w:left w:w="0" w:type="dxa"/>
          <w:bottom w:w="0" w:type="dxa"/>
          <w:right w:w="0" w:type="dxa"/>
        </w:tblCellMar>
      </w:tblPr>
      <w:tblGrid>
        <w:gridCol w:w="125"/>
        <w:gridCol w:w="60"/>
        <w:gridCol w:w="678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785" w:type="dxa"/>
            <w:tcBorders/>
            <w:vAlign w:val="center"/>
          </w:tcPr>
          <w:p>
            <w:pPr>
              <w:pStyle w:val="TableContents"/>
              <w:bidi w:val="0"/>
              <w:spacing w:before="0" w:after="0"/>
              <w:jc w:val="left"/>
              <w:rPr>
                <w:rFonts w:ascii="ARIAL" w:hAnsi="ARIAL"/>
                <w:sz w:val="18"/>
              </w:rPr>
            </w:pPr>
            <w:r>
              <w:rPr>
                <w:rFonts w:ascii="ARIAL" w:hAnsi="ARIAL"/>
                <w:sz w:val="18"/>
              </w:rPr>
              <w:t xml:space="preserve">approving a risk-based internal audit plan and any significant changes to that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establishing procedures for the receipt, retention, and treatment of complaints received by the Company regarding accounting, internal accounting controls or auditing matters and the confidential, anonymous submission by employees of the Company of concerns regarding questionable accounting or auditing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reviewing and reassessing the adequacy of the Audit Committee’s charter annually and recommending any proposed changes to the Board for approval; </w:t>
            </w:r>
          </w:p>
        </w:tc>
      </w:tr>
    </w:tbl>
    <w:p>
      <w:pPr>
        <w:pStyle w:val="TextBody"/>
        <w:bidi w:val="0"/>
        <w:spacing w:before="0" w:after="0"/>
        <w:jc w:val="left"/>
        <w:rPr/>
      </w:pPr>
      <w:r>
        <w:rPr/>
        <w:t> </w:t>
      </w:r>
    </w:p>
    <w:tbl>
      <w:tblPr>
        <w:tblW w:w="8935" w:type="dxa"/>
        <w:jc w:val="left"/>
        <w:tblInd w:w="0" w:type="dxa"/>
        <w:tblLayout w:type="fixed"/>
        <w:tblCellMar>
          <w:top w:w="0" w:type="dxa"/>
          <w:left w:w="0" w:type="dxa"/>
          <w:bottom w:w="0" w:type="dxa"/>
          <w:right w:w="0" w:type="dxa"/>
        </w:tblCellMar>
      </w:tblPr>
      <w:tblGrid>
        <w:gridCol w:w="125"/>
        <w:gridCol w:w="60"/>
        <w:gridCol w:w="875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left"/>
              <w:rPr>
                <w:rFonts w:ascii="ARIAL" w:hAnsi="ARIAL"/>
                <w:sz w:val="18"/>
              </w:rPr>
            </w:pPr>
            <w:r>
              <w:rPr>
                <w:rFonts w:ascii="ARIAL" w:hAnsi="ARIAL"/>
                <w:sz w:val="18"/>
              </w:rPr>
              <w:t xml:space="preserve">regularly reviewing our cybersecurity and other information technology risks, controls and procedures,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reviewing and approving the decision to enter into swap transactions that are exempt from the initial and variation margin and clearing requirements under the Commodity Exchange Act (as amended) and the regulations promulgated thereunder. </w:t>
            </w:r>
          </w:p>
        </w:tc>
      </w:tr>
    </w:tbl>
    <w:p>
      <w:pPr>
        <w:pStyle w:val="TextBody"/>
        <w:bidi w:val="0"/>
        <w:spacing w:before="160" w:after="0"/>
        <w:jc w:val="left"/>
        <w:rPr>
          <w:rFonts w:ascii="ARIAL" w:hAnsi="ARIAL"/>
          <w:sz w:val="18"/>
        </w:rPr>
      </w:pPr>
      <w:r>
        <w:rPr>
          <w:rFonts w:ascii="ARIAL" w:hAnsi="ARIAL"/>
          <w:sz w:val="18"/>
        </w:rPr>
        <w:t xml:space="preserve">The Audit Committee charter is available in the “Governance” section of the “Investors” page of our website located at </w:t>
      </w:r>
      <w:r>
        <w:rPr>
          <w:rFonts w:ascii="ARIAL" w:hAnsi="ARIAL"/>
          <w:i/>
          <w:sz w:val="18"/>
        </w:rPr>
        <w:t>www.fortrea.com</w:t>
      </w:r>
      <w:r>
        <w:rPr>
          <w:rFonts w:ascii="ARIAL" w:hAnsi="ARIAL"/>
          <w:sz w:val="18"/>
        </w:rPr>
        <w:t xml:space="preserve">. As of March 28, 2024, the members of the Audit Committee are Mr. Neupert, Mr. Pesicka, Dr. Ray, and Mr. Smith, all of whom meet the independence requirements under Rule 10A-3 promulgated under the Exchange Act, and the rules of Nasdaq, including those related to Audit Committee membership. Mr. Smith serves as the Chair of the Audit Committee. The members of our Audit Committee meet the requirements for financial literacy under the applicable rules of Nasdaq. Our Board has determined that each of Mr. Smith, Mr. Pesicka, and Mr. Neupert is an “audit committee financial expert” as defined by Item 407(d)(5)(ii) of Regulation S-K. </w:t>
      </w:r>
    </w:p>
    <w:p>
      <w:pPr>
        <w:pStyle w:val="TextBody"/>
        <w:bidi w:val="0"/>
        <w:spacing w:before="160" w:after="0"/>
        <w:jc w:val="left"/>
        <w:rPr>
          <w:rFonts w:ascii="ARIAL" w:hAnsi="ARIAL"/>
          <w:sz w:val="18"/>
        </w:rPr>
      </w:pPr>
      <w:r>
        <w:rPr>
          <w:rFonts w:ascii="ARIAL" w:hAnsi="ARIAL"/>
          <w:sz w:val="18"/>
        </w:rPr>
        <w:t xml:space="preserve">The Audit Committee met five (5) times in 2023, and each member of the Audit Committee attended all of the meetings. </w:t>
      </w:r>
    </w:p>
    <w:p>
      <w:pPr>
        <w:pStyle w:val="TextBody"/>
        <w:bidi w:val="0"/>
        <w:spacing w:before="360" w:after="0"/>
        <w:jc w:val="left"/>
        <w:rPr>
          <w:rFonts w:ascii="ARIAL" w:hAnsi="ARIAL"/>
          <w:b/>
          <w:sz w:val="20"/>
        </w:rPr>
      </w:pPr>
      <w:bookmarkStart w:id="32" w:name="toc814840_29"/>
      <w:bookmarkEnd w:id="32"/>
      <w:r>
        <w:rPr>
          <w:rFonts w:ascii="ARIAL" w:hAnsi="ARIAL"/>
          <w:b/>
          <w:sz w:val="20"/>
        </w:rPr>
        <w:t xml:space="preserve">Management Development and Compensation Committee </w:t>
      </w:r>
    </w:p>
    <w:p>
      <w:pPr>
        <w:pStyle w:val="TextBody"/>
        <w:bidi w:val="0"/>
        <w:spacing w:before="160" w:after="0"/>
        <w:jc w:val="left"/>
        <w:rPr>
          <w:rFonts w:ascii="ARIAL" w:hAnsi="ARIAL"/>
          <w:sz w:val="18"/>
        </w:rPr>
      </w:pPr>
      <w:r>
        <w:rPr>
          <w:rFonts w:ascii="ARIAL" w:hAnsi="ARIAL"/>
          <w:sz w:val="18"/>
        </w:rPr>
        <w:t xml:space="preserve">The purpose of our Management Development and Compensation Committee is to assist the Board in the discharge of its responsibilities relating to the compensation of our executive officers, to consider, recommend, administer and implement our incentive compensation plans and equity-based plans, and to oversee strategies relating to culture and human capital leadership. In fulfilling its purpose, our Management Development and Compensation Committee has the following principal duties: </w:t>
      </w:r>
    </w:p>
    <w:p>
      <w:pPr>
        <w:pStyle w:val="TextBody"/>
        <w:bidi w:val="0"/>
        <w:spacing w:before="0" w:after="0"/>
        <w:jc w:val="left"/>
        <w:rPr/>
      </w:pPr>
      <w:r>
        <w:rPr/>
        <w:t> </w:t>
      </w:r>
    </w:p>
    <w:tbl>
      <w:tblPr>
        <w:tblW w:w="9715" w:type="dxa"/>
        <w:jc w:val="left"/>
        <w:tblInd w:w="0" w:type="dxa"/>
        <w:tblLayout w:type="fixed"/>
        <w:tblCellMar>
          <w:top w:w="0" w:type="dxa"/>
          <w:left w:w="0" w:type="dxa"/>
          <w:bottom w:w="0" w:type="dxa"/>
          <w:right w:w="0" w:type="dxa"/>
        </w:tblCellMar>
      </w:tblPr>
      <w:tblGrid>
        <w:gridCol w:w="125"/>
        <w:gridCol w:w="60"/>
        <w:gridCol w:w="95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30" w:type="dxa"/>
            <w:tcBorders/>
            <w:vAlign w:val="center"/>
          </w:tcPr>
          <w:p>
            <w:pPr>
              <w:pStyle w:val="TableContents"/>
              <w:bidi w:val="0"/>
              <w:spacing w:before="0" w:after="0"/>
              <w:jc w:val="left"/>
              <w:rPr>
                <w:rFonts w:ascii="ARIAL" w:hAnsi="ARIAL"/>
                <w:sz w:val="18"/>
              </w:rPr>
            </w:pPr>
            <w:r>
              <w:rPr>
                <w:rFonts w:ascii="ARIAL" w:hAnsi="ARIAL"/>
                <w:sz w:val="18"/>
              </w:rPr>
              <w:t xml:space="preserve">discharging the Board’s responsibilities relating to the oversight of our compensation and benefits policies generally;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evaluating the performance of and overseeing and setting compensation for our Chief Executive Officer (“CEO”), our Section 16 Officers and our “executive officers” within the meaning of Rule 3b-7 as promulgated under the Securities Exchange Act of 1934;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considering, recommending, administering and implementing our incentive compensation plans and equity-based plans;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reviewing and approving our overall human capital and executive compensation philosophies and strategies to ensure they support our objectives and stockholders’ interests, and that executives are being rewarded in a manner that is consistent with our philosophies. </w:t>
            </w:r>
          </w:p>
        </w:tc>
      </w:tr>
    </w:tbl>
    <w:p>
      <w:pPr>
        <w:pStyle w:val="TextBody"/>
        <w:bidi w:val="0"/>
        <w:spacing w:before="160" w:after="0"/>
        <w:jc w:val="left"/>
        <w:rPr>
          <w:rFonts w:ascii="ARIAL" w:hAnsi="ARIAL"/>
          <w:sz w:val="18"/>
        </w:rPr>
      </w:pPr>
      <w:r>
        <w:rPr>
          <w:rFonts w:ascii="ARIAL" w:hAnsi="ARIAL"/>
          <w:sz w:val="18"/>
        </w:rPr>
        <w:t xml:space="preserve">Pursuant to the Management Development and Compensation Committee’s charter, which is available in the “Governance” section of the “Investors” page of our website located at </w:t>
      </w:r>
      <w:r>
        <w:rPr>
          <w:rFonts w:ascii="ARIAL" w:hAnsi="ARIAL"/>
          <w:i/>
          <w:sz w:val="18"/>
        </w:rPr>
        <w:t>www.fortrea.com</w:t>
      </w:r>
      <w:r>
        <w:rPr>
          <w:rFonts w:ascii="ARIAL" w:hAnsi="ARIAL"/>
          <w:sz w:val="18"/>
        </w:rPr>
        <w:t xml:space="preserve">, the Management Development and Compensation Committee has the authority to retain and terminate any compensation consultant to assist in the evaluation of CEO or other Section 16 Officer compensation. The Management Development and Compensation Committee may delegate its authority under its charter to a subcommittee as it deems necessary or advisable appropriate from time to time. In addition to the foregoing and other authority expressly delegated to the Management Development and Compensation Committee in the charter, the Management Development and Compensation Committee may also exercise any other powers and carry out any other responsibilities consistent with the charter, the purposes of the Management Development and Compensation Committee, our Bylaws and applicable Nasdaq rules. </w:t>
      </w:r>
    </w:p>
    <w:p>
      <w:pPr>
        <w:pStyle w:val="TextBody"/>
        <w:bidi w:val="0"/>
        <w:spacing w:before="160" w:after="0"/>
        <w:jc w:val="left"/>
        <w:rPr>
          <w:rFonts w:ascii="ARIAL" w:hAnsi="ARIAL"/>
          <w:sz w:val="18"/>
        </w:rPr>
      </w:pPr>
      <w:r>
        <w:rPr>
          <w:rFonts w:ascii="ARIAL" w:hAnsi="ARIAL"/>
          <w:sz w:val="18"/>
        </w:rPr>
        <w:t xml:space="preserve">As of March 28, 2024, the members of our Management Development and Compensation Committee are Mr. Eckert, Ms. Larson, Mr. Pesicka, and Mr. Smith. All members of the Management Development and Compensation Committee meet the heightened standard for independence specific to members of a compensation committee under applicable SEC rules and Nasdaq rules. Mr. Eckert serves as the Chair of the Management Development and Compensation Committee.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22</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COMMITTEES OF THE BOARD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Management Development and Compensation Committee met two (3) times during 2023 and each member of the Management Development and Compensation Committee attended all of the meetings. </w:t>
      </w:r>
    </w:p>
    <w:p>
      <w:pPr>
        <w:pStyle w:val="TextBody"/>
        <w:bidi w:val="0"/>
        <w:spacing w:before="360" w:after="0"/>
        <w:jc w:val="left"/>
        <w:rPr>
          <w:rFonts w:ascii="ARIAL" w:hAnsi="ARIAL"/>
          <w:b/>
          <w:sz w:val="20"/>
        </w:rPr>
      </w:pPr>
      <w:bookmarkStart w:id="33" w:name="toc814840_30"/>
      <w:bookmarkEnd w:id="33"/>
      <w:r>
        <w:rPr>
          <w:rFonts w:ascii="ARIAL" w:hAnsi="ARIAL"/>
          <w:b/>
          <w:sz w:val="20"/>
        </w:rPr>
        <w:t xml:space="preserve">Nominating, Corporate Governance and Compliance Committee </w:t>
      </w:r>
    </w:p>
    <w:p>
      <w:pPr>
        <w:pStyle w:val="TextBody"/>
        <w:bidi w:val="0"/>
        <w:spacing w:before="160" w:after="0"/>
        <w:jc w:val="left"/>
        <w:rPr>
          <w:rFonts w:ascii="ARIAL" w:hAnsi="ARIAL"/>
          <w:sz w:val="18"/>
        </w:rPr>
      </w:pPr>
      <w:r>
        <w:rPr>
          <w:rFonts w:ascii="ARIAL" w:hAnsi="ARIAL"/>
          <w:sz w:val="18"/>
        </w:rPr>
        <w:t xml:space="preserve">The purpose of our Nominating, Corporate Governance and Compliance Committee is to assist the Board in identifying individuals qualified to become Board members, consistent with the criteria approved by the Board, and recommending to the Board the director nominees for the next annual meeting and otherwise when necessary, to develop and recommend to the Board a set of corporate governance guidelines applicable to the Company and appropriate amendments thereto, to lead the Board in its annual review of the performance of the Board and management, to oversee, and advise the Board with respect to, our corporate governance policies and practices, to assist the Board in carrying out its oversight responsibility with respect to compliance issues and attendant risks and to assist the Board to oversee management’s efforts to adopt and implement policies and procedures that require the Company and its employees to act in compliance with high ethical and legal standards, and to be compliant with applicable operational, health, safety, environmental, quality, and regulatory requirements, and best practices. </w:t>
      </w:r>
    </w:p>
    <w:p>
      <w:pPr>
        <w:pStyle w:val="TextBody"/>
        <w:bidi w:val="0"/>
        <w:spacing w:before="160" w:after="0"/>
        <w:jc w:val="left"/>
        <w:rPr>
          <w:rFonts w:ascii="ARIAL" w:hAnsi="ARIAL"/>
          <w:sz w:val="18"/>
        </w:rPr>
      </w:pPr>
      <w:r>
        <w:rPr>
          <w:rFonts w:ascii="ARIAL" w:hAnsi="ARIAL"/>
          <w:sz w:val="18"/>
        </w:rPr>
        <w:t xml:space="preserve">Pursuant to the Nominating, Corporate Governance and Compliance Committee’s charter, which is available in the “Governance” section of the “Investors” page of our website located at </w:t>
      </w:r>
      <w:r>
        <w:rPr>
          <w:rFonts w:ascii="ARIAL" w:hAnsi="ARIAL"/>
          <w:i/>
          <w:sz w:val="18"/>
        </w:rPr>
        <w:t>www.fortrea.com</w:t>
      </w:r>
      <w:r>
        <w:rPr>
          <w:rFonts w:ascii="ARIAL" w:hAnsi="ARIAL"/>
          <w:sz w:val="18"/>
        </w:rPr>
        <w:t xml:space="preserve">, the Nominating, Corporate Governance and Compliance Committee has the authority to retain or terminate any search firm to be used to identify director candidates, including the sole authority to approve the search firm’s fees and other retention terms. The Nominating, Corporate Governance and Compliance Committee also has the authority to obtain advice and assistance from internal or outside legal, accounting or other advisors. The Nominating, Corporate Governance and Compliance Committee may delegate its responsibilities under its charter to a subcommittee if determined to be necessary or advisable. In addition to the foregoing and other duties and responsibilities expressly delegated to the Nominating, Corporate Governance and Compliance Committee in the charter, the Nominating, Corporate Governance and Compliance Committee may also exercise any other powers and carry out any other responsibilities consistent with the charter, the purposes of the Nominating, Corporate Governance and Compliance Committee, our Bylaws and applicable Nasdaq rules. As of March 28, 2024, the members of our Nominating, Corporate Governance and Compliance Committee were Mr. Eckert, Ms. Larson, Mr. Neupert, and Dr. Ray. All members of the Nominating, Corporate Governance and Compliance Committee meet the standard for independence specific to members of a nominating and governance committee under Nasdaq rules. </w:t>
      </w:r>
    </w:p>
    <w:p>
      <w:pPr>
        <w:pStyle w:val="TextBody"/>
        <w:bidi w:val="0"/>
        <w:spacing w:before="160" w:after="0"/>
        <w:jc w:val="left"/>
        <w:rPr>
          <w:rFonts w:ascii="ARIAL" w:hAnsi="ARIAL"/>
          <w:sz w:val="18"/>
        </w:rPr>
      </w:pPr>
      <w:r>
        <w:rPr>
          <w:rFonts w:ascii="ARIAL" w:hAnsi="ARIAL"/>
          <w:sz w:val="18"/>
        </w:rPr>
        <w:t xml:space="preserve">The Nominating, Corporate Governance and Compliance Committee met two (2) times during 2023 and each member of the Nominating, Corporate Governance and Compliance Committee attended at all of the meetings. Mr. Neupert serves as the Chair of the Nominating, Corporate Governance and Compliance Committee. </w:t>
      </w:r>
    </w:p>
    <w:p>
      <w:pPr>
        <w:pStyle w:val="TextBody"/>
        <w:bidi w:val="0"/>
        <w:spacing w:before="360" w:after="0"/>
        <w:jc w:val="left"/>
        <w:rPr>
          <w:rFonts w:ascii="ARIAL" w:hAnsi="ARIAL"/>
          <w:sz w:val="18"/>
        </w:rPr>
      </w:pPr>
      <w:bookmarkStart w:id="34" w:name="toc814840_30a"/>
      <w:bookmarkEnd w:id="34"/>
      <w:r>
        <w:rPr>
          <w:rFonts w:ascii="ARIAL" w:hAnsi="ARIAL"/>
          <w:b/>
          <w:i/>
          <w:sz w:val="18"/>
        </w:rPr>
        <w:t>Cybersecurity &amp; the Audit Committee</w:t>
      </w:r>
      <w:r>
        <w:rPr>
          <w:rFonts w:ascii="ARIAL" w:hAnsi="ARIAL"/>
          <w:sz w:val="18"/>
        </w:rPr>
        <w:t xml:space="preserve"> </w:t>
      </w:r>
    </w:p>
    <w:p>
      <w:pPr>
        <w:pStyle w:val="TextBody"/>
        <w:bidi w:val="0"/>
        <w:spacing w:before="160" w:after="0"/>
        <w:jc w:val="left"/>
        <w:rPr>
          <w:rFonts w:ascii="ARIAL" w:hAnsi="ARIAL"/>
          <w:sz w:val="18"/>
        </w:rPr>
      </w:pPr>
      <w:r>
        <w:rPr>
          <w:rFonts w:ascii="ARIAL" w:hAnsi="ARIAL"/>
          <w:sz w:val="18"/>
        </w:rPr>
        <w:t xml:space="preserve">Risk Management Program </w:t>
      </w:r>
    </w:p>
    <w:p>
      <w:pPr>
        <w:pStyle w:val="TextBody"/>
        <w:bidi w:val="0"/>
        <w:spacing w:before="160" w:after="0"/>
        <w:jc w:val="left"/>
        <w:rPr>
          <w:rFonts w:ascii="ARIAL" w:hAnsi="ARIAL"/>
          <w:sz w:val="18"/>
        </w:rPr>
      </w:pPr>
      <w:r>
        <w:rPr>
          <w:rFonts w:ascii="ARIAL" w:hAnsi="ARIAL"/>
          <w:sz w:val="18"/>
        </w:rPr>
        <w:t xml:space="preserve">Our cybersecurity risk management program (the “Cybersecurity Risk Management Program”) was designed to identify, manage, mitigate, and respond to ongoing cybersecurity threats and associated risks and is responsible for their escalation to the Board when determined to be material. Currently, the Cybersecurity Risk Management Program includes cybersecurity services provided by Labcorp through 2024 as part of a transition service agreement entered in connection with the Spin. The underlying controls utilized by these programs are based on industry recognized best practices and standards for cybersecurity and information technology which include the National Institute of Standards and Technology (NIST) Cybersecurity Framework (CSF) and the International Organization for Standardization (ISO) 27001:2022 Information Security Management Systems Requirements </w:t>
      </w:r>
    </w:p>
    <w:p>
      <w:pPr>
        <w:pStyle w:val="TextBody"/>
        <w:bidi w:val="0"/>
        <w:spacing w:before="160" w:after="0"/>
        <w:jc w:val="left"/>
        <w:rPr>
          <w:rFonts w:ascii="ARIAL" w:hAnsi="ARIAL"/>
          <w:sz w:val="18"/>
        </w:rPr>
      </w:pPr>
      <w:r>
        <w:rPr>
          <w:rFonts w:ascii="ARIAL" w:hAnsi="ARIAL"/>
          <w:sz w:val="18"/>
        </w:rPr>
        <w:t xml:space="preserve">The Cybersecurity Risk Management Program is administered through two primary channels: (i) Fortrea-led cybersecurity services and capabilities and (ii) trusted third-party partners delivering cybersecurity services overseen by our Cybersecurity leadership team. Both channels combined deliver the entire Cybersecurity Program, which includes key items such as: </w:t>
      </w:r>
    </w:p>
    <w:p>
      <w:pPr>
        <w:pStyle w:val="TextBody"/>
        <w:bidi w:val="0"/>
        <w:spacing w:before="360" w:after="0"/>
        <w:jc w:val="left"/>
        <w:rPr>
          <w:rFonts w:ascii="ARIAL" w:hAnsi="ARIAL"/>
          <w:i/>
          <w:sz w:val="18"/>
        </w:rPr>
      </w:pPr>
      <w:r>
        <w:rPr>
          <w:rFonts w:ascii="ARIAL" w:hAnsi="ARIAL"/>
          <w:i/>
          <w:sz w:val="18"/>
        </w:rPr>
        <w:t xml:space="preserve">Cybersecurity risk management program, including, but not limited to, the following: </w:t>
      </w:r>
    </w:p>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75"/>
        <w:gridCol w:w="110"/>
        <w:gridCol w:w="60"/>
        <w:gridCol w:w="2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left"/>
              <w:rPr>
                <w:rFonts w:ascii="ARIAL" w:hAnsi="ARIAL"/>
                <w:sz w:val="18"/>
              </w:rPr>
            </w:pPr>
            <w:r>
              <w:rPr>
                <w:rFonts w:ascii="ARIAL" w:hAnsi="ARIAL"/>
                <w:sz w:val="18"/>
              </w:rPr>
              <w:t xml:space="preserve">Risk assessment activities/analyses </w:t>
            </w:r>
          </w:p>
        </w:tc>
      </w:tr>
    </w:tbl>
    <w:p>
      <w:pPr>
        <w:pStyle w:val="TextBody"/>
        <w:bidi w:val="0"/>
        <w:spacing w:before="0" w:after="0"/>
        <w:jc w:val="left"/>
        <w:rPr/>
      </w:pPr>
      <w:r>
        <w:rPr/>
        <w:t> </w:t>
      </w:r>
    </w:p>
    <w:tbl>
      <w:tblPr>
        <w:tblW w:w="4645" w:type="dxa"/>
        <w:jc w:val="left"/>
        <w:tblInd w:w="0" w:type="dxa"/>
        <w:tblLayout w:type="fixed"/>
        <w:tblCellMar>
          <w:top w:w="0" w:type="dxa"/>
          <w:left w:w="0" w:type="dxa"/>
          <w:bottom w:w="0" w:type="dxa"/>
          <w:right w:w="0" w:type="dxa"/>
        </w:tblCellMar>
      </w:tblPr>
      <w:tblGrid>
        <w:gridCol w:w="75"/>
        <w:gridCol w:w="110"/>
        <w:gridCol w:w="60"/>
        <w:gridCol w:w="4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00" w:type="dxa"/>
            <w:tcBorders/>
            <w:vAlign w:val="center"/>
          </w:tcPr>
          <w:p>
            <w:pPr>
              <w:pStyle w:val="TableContents"/>
              <w:bidi w:val="0"/>
              <w:spacing w:before="0" w:after="0"/>
              <w:jc w:val="left"/>
              <w:rPr>
                <w:rFonts w:ascii="ARIAL" w:hAnsi="ARIAL"/>
                <w:sz w:val="18"/>
              </w:rPr>
            </w:pPr>
            <w:r>
              <w:rPr>
                <w:rFonts w:ascii="ARIAL" w:hAnsi="ARIAL"/>
                <w:sz w:val="18"/>
              </w:rPr>
              <w:t xml:space="preserve">Risk Committee oversight, documentation, escalation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110"/>
        <w:gridCol w:w="60"/>
        <w:gridCol w:w="7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0"/>
              <w:jc w:val="left"/>
              <w:rPr>
                <w:rFonts w:ascii="ARIAL" w:hAnsi="ARIAL"/>
                <w:sz w:val="18"/>
              </w:rPr>
            </w:pPr>
            <w:r>
              <w:rPr>
                <w:rFonts w:ascii="ARIAL" w:hAnsi="ARIAL"/>
                <w:sz w:val="18"/>
              </w:rPr>
              <w:t xml:space="preserve">Reporting of risk issues deemed material to our Audit Committee of the Board of Directors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23</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COMMITTEES OF THE BOARD </w:t>
      </w:r>
    </w:p>
    <w:p>
      <w:pPr>
        <w:pStyle w:val="TextBody"/>
        <w:bidi w:val="0"/>
        <w:spacing w:before="0" w:after="0"/>
        <w:jc w:val="left"/>
        <w:rPr/>
      </w:pPr>
      <w:r>
        <w:rPr/>
        <w:t> </w:t>
      </w:r>
    </w:p>
    <w:p>
      <w:pPr>
        <w:pStyle w:val="TextBody"/>
        <w:bidi w:val="0"/>
        <w:spacing w:before="0" w:after="0"/>
        <w:jc w:val="left"/>
        <w:rPr>
          <w:rFonts w:ascii="ARIAL" w:hAnsi="ARIAL"/>
          <w:i/>
          <w:sz w:val="18"/>
        </w:rPr>
      </w:pPr>
      <w:r>
        <w:rPr>
          <w:rFonts w:ascii="ARIAL" w:hAnsi="ARIAL"/>
          <w:i/>
          <w:sz w:val="18"/>
        </w:rPr>
        <w:t xml:space="preserve">Cybersecurity services, including, but not limited to, the following: </w:t>
      </w:r>
    </w:p>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ARIAL" w:hAnsi="ARIAL"/>
                <w:sz w:val="18"/>
              </w:rPr>
            </w:pPr>
            <w:r>
              <w:rPr>
                <w:rFonts w:ascii="ARIAL" w:hAnsi="ARIAL"/>
                <w:sz w:val="18"/>
              </w:rPr>
              <w:t xml:space="preserve">24x7 Security services and Operations across (3) countries, including an Incident Response Plan and process. </w:t>
            </w:r>
          </w:p>
        </w:tc>
      </w:tr>
    </w:tbl>
    <w:p>
      <w:pPr>
        <w:pStyle w:val="TextBody"/>
        <w:bidi w:val="0"/>
        <w:spacing w:before="0" w:after="0"/>
        <w:jc w:val="left"/>
        <w:rPr/>
      </w:pPr>
      <w:r>
        <w:rPr/>
        <w:t> </w:t>
      </w:r>
    </w:p>
    <w:tbl>
      <w:tblPr>
        <w:tblW w:w="4705" w:type="dxa"/>
        <w:jc w:val="left"/>
        <w:tblInd w:w="0" w:type="dxa"/>
        <w:tblLayout w:type="fixed"/>
        <w:tblCellMar>
          <w:top w:w="0" w:type="dxa"/>
          <w:left w:w="0" w:type="dxa"/>
          <w:bottom w:w="0" w:type="dxa"/>
          <w:right w:w="0" w:type="dxa"/>
        </w:tblCellMar>
      </w:tblPr>
      <w:tblGrid>
        <w:gridCol w:w="75"/>
        <w:gridCol w:w="110"/>
        <w:gridCol w:w="60"/>
        <w:gridCol w:w="4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0"/>
              <w:jc w:val="left"/>
              <w:rPr>
                <w:rFonts w:ascii="ARIAL" w:hAnsi="ARIAL"/>
                <w:sz w:val="18"/>
              </w:rPr>
            </w:pPr>
            <w:r>
              <w:rPr>
                <w:rFonts w:ascii="ARIAL" w:hAnsi="ARIAL"/>
                <w:sz w:val="18"/>
              </w:rPr>
              <w:t xml:space="preserve">Identity Access Management support and governance </w:t>
            </w:r>
          </w:p>
        </w:tc>
      </w:tr>
    </w:tbl>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75"/>
        <w:gridCol w:w="110"/>
        <w:gridCol w:w="60"/>
        <w:gridCol w:w="37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25" w:type="dxa"/>
            <w:tcBorders/>
            <w:vAlign w:val="center"/>
          </w:tcPr>
          <w:p>
            <w:pPr>
              <w:pStyle w:val="TableContents"/>
              <w:bidi w:val="0"/>
              <w:spacing w:before="0" w:after="0"/>
              <w:jc w:val="left"/>
              <w:rPr>
                <w:rFonts w:ascii="ARIAL" w:hAnsi="ARIAL"/>
                <w:sz w:val="18"/>
              </w:rPr>
            </w:pPr>
            <w:r>
              <w:rPr>
                <w:rFonts w:ascii="ARIAL" w:hAnsi="ARIAL"/>
                <w:sz w:val="18"/>
              </w:rPr>
              <w:t xml:space="preserve">Security Architecture oversight and guidance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Governance, Risk and Compliance functions such as third-party risk management, cybersecurity policies, training, and awareness </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110"/>
        <w:gridCol w:w="60"/>
        <w:gridCol w:w="93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50" w:type="dxa"/>
            <w:tcBorders/>
            <w:vAlign w:val="center"/>
          </w:tcPr>
          <w:p>
            <w:pPr>
              <w:pStyle w:val="TableContents"/>
              <w:bidi w:val="0"/>
              <w:spacing w:before="0" w:after="0"/>
              <w:jc w:val="left"/>
              <w:rPr>
                <w:rFonts w:ascii="ARIAL" w:hAnsi="ARIAL"/>
                <w:sz w:val="18"/>
              </w:rPr>
            </w:pPr>
            <w:r>
              <w:rPr>
                <w:rFonts w:ascii="ARIAL" w:hAnsi="ARIAL"/>
                <w:sz w:val="18"/>
              </w:rPr>
              <w:t xml:space="preserve">Annual and independent penetration testing and vulnerability scanning activities conducted by trusted third parties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ARIAL" w:hAnsi="ARIAL"/>
                <w:sz w:val="18"/>
              </w:rPr>
            </w:pPr>
            <w:r>
              <w:rPr>
                <w:rFonts w:ascii="ARIAL" w:hAnsi="ARIAL"/>
                <w:sz w:val="18"/>
              </w:rPr>
              <w:t xml:space="preserve">Transition services provided by Labcorp, as part of the Spin, effective June 2023 and through the exit of the transition service agreement </w:t>
            </w:r>
          </w:p>
        </w:tc>
      </w:tr>
    </w:tbl>
    <w:p>
      <w:pPr>
        <w:pStyle w:val="TextBody"/>
        <w:bidi w:val="0"/>
        <w:spacing w:before="360" w:after="0"/>
        <w:jc w:val="left"/>
        <w:rPr>
          <w:rFonts w:ascii="ARIAL" w:hAnsi="ARIAL"/>
          <w:i/>
          <w:sz w:val="18"/>
        </w:rPr>
      </w:pPr>
      <w:r>
        <w:rPr>
          <w:rFonts w:ascii="ARIAL" w:hAnsi="ARIAL"/>
          <w:i/>
          <w:sz w:val="18"/>
        </w:rPr>
        <w:t xml:space="preserve">Third party risk management, including, but not limited to, the following: </w:t>
      </w:r>
    </w:p>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ARIAL" w:hAnsi="ARIAL"/>
                <w:sz w:val="18"/>
              </w:rPr>
            </w:pPr>
            <w:r>
              <w:rPr>
                <w:rFonts w:ascii="ARIAL" w:hAnsi="ARIAL"/>
                <w:sz w:val="18"/>
              </w:rPr>
              <w:t xml:space="preserve">Periodic third party reviews and assessments measuring cybersecurity services capability and maturity. </w:t>
            </w:r>
          </w:p>
        </w:tc>
      </w:tr>
    </w:tbl>
    <w:p>
      <w:pPr>
        <w:pStyle w:val="TextBody"/>
        <w:bidi w:val="0"/>
        <w:spacing w:before="160" w:after="0"/>
        <w:jc w:val="left"/>
        <w:rPr>
          <w:rFonts w:ascii="ARIAL" w:hAnsi="ARIAL"/>
          <w:sz w:val="18"/>
        </w:rPr>
      </w:pPr>
      <w:r>
        <w:rPr>
          <w:rFonts w:ascii="ARIAL" w:hAnsi="ARIAL"/>
          <w:sz w:val="18"/>
        </w:rPr>
        <w:t xml:space="preserve">Recognizing the cybersecurity and risk management programs are newly formed, we have established plans to conduct regular reviews and tabletop exercises to test processes for preparedness in case of a critical event as well as integrate cybersecurity risk with our Enterprise Risk Management Framework. As part of our risk management strategy, we have secured comprehensive cyber insurance coverage. We regularly review and update our cyber insurance coverage to align with the evolving nature of cyber threats and industry standards. </w:t>
      </w:r>
    </w:p>
    <w:p>
      <w:pPr>
        <w:pStyle w:val="TextBody"/>
        <w:bidi w:val="0"/>
        <w:spacing w:before="160" w:after="0"/>
        <w:jc w:val="left"/>
        <w:rPr>
          <w:rFonts w:ascii="ARIAL" w:hAnsi="ARIAL"/>
          <w:sz w:val="18"/>
        </w:rPr>
      </w:pPr>
      <w:r>
        <w:rPr>
          <w:rFonts w:ascii="ARIAL" w:hAnsi="ARIAL"/>
          <w:sz w:val="18"/>
        </w:rPr>
        <w:t xml:space="preserve">Because we are a newly formed company, there are no historical internal or external assessment processes. Going forward, however, the Fortrea Internal Audit team will conduct internal assurance reviews as part of their 2024 annual audit plan. Additionally, as we continue to execute our risk management processes, we plan to engage external cybersecurity partners for the evaluation and assessment of our cybersecurity program and its capabilities. </w:t>
      </w:r>
    </w:p>
    <w:p>
      <w:pPr>
        <w:pStyle w:val="TextBody"/>
        <w:bidi w:val="0"/>
        <w:spacing w:before="160" w:after="0"/>
        <w:jc w:val="left"/>
        <w:rPr>
          <w:rFonts w:ascii="ARIAL" w:hAnsi="ARIAL"/>
          <w:sz w:val="18"/>
        </w:rPr>
      </w:pPr>
      <w:r>
        <w:rPr>
          <w:rFonts w:ascii="ARIAL" w:hAnsi="ARIAL"/>
          <w:sz w:val="18"/>
        </w:rPr>
        <w:t xml:space="preserve">Refer to “Item 1A. Risk Factors” of our Annual Report on Form 10-K for further discussion of cybersecurity risks. </w:t>
      </w:r>
    </w:p>
    <w:p>
      <w:pPr>
        <w:pStyle w:val="TextBody"/>
        <w:bidi w:val="0"/>
        <w:spacing w:before="360" w:after="0"/>
        <w:jc w:val="left"/>
        <w:rPr>
          <w:rFonts w:ascii="ARIAL" w:hAnsi="ARIAL"/>
          <w:sz w:val="18"/>
        </w:rPr>
      </w:pPr>
      <w:r>
        <w:rPr>
          <w:rFonts w:ascii="ARIAL" w:hAnsi="ARIAL"/>
          <w:sz w:val="18"/>
        </w:rPr>
        <w:t xml:space="preserve">Governance of Cybersecurity </w:t>
      </w:r>
    </w:p>
    <w:p>
      <w:pPr>
        <w:pStyle w:val="TextBody"/>
        <w:bidi w:val="0"/>
        <w:spacing w:before="80" w:after="0"/>
        <w:jc w:val="left"/>
        <w:rPr>
          <w:rFonts w:ascii="ARIAL" w:hAnsi="ARIAL"/>
          <w:sz w:val="18"/>
        </w:rPr>
      </w:pPr>
      <w:r>
        <w:rPr>
          <w:rFonts w:ascii="ARIAL" w:hAnsi="ARIAL"/>
          <w:sz w:val="18"/>
        </w:rPr>
        <w:t xml:space="preserve">The Audit Committee has been authorized by the Board of Directors to oversee risks from cybersecurity threats. </w:t>
      </w:r>
    </w:p>
    <w:p>
      <w:pPr>
        <w:pStyle w:val="TextBody"/>
        <w:bidi w:val="0"/>
        <w:spacing w:before="160" w:after="0"/>
        <w:jc w:val="left"/>
        <w:rPr>
          <w:rFonts w:ascii="ARIAL" w:hAnsi="ARIAL"/>
          <w:sz w:val="18"/>
        </w:rPr>
      </w:pPr>
      <w:r>
        <w:rPr>
          <w:rFonts w:ascii="ARIAL" w:hAnsi="ARIAL"/>
          <w:sz w:val="18"/>
        </w:rPr>
        <w:t xml:space="preserve">We have established a Risk Committee chaired by our Chief Information Security Officer (“CISO”) and chartered to determine and execute the processes for the identification, and management of material cybersecurity risks. The Risk Committee is comprised of cross-functional executive leaders who can assess materiality impact and are accountable for materiality disclosure. The CISO is responsible for reporting on the state of cybersecurity to the Audit Committee on a quarterly basis, including those risks deemed material by the Risk Committee. </w:t>
      </w:r>
    </w:p>
    <w:p>
      <w:pPr>
        <w:pStyle w:val="TextBody"/>
        <w:bidi w:val="0"/>
        <w:spacing w:before="160" w:after="0"/>
        <w:jc w:val="left"/>
        <w:rPr>
          <w:rFonts w:ascii="ARIAL" w:hAnsi="ARIAL"/>
          <w:sz w:val="18"/>
        </w:rPr>
      </w:pPr>
      <w:r>
        <w:rPr>
          <w:rFonts w:ascii="ARIAL" w:hAnsi="ARIAL"/>
          <w:sz w:val="18"/>
        </w:rPr>
        <w:t xml:space="preserve">Our CISO has more than 25 years of experience building and leading cybersecurity programs for global healthcare and retail companies. The cybersecurity leadership team reporting to the CISO is comprised of leaders with skills in cybersecurity risk management, cybersecurity architecture, identity and access management, and cybersecurity operations and engineering. Their experience and certifications are commensurate with their roles.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24</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40"/>
        </w:rPr>
      </w:pPr>
      <w:bookmarkStart w:id="35" w:name="toc814840_31"/>
      <w:bookmarkEnd w:id="35"/>
      <w:r>
        <w:rPr>
          <w:rFonts w:ascii="Times New Roman" w:hAnsi="Times New Roman"/>
          <w:sz w:val="40"/>
        </w:rPr>
        <w:t xml:space="preserve">Executive Compensation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360" w:after="0"/>
        <w:jc w:val="left"/>
        <w:rPr>
          <w:rFonts w:ascii="ARIAL" w:hAnsi="ARIAL"/>
          <w:b/>
          <w:sz w:val="20"/>
        </w:rPr>
      </w:pPr>
      <w:bookmarkStart w:id="36" w:name="toc814840_32"/>
      <w:bookmarkEnd w:id="36"/>
      <w:r>
        <w:rPr>
          <w:rFonts w:ascii="ARIAL" w:hAnsi="ARIAL"/>
          <w:b/>
          <w:sz w:val="20"/>
        </w:rPr>
        <w:t xml:space="preserve">Compensation Discussion &amp; Analysis </w:t>
      </w:r>
    </w:p>
    <w:p>
      <w:pPr>
        <w:pStyle w:val="TextBody"/>
        <w:bidi w:val="0"/>
        <w:spacing w:before="160" w:after="0"/>
        <w:jc w:val="left"/>
        <w:rPr>
          <w:rFonts w:ascii="ARIAL" w:hAnsi="ARIAL"/>
          <w:b/>
          <w:sz w:val="20"/>
        </w:rPr>
      </w:pPr>
      <w:r>
        <w:rPr>
          <w:rFonts w:ascii="ARIAL" w:hAnsi="ARIAL"/>
          <w:b/>
          <w:sz w:val="20"/>
        </w:rPr>
        <w:t xml:space="preserve">Purpose </w:t>
      </w:r>
    </w:p>
    <w:p>
      <w:pPr>
        <w:pStyle w:val="TextBody"/>
        <w:bidi w:val="0"/>
        <w:spacing w:before="80" w:after="0"/>
        <w:jc w:val="left"/>
        <w:rPr>
          <w:rFonts w:ascii="ARIAL" w:hAnsi="ARIAL"/>
          <w:sz w:val="18"/>
        </w:rPr>
      </w:pPr>
      <w:r>
        <w:rPr>
          <w:rFonts w:ascii="ARIAL" w:hAnsi="ARIAL"/>
          <w:sz w:val="18"/>
        </w:rPr>
        <w:t xml:space="preserve">The purpose of this Compensation Discussion and Analysis (“CD&amp;A”) is to provide our stockholders with an understanding of our approach to executive compensation and to detail our decision-making processes for compensation to our NEOs for fiscal year 2023. </w:t>
      </w:r>
    </w:p>
    <w:p>
      <w:pPr>
        <w:pStyle w:val="TextBody"/>
        <w:bidi w:val="0"/>
        <w:spacing w:before="360" w:after="0"/>
        <w:jc w:val="left"/>
        <w:rPr>
          <w:rFonts w:ascii="ARIAL" w:hAnsi="ARIAL"/>
          <w:b/>
          <w:sz w:val="20"/>
        </w:rPr>
      </w:pPr>
      <w:r>
        <w:rPr>
          <w:rFonts w:ascii="ARIAL" w:hAnsi="ARIAL"/>
          <w:b/>
          <w:sz w:val="20"/>
        </w:rPr>
        <w:t xml:space="preserve">Introduction </w:t>
      </w:r>
    </w:p>
    <w:p>
      <w:pPr>
        <w:pStyle w:val="TextBody"/>
        <w:bidi w:val="0"/>
        <w:spacing w:before="80" w:after="0"/>
        <w:jc w:val="left"/>
        <w:rPr>
          <w:rFonts w:ascii="ARIAL" w:hAnsi="ARIAL"/>
          <w:sz w:val="18"/>
        </w:rPr>
      </w:pPr>
      <w:r>
        <w:rPr>
          <w:rFonts w:ascii="ARIAL" w:hAnsi="ARIAL"/>
          <w:sz w:val="18"/>
        </w:rPr>
        <w:t xml:space="preserve">On June 30 2023, Fortrea completed our Spin from our former parent company Labcorp and became a fully independent, publicly traded company. Due to the mid-year timing of our separation from Labcorp, many of the decisions impacting our 2023 NEO compensation were made by the Compensation and Human Capital Committee of Labcorp’s Board of Directors (the “Labcorp CHCC”) or the management of Labcorp and were grounded in Labcorp’s compensation philosophy, programs and policies. In order to provide a view of our NEOs’ compensation for all of 2023, this CD&amp;A includes information regarding historical programs and compensation decisions made by Labcorp or the Labcorp CHCC prior to our separation, as well as decisions made by the Management Development and Compensation Committee of our Board of Directors (the “Fortrea MDCC”) after the Spin. Moving forward from July 1, 2023, using the information, procedures and policies developed by Labcorp, the Fortrea MDCC and our Board of Directors make independent decisions related to compensation. </w:t>
      </w:r>
    </w:p>
    <w:p>
      <w:pPr>
        <w:pStyle w:val="TextBody"/>
        <w:bidi w:val="0"/>
        <w:spacing w:before="360" w:after="0"/>
        <w:jc w:val="left"/>
        <w:rPr>
          <w:rFonts w:ascii="ARIAL" w:hAnsi="ARIAL"/>
          <w:b/>
          <w:sz w:val="20"/>
        </w:rPr>
      </w:pPr>
      <w:r>
        <w:rPr>
          <w:rFonts w:ascii="ARIAL" w:hAnsi="ARIAL"/>
          <w:b/>
          <w:sz w:val="20"/>
        </w:rPr>
        <w:t xml:space="preserve">Company Overview </w:t>
      </w:r>
    </w:p>
    <w:p>
      <w:pPr>
        <w:pStyle w:val="TextBody"/>
        <w:bidi w:val="0"/>
        <w:spacing w:before="80" w:after="0"/>
        <w:jc w:val="left"/>
        <w:rPr>
          <w:rFonts w:ascii="ARIAL" w:hAnsi="ARIAL"/>
          <w:sz w:val="18"/>
        </w:rPr>
      </w:pPr>
      <w:r>
        <w:rPr>
          <w:rFonts w:ascii="ARIAL" w:hAnsi="ARIAL"/>
          <w:sz w:val="18"/>
        </w:rPr>
        <w:t xml:space="preserve">We are a leading global contract research organization (“CRO”), providing clinical development, patient access solutions and consulting to the life sciences industry. We provide phase I through IV clinical trial management, clinical pharmacology, differentiated technology-enabled trial solutions and post-approval services. For more than 30 years, we have supported our global pharmaceutical, biotechnology, and medical device customers across more than 20 therapeutic areas, providing agile delivery models that include Full Service, Functional Service Provider, and Hybrid structures. </w:t>
      </w:r>
    </w:p>
    <w:p>
      <w:pPr>
        <w:pStyle w:val="TextBody"/>
        <w:bidi w:val="0"/>
        <w:spacing w:before="160" w:after="0"/>
        <w:jc w:val="left"/>
        <w:rPr>
          <w:rFonts w:ascii="ARIAL" w:hAnsi="ARIAL"/>
          <w:sz w:val="18"/>
        </w:rPr>
      </w:pPr>
      <w:r>
        <w:rPr>
          <w:rFonts w:ascii="ARIAL" w:hAnsi="ARIAL"/>
          <w:sz w:val="18"/>
        </w:rPr>
        <w:t xml:space="preserve">Our team of approximately 18,000 employees provides services in about 90 countries. Our solutions streamline the biopharmaceutical product and medical device development process. Additionally, we successfully utilize enabling technologies to optimize processes and evolve with a dynamic marketplace. </w:t>
      </w:r>
    </w:p>
    <w:p>
      <w:pPr>
        <w:pStyle w:val="TextBody"/>
        <w:bidi w:val="0"/>
        <w:spacing w:before="360" w:after="0"/>
        <w:jc w:val="left"/>
        <w:rPr>
          <w:rFonts w:ascii="ARIAL" w:hAnsi="ARIAL"/>
          <w:b/>
          <w:sz w:val="20"/>
        </w:rPr>
      </w:pPr>
      <w:r>
        <w:rPr>
          <w:rFonts w:ascii="ARIAL" w:hAnsi="ARIAL"/>
          <w:b/>
          <w:sz w:val="20"/>
        </w:rPr>
        <w:t xml:space="preserve">Fiscal 2023 Performance Highlights </w:t>
      </w:r>
    </w:p>
    <w:p>
      <w:pPr>
        <w:pStyle w:val="TextBody"/>
        <w:bidi w:val="0"/>
        <w:spacing w:before="80" w:after="0"/>
        <w:jc w:val="left"/>
        <w:rPr>
          <w:rFonts w:ascii="ARIAL" w:hAnsi="ARIAL"/>
          <w:sz w:val="18"/>
        </w:rPr>
      </w:pPr>
      <w:r>
        <w:rPr>
          <w:rFonts w:ascii="ARIAL" w:hAnsi="ARIAL"/>
          <w:sz w:val="18"/>
        </w:rPr>
        <w:t xml:space="preserve">In 2023, Fortrea successfully executed on the Spin from Labcorp and faced various challenges that often accompany a newly public, stand-alone company as we continued to execute on key business initiatives and work toward exiting the Transition Service Agreements (“TSAs”) in place with Labcorp. In August 2023, we provided financial guidance for the full year 2023. Fiscal 2023 performance relative to this guidance and to prior year is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In August 2023, following the Spin, we provided guidance of 2023 revenue in the range of $3,034 million to $3,096 million. Actual Revenue for the year ended December 31, 2023 was above our targeted range and approximately flat year-over-year at $3,109.0 million, compared to $3,096.1 million for the year ended December 31,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In August 2023, following the Spin, we provided guidance of 2023 Adjusted EBITDA of $255 million to $285 million. Adjusted EBITDA for the full year 2023 was within our targeted range, but decreased by 34% to $278.3 million compared to $405.1 million for the year ended December 31, 2022. </w:t>
            </w:r>
          </w:p>
        </w:tc>
      </w:tr>
    </w:tbl>
    <w:p>
      <w:pPr>
        <w:pStyle w:val="TextBody"/>
        <w:bidi w:val="0"/>
        <w:spacing w:before="0" w:after="0"/>
        <w:jc w:val="left"/>
        <w:rPr/>
      </w:pPr>
      <w:r>
        <w:rPr/>
        <w:t> </w:t>
      </w:r>
    </w:p>
    <w:tbl>
      <w:tblPr>
        <w:tblW w:w="7300" w:type="dxa"/>
        <w:jc w:val="left"/>
        <w:tblInd w:w="0" w:type="dxa"/>
        <w:tblLayout w:type="fixed"/>
        <w:tblCellMar>
          <w:top w:w="0" w:type="dxa"/>
          <w:left w:w="0" w:type="dxa"/>
          <w:bottom w:w="0" w:type="dxa"/>
          <w:right w:w="0" w:type="dxa"/>
        </w:tblCellMar>
      </w:tblPr>
      <w:tblGrid>
        <w:gridCol w:w="125"/>
        <w:gridCol w:w="60"/>
        <w:gridCol w:w="71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15" w:type="dxa"/>
            <w:tcBorders/>
            <w:vAlign w:val="center"/>
          </w:tcPr>
          <w:p>
            <w:pPr>
              <w:pStyle w:val="TableContents"/>
              <w:bidi w:val="0"/>
              <w:spacing w:before="0" w:after="0"/>
              <w:jc w:val="left"/>
              <w:rPr>
                <w:rFonts w:ascii="ARIAL" w:hAnsi="ARIAL"/>
                <w:sz w:val="18"/>
              </w:rPr>
            </w:pPr>
            <w:r>
              <w:rPr>
                <w:rFonts w:ascii="ARIAL" w:hAnsi="ARIAL"/>
                <w:sz w:val="18"/>
              </w:rPr>
              <w:t xml:space="preserve">Our book-to-bill ratio was 1.27x for our first six months as an independent organization. </w:t>
            </w:r>
          </w:p>
        </w:tc>
      </w:tr>
    </w:tbl>
    <w:p>
      <w:pPr>
        <w:pStyle w:val="TextBody"/>
        <w:bidi w:val="0"/>
        <w:spacing w:before="240" w:after="0"/>
        <w:jc w:val="left"/>
        <w:rPr>
          <w:rFonts w:ascii="ARIAL" w:hAnsi="ARIAL"/>
          <w:sz w:val="18"/>
        </w:rPr>
      </w:pPr>
      <w:r>
        <w:rPr>
          <w:rFonts w:ascii="ARIAL" w:hAnsi="ARIAL"/>
          <w:sz w:val="18"/>
        </w:rPr>
        <w:t xml:space="preserve">We were pleased to be able to maintain our strong revenue base despite the decrease in Adjusted EBITDA, and importantly, our focus on successful execution ensured that there was no disruption to our customer projects in 2023 resulting from the Spin. In addition, our sales momentum improved in the second half of the year as we achieved the target of more than 1.2x book-to-bill ratio.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25</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2023 Compensation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The Labcorp CHCC negotiated Mr. Pike’s salary in November and December 2022 as part of the negotiation of his employment agreement, which was extended in January 2023, and the salaries for Ms. McConnell and Mr. Morais were adjusted by Labcorp to take effect at the time of the Spin. As such, the Fortrea MDCC determined not to adjust 2023 base salaries for the NEOs that have historically taken effect at mid-year.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Under the terms of the employment agreement previously approved by, and entered into with, Labcorp and subsequently ratified by our Board after the Spin, Mr. Pike received a one-time sign on equity grant of Restricted Stock Units (“RSUs”) in January 2023 and received additional equity consisting of RSUs and stock options in August 2023 because the Spin was completed. Under the terms of Mr. Pike’s employment agreement, Mr. Pike’s 2023 equity grants were intended to provide an equivalent value of three years of equity grants, and no further equity grants are intended to be made during the remaining initial term of his employment agreement, which ends on December 31, 2025. In accordance with these terms, Mr. Pike did not receive an equity grant in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Labcorp awarded both Ms. McConnell and Mr. Morais a cash bonus in order to incentivize them to work through and past the Spin.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125"/>
        <w:gridCol w:w="60"/>
        <w:gridCol w:w="85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ARIAL" w:hAnsi="ARIAL"/>
                <w:sz w:val="18"/>
              </w:rPr>
            </w:pPr>
            <w:r>
              <w:rPr>
                <w:rFonts w:ascii="ARIAL" w:hAnsi="ARIAL"/>
                <w:sz w:val="18"/>
              </w:rPr>
              <w:t xml:space="preserve">Labcorp increased target bonuses for Ms. McConnell and Mr. Morais to take effect at the time of the Spin.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2023 long-term incentive (“LTI”) grants were made in June by Labcorp and August by Fortrea to Ms. McConnell and Mr. Morais, in addition to the annual February grant made by Labcorp, to account for their increased role as NEOs of a stand-alone public company. In addition, these equity grants to Ms. McConnell and Mr. Morais were intended to provide competitive compensation while increasing their share ownership and alignment with stockholders.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For the first six months of 2023, the Labcorp portion of the bonus pool was funded by Labcorp in an aggregate of $17 million, and the Fortrea MDCC applied a 61.07% business performance factor across all participants in the pool. For the six months after the Spin, the Fortrea portion of the 2023 bonus was not funded. The Labcorp portion was approved by the Labcorp CHCC at the time of the Spin. Fortrea’s portion was not funded because actual Adjusted EBITDA was below the target for the second half of 2023. This resulted in an overall payout of approximately 20% of target 2023 bonus for Ms. McConnell and Mr. Morais (after adjusting for higher salaries and target bonuses post-Spin).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No discretionary adjustment was made to the bonus pool as the Fortrea MDCC believes that it is important to pay for performance. In accordance with Mr. Pike’s Employment Agreement, entered into by Labcorp and ratified by Fortrea after the Spin (discussed below), Mr. Pike received his guaranteed 2023 bonus. </w:t>
            </w:r>
          </w:p>
        </w:tc>
      </w:tr>
    </w:tbl>
    <w:p>
      <w:pPr>
        <w:pStyle w:val="TextBody"/>
        <w:bidi w:val="0"/>
        <w:spacing w:before="360" w:after="0"/>
        <w:jc w:val="left"/>
        <w:rPr>
          <w:rFonts w:ascii="ARIAL" w:hAnsi="ARIAL"/>
          <w:b/>
          <w:sz w:val="20"/>
        </w:rPr>
      </w:pPr>
      <w:r>
        <w:rPr>
          <w:rFonts w:ascii="ARIAL" w:hAnsi="ARIAL"/>
          <w:b/>
          <w:sz w:val="20"/>
        </w:rPr>
        <w:t xml:space="preserve">2024 Compensation Highlights </w:t>
      </w:r>
    </w:p>
    <w:p>
      <w:pPr>
        <w:pStyle w:val="TextBody"/>
        <w:bidi w:val="0"/>
        <w:spacing w:before="80" w:after="0"/>
        <w:jc w:val="left"/>
        <w:rPr>
          <w:rFonts w:ascii="ARIAL" w:hAnsi="ARIAL"/>
          <w:sz w:val="18"/>
        </w:rPr>
      </w:pPr>
      <w:r>
        <w:rPr>
          <w:rFonts w:ascii="ARIAL" w:hAnsi="ARIAL"/>
          <w:sz w:val="18"/>
        </w:rPr>
        <w:t xml:space="preserve">In 2024, the Fortrea MDCC implemented the following changes to the Fortrea compensation program: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Approved the 2024 Fortrea Bonus Plan, under which achievement is based on the following financial performance and strategic objectives: (i) Financial metrics, including Adjusted EBITDA, which aligns with the interests of stockholders, and net new business, which focuses on growth; and (ii) Strategic components based on the successful exit of the TSAs, which is critical to Fortrea’s success as an independent company; and </w:t>
            </w:r>
          </w:p>
        </w:tc>
      </w:tr>
    </w:tbl>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Approved the 2024 Long-term Incentive Plan (“LTIP”), under which achievement is based on the following absolute and relative metrics: (i) Financial metrics, including revenue and Adjusted EBITDA Margin, which continues the focus on growth and profitability; and (ii) A relative Total Stockholder Return modifier that measures Fortrea’s long-term stockholder return versus an industry-relevant index to align with stockholders over the longer-term. </w:t>
            </w:r>
          </w:p>
        </w:tc>
      </w:tr>
    </w:tbl>
    <w:p>
      <w:pPr>
        <w:pStyle w:val="TextBody"/>
        <w:bidi w:val="0"/>
        <w:spacing w:before="360" w:after="0"/>
        <w:jc w:val="left"/>
        <w:rPr>
          <w:rFonts w:ascii="ARIAL" w:hAnsi="ARIAL"/>
          <w:b/>
          <w:sz w:val="20"/>
        </w:rPr>
      </w:pPr>
      <w:r>
        <w:rPr>
          <w:rFonts w:ascii="ARIAL" w:hAnsi="ARIAL"/>
          <w:b/>
          <w:sz w:val="20"/>
        </w:rPr>
        <w:t xml:space="preserve">2023 Executive Compensation Program </w:t>
      </w:r>
    </w:p>
    <w:p>
      <w:pPr>
        <w:pStyle w:val="TextBody"/>
        <w:bidi w:val="0"/>
        <w:spacing w:before="80" w:after="0"/>
        <w:jc w:val="left"/>
        <w:rPr>
          <w:rFonts w:ascii="ARIAL" w:hAnsi="ARIAL"/>
          <w:sz w:val="18"/>
        </w:rPr>
      </w:pPr>
      <w:r>
        <w:rPr>
          <w:rFonts w:ascii="ARIAL" w:hAnsi="ARIAL"/>
          <w:sz w:val="18"/>
        </w:rPr>
        <w:t xml:space="preserve">Our executive compensation program is intended to attract, motivate and retain talented executives in a highly competitive environment, consistent with Fortrea’s executive compensation philosophy to pay for performance by rewarding the achievement of specific short-term and long-term financial, operational and strategic goals. </w:t>
      </w:r>
    </w:p>
    <w:p>
      <w:pPr>
        <w:pStyle w:val="TextBody"/>
        <w:bidi w:val="0"/>
        <w:spacing w:before="160" w:after="0"/>
        <w:jc w:val="left"/>
        <w:rPr>
          <w:rFonts w:ascii="ARIAL" w:hAnsi="ARIAL"/>
          <w:sz w:val="18"/>
        </w:rPr>
      </w:pPr>
      <w:r>
        <w:rPr>
          <w:rFonts w:ascii="ARIAL" w:hAnsi="ARIAL"/>
          <w:sz w:val="18"/>
        </w:rPr>
        <w:t xml:space="preserve">Our 2023 executive compensation structure, both before and after the Spin, consisted of three core compensation elements: base salary, cash bonus, and long-term incentive awards. Prior to the Spin, Labcorp and the Labcorp CHCC established our NEOs’ 2023 compensation, which reflected Labcorp’s compensation philosophy and program design. After the Spin, the Fortrea MDCC evaluated each compensation element individually while also considering the appropriate total compensation mix. Following its review, the Fortrea MDCC took certain compensation actions to align NEO compensation more closely with Fortrea’s compensation philosophy and the compensation practices of its public company peers. Our 2023 NEOs are listed below, and an overview of the compensation decisions made before and after the Spin are highlighted on the pages that follow.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26</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2023 NAMED EXECUTIVE OFFICERS </w:t>
      </w:r>
    </w:p>
    <w:p>
      <w:pPr>
        <w:pStyle w:val="TextBody"/>
        <w:bidi w:val="0"/>
        <w:spacing w:before="0" w:after="0"/>
        <w:jc w:val="left"/>
        <w:rPr/>
      </w:pPr>
      <w:r>
        <w:rPr/>
        <w:t> </w:t>
      </w:r>
    </w:p>
    <w:tbl>
      <w:tblPr>
        <w:tblW w:w="6655" w:type="dxa"/>
        <w:jc w:val="left"/>
        <w:tblInd w:w="0" w:type="dxa"/>
        <w:tblLayout w:type="fixed"/>
        <w:tblCellMar>
          <w:top w:w="0" w:type="dxa"/>
          <w:left w:w="0" w:type="dxa"/>
          <w:bottom w:w="0" w:type="dxa"/>
          <w:right w:w="0" w:type="dxa"/>
        </w:tblCellMar>
      </w:tblPr>
      <w:tblGrid>
        <w:gridCol w:w="1190"/>
        <w:gridCol w:w="120"/>
        <w:gridCol w:w="534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45" w:type="dxa"/>
            <w:tcBorders/>
            <w:vAlign w:val="center"/>
          </w:tcPr>
          <w:p>
            <w:pPr>
              <w:pStyle w:val="TableContents"/>
              <w:bidi w:val="0"/>
              <w:spacing w:before="0" w:after="283"/>
              <w:jc w:val="left"/>
              <w:rPr>
                <w:sz w:val="4"/>
                <w:szCs w:val="4"/>
              </w:rPr>
            </w:pPr>
            <w:r>
              <w:rPr>
                <w:sz w:val="4"/>
                <w:szCs w:val="4"/>
              </w:rPr>
            </w:r>
          </w:p>
        </w:tc>
      </w:tr>
      <w:tr>
        <w:trPr/>
        <w:tc>
          <w:tcPr>
            <w:tcW w:w="1190" w:type="dxa"/>
            <w:tcBorders>
              <w:top w:val="single" w:sz="6" w:space="0" w:color="000000"/>
              <w:left w:val="single" w:sz="6" w:space="0" w:color="000000"/>
              <w:right w:val="single" w:sz="6" w:space="0" w:color="000000"/>
            </w:tcBorders>
            <w:shd w:fill="0BC11C" w:val="clear"/>
            <w:tcMar>
              <w:top w:w="28" w:type="dxa"/>
              <w:left w:w="160" w:type="dxa"/>
              <w:right w:w="28" w:type="dxa"/>
            </w:tcMar>
            <w:vAlign w:val="center"/>
          </w:tcPr>
          <w:p>
            <w:pPr>
              <w:pStyle w:val="TableContents"/>
              <w:bidi w:val="0"/>
              <w:spacing w:before="0" w:after="283"/>
              <w:jc w:val="left"/>
              <w:rPr/>
            </w:pPr>
            <w:r>
              <w:rPr/>
              <w:t> </w:t>
            </w:r>
          </w:p>
        </w:tc>
        <w:tc>
          <w:tcPr>
            <w:tcW w:w="5465" w:type="dxa"/>
            <w:gridSpan w:val="2"/>
            <w:tcBorders>
              <w:top w:val="single" w:sz="6" w:space="0" w:color="000000"/>
              <w:left w:val="single" w:sz="6" w:space="0" w:color="000000"/>
              <w:right w:val="single" w:sz="6" w:space="0" w:color="000000"/>
            </w:tcBorders>
            <w:shd w:fill="0BC11C" w:val="clear"/>
            <w:tcMar>
              <w:top w:w="28" w:type="dxa"/>
              <w:left w:w="28" w:type="dxa"/>
              <w:right w:w="28" w:type="dxa"/>
            </w:tcMar>
            <w:vAlign w:val="center"/>
          </w:tcPr>
          <w:p>
            <w:pPr>
              <w:pStyle w:val="TableContents"/>
              <w:bidi w:val="0"/>
              <w:spacing w:before="0" w:after="283"/>
              <w:jc w:val="left"/>
              <w:rPr/>
            </w:pPr>
            <w:r>
              <w:rPr/>
              <w:t> </w:t>
            </w:r>
          </w:p>
        </w:tc>
      </w:tr>
      <w:tr>
        <w:trPr/>
        <w:tc>
          <w:tcPr>
            <w:tcW w:w="1190" w:type="dxa"/>
            <w:tcBorders>
              <w:left w:val="single" w:sz="6" w:space="0" w:color="000000"/>
              <w:bottom w:val="single" w:sz="6" w:space="0" w:color="000000"/>
              <w:right w:val="single" w:sz="6" w:space="0" w:color="000000"/>
            </w:tcBorders>
            <w:shd w:fill="0BC11C" w:val="clear"/>
            <w:tcMar>
              <w:left w:w="160" w:type="dxa"/>
              <w:bottom w:w="60" w:type="dxa"/>
              <w:right w:w="28"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120" w:type="dxa"/>
            <w:tcBorders>
              <w:left w:val="single" w:sz="6" w:space="0" w:color="000000"/>
              <w:bottom w:val="single" w:sz="6" w:space="0" w:color="000000"/>
            </w:tcBorders>
            <w:shd w:fill="0BC11C" w:val="clear"/>
            <w:tcMar>
              <w:left w:w="28" w:type="dxa"/>
              <w:bottom w:w="28" w:type="dxa"/>
            </w:tcMar>
            <w:vAlign w:val="center"/>
          </w:tcPr>
          <w:p>
            <w:pPr>
              <w:pStyle w:val="TableContents"/>
              <w:bidi w:val="0"/>
              <w:spacing w:before="0" w:after="283"/>
              <w:jc w:val="left"/>
              <w:rPr/>
            </w:pPr>
            <w:r>
              <w:rPr/>
              <w:t>  </w:t>
            </w:r>
          </w:p>
        </w:tc>
        <w:tc>
          <w:tcPr>
            <w:tcW w:w="5345" w:type="dxa"/>
            <w:tcBorders>
              <w:bottom w:val="single" w:sz="6" w:space="0" w:color="000000"/>
              <w:right w:val="single" w:sz="6" w:space="0" w:color="000000"/>
            </w:tcBorders>
            <w:shd w:fill="0BC11C" w:val="clear"/>
            <w:tcMar>
              <w:bottom w:w="60" w:type="dxa"/>
              <w:right w:w="40" w:type="dxa"/>
            </w:tcMar>
            <w:vAlign w:val="center"/>
          </w:tcPr>
          <w:p>
            <w:pPr>
              <w:pStyle w:val="TableContents"/>
              <w:bidi w:val="0"/>
              <w:spacing w:before="0" w:after="283"/>
              <w:jc w:val="left"/>
              <w:rPr>
                <w:b/>
                <w:color w:val="FFFFFF"/>
              </w:rPr>
            </w:pPr>
            <w:r>
              <w:rPr>
                <w:b/>
                <w:color w:val="FFFFFF"/>
              </w:rPr>
              <w:t>Title</w:t>
            </w:r>
          </w:p>
        </w:tc>
      </w:tr>
      <w:tr>
        <w:trPr/>
        <w:tc>
          <w:tcPr>
            <w:tcW w:w="1190"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546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190" w:type="dxa"/>
            <w:tcBorders>
              <w:left w:val="single" w:sz="6" w:space="0" w:color="000000"/>
              <w:bottom w:val="single" w:sz="6" w:space="0" w:color="000000"/>
              <w:right w:val="single" w:sz="6" w:space="0" w:color="000000"/>
            </w:tcBorders>
            <w:tcMar>
              <w:left w:w="160" w:type="dxa"/>
              <w:bottom w:w="40" w:type="dxa"/>
              <w:right w:w="28" w:type="dxa"/>
            </w:tcMar>
            <w:vAlign w:val="center"/>
          </w:tcPr>
          <w:p>
            <w:pPr>
              <w:pStyle w:val="TableContents"/>
              <w:bidi w:val="0"/>
              <w:spacing w:before="0" w:after="0"/>
              <w:jc w:val="left"/>
              <w:rPr>
                <w:rFonts w:ascii="ARIAL" w:hAnsi="ARIAL"/>
                <w:sz w:val="18"/>
              </w:rPr>
            </w:pPr>
            <w:r>
              <w:rPr>
                <w:rFonts w:ascii="ARIAL" w:hAnsi="ARIAL"/>
                <w:sz w:val="18"/>
              </w:rPr>
              <w:t>Thomas Pike</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345" w:type="dxa"/>
            <w:tcBorders>
              <w:bottom w:val="single" w:sz="6" w:space="0" w:color="000000"/>
              <w:right w:val="single" w:sz="6" w:space="0" w:color="000000"/>
            </w:tcBorders>
            <w:tcMar>
              <w:bottom w:w="40" w:type="dxa"/>
              <w:right w:w="40" w:type="dxa"/>
            </w:tcMar>
            <w:vAlign w:val="center"/>
          </w:tcPr>
          <w:p>
            <w:pPr>
              <w:pStyle w:val="TableContents"/>
              <w:bidi w:val="0"/>
              <w:spacing w:before="0" w:after="283"/>
              <w:jc w:val="left"/>
              <w:rPr/>
            </w:pPr>
            <w:r>
              <w:rPr/>
              <w:t>Chairman and Chief Executive Officer</w:t>
            </w:r>
          </w:p>
        </w:tc>
      </w:tr>
      <w:tr>
        <w:trPr/>
        <w:tc>
          <w:tcPr>
            <w:tcW w:w="1190"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546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190" w:type="dxa"/>
            <w:tcBorders>
              <w:left w:val="single" w:sz="6" w:space="0" w:color="000000"/>
              <w:bottom w:val="single" w:sz="6" w:space="0" w:color="000000"/>
              <w:right w:val="single" w:sz="6" w:space="0" w:color="000000"/>
            </w:tcBorders>
            <w:tcMar>
              <w:left w:w="160" w:type="dxa"/>
              <w:bottom w:w="40" w:type="dxa"/>
              <w:right w:w="28" w:type="dxa"/>
            </w:tcMar>
            <w:vAlign w:val="center"/>
          </w:tcPr>
          <w:p>
            <w:pPr>
              <w:pStyle w:val="TableContents"/>
              <w:bidi w:val="0"/>
              <w:spacing w:before="0" w:after="0"/>
              <w:jc w:val="left"/>
              <w:rPr>
                <w:rFonts w:ascii="ARIAL" w:hAnsi="ARIAL"/>
                <w:sz w:val="18"/>
              </w:rPr>
            </w:pPr>
            <w:r>
              <w:rPr>
                <w:rFonts w:ascii="ARIAL" w:hAnsi="ARIAL"/>
                <w:sz w:val="18"/>
              </w:rPr>
              <w:t>Jill McConnell</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345" w:type="dxa"/>
            <w:tcBorders>
              <w:bottom w:val="single" w:sz="6" w:space="0" w:color="000000"/>
              <w:right w:val="single" w:sz="6" w:space="0" w:color="000000"/>
            </w:tcBorders>
            <w:tcMar>
              <w:bottom w:w="40" w:type="dxa"/>
              <w:right w:w="40" w:type="dxa"/>
            </w:tcMar>
            <w:vAlign w:val="center"/>
          </w:tcPr>
          <w:p>
            <w:pPr>
              <w:pStyle w:val="TableContents"/>
              <w:bidi w:val="0"/>
              <w:spacing w:before="0" w:after="283"/>
              <w:jc w:val="left"/>
              <w:rPr/>
            </w:pPr>
            <w:r>
              <w:rPr/>
              <w:t>Chief Financial Officer</w:t>
            </w:r>
          </w:p>
        </w:tc>
      </w:tr>
      <w:tr>
        <w:trPr/>
        <w:tc>
          <w:tcPr>
            <w:tcW w:w="1190"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546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190" w:type="dxa"/>
            <w:tcBorders>
              <w:left w:val="single" w:sz="6" w:space="0" w:color="000000"/>
              <w:bottom w:val="single" w:sz="6" w:space="0" w:color="000000"/>
              <w:right w:val="single" w:sz="6" w:space="0" w:color="000000"/>
            </w:tcBorders>
            <w:tcMar>
              <w:left w:w="160" w:type="dxa"/>
              <w:bottom w:w="40" w:type="dxa"/>
              <w:right w:w="28" w:type="dxa"/>
            </w:tcMar>
            <w:vAlign w:val="center"/>
          </w:tcPr>
          <w:p>
            <w:pPr>
              <w:pStyle w:val="TableContents"/>
              <w:bidi w:val="0"/>
              <w:spacing w:before="0" w:after="0"/>
              <w:jc w:val="left"/>
              <w:rPr>
                <w:rFonts w:ascii="ARIAL" w:hAnsi="ARIAL"/>
                <w:sz w:val="18"/>
              </w:rPr>
            </w:pPr>
            <w:r>
              <w:rPr>
                <w:rFonts w:ascii="ARIAL" w:hAnsi="ARIAL"/>
                <w:sz w:val="18"/>
              </w:rPr>
              <w:t>Mark Morais</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345" w:type="dxa"/>
            <w:tcBorders>
              <w:bottom w:val="single" w:sz="6" w:space="0" w:color="000000"/>
              <w:right w:val="single" w:sz="6" w:space="0" w:color="000000"/>
            </w:tcBorders>
            <w:tcMar>
              <w:bottom w:w="40" w:type="dxa"/>
              <w:right w:w="40" w:type="dxa"/>
            </w:tcMar>
            <w:vAlign w:val="center"/>
          </w:tcPr>
          <w:p>
            <w:pPr>
              <w:pStyle w:val="TableContents"/>
              <w:bidi w:val="0"/>
              <w:spacing w:before="0" w:after="283"/>
              <w:jc w:val="left"/>
              <w:rPr/>
            </w:pPr>
            <w:r>
              <w:rPr/>
              <w:t>Chief Operating Officer and President, Clinical Services</w:t>
            </w:r>
          </w:p>
        </w:tc>
      </w:tr>
    </w:tbl>
    <w:p>
      <w:pPr>
        <w:pStyle w:val="TextBody"/>
        <w:bidi w:val="0"/>
        <w:spacing w:before="360" w:after="0"/>
        <w:jc w:val="left"/>
        <w:rPr>
          <w:rFonts w:ascii="ARIAL" w:hAnsi="ARIAL"/>
          <w:i/>
          <w:sz w:val="20"/>
        </w:rPr>
      </w:pPr>
      <w:r>
        <w:rPr>
          <w:rFonts w:ascii="ARIAL" w:hAnsi="ARIAL"/>
          <w:i/>
          <w:sz w:val="20"/>
        </w:rPr>
        <w:t xml:space="preserve">CEO Employment Agreement </w:t>
      </w:r>
    </w:p>
    <w:p>
      <w:pPr>
        <w:pStyle w:val="TextBody"/>
        <w:bidi w:val="0"/>
        <w:spacing w:before="80" w:after="0"/>
        <w:jc w:val="left"/>
        <w:rPr>
          <w:rFonts w:ascii="ARIAL" w:hAnsi="ARIAL"/>
          <w:sz w:val="18"/>
        </w:rPr>
      </w:pPr>
      <w:r>
        <w:rPr>
          <w:rFonts w:ascii="ARIAL" w:hAnsi="ARIAL"/>
          <w:sz w:val="18"/>
        </w:rPr>
        <w:t xml:space="preserve">In January 2023, Labcorp entered into an employment agreement with Thomas Pike. At the time of Mr. Pike’s hire, the Labcorp CHCC recognized that it was critical to recruit a proven and experienced CEO, such as Mr. Pike, who possesses relevant leadership skills, industry expertise, and IPO/spin company experience, to successfully lead Fortrea through the Spin. Mr. Pike has a strong track record as former CEO of a CRO where he led Quintiles Transnational Holdings through a successful IPO, helping it grow into a Fortune 500 company with 36,000 employees worldwide. In addition, Mr. Pike worked at Arthur Andersen/Accenture for 22 years in various positions of increasing responsibility, including serving as the Chief Risk Officer and Managing Director of the North America Health and Products business. As such, the Labcorp CHCC developed a competitive compensation package to attract and incentivize Mr. Pike to lead Fortrea and to retain him for several years. As this opportunity would require significant time, Mr. Pike also stepped down from several boards in order to devote his focus on leading Fortrea. </w:t>
      </w:r>
    </w:p>
    <w:p>
      <w:pPr>
        <w:pStyle w:val="TextBody"/>
        <w:bidi w:val="0"/>
        <w:spacing w:before="160" w:after="0"/>
        <w:jc w:val="left"/>
        <w:rPr>
          <w:rFonts w:ascii="ARIAL" w:hAnsi="ARIAL"/>
          <w:sz w:val="18"/>
        </w:rPr>
      </w:pPr>
      <w:r>
        <w:rPr>
          <w:rFonts w:ascii="ARIAL" w:hAnsi="ARIAL"/>
          <w:sz w:val="18"/>
        </w:rPr>
        <w:t xml:space="preserve">The employment agreement provides for a base salary of $1,100,000 and an annual target bonus equal to 150% of his base salary (with a minimum payout of 100% of base salary for 2023). Mr. Pike received a sign-on equity grant of $4,000,000 (the “Sign-On Equity Grant”) in the form of time-vested RSUs. In addition, the employment agreement provides that if Labcorp successfully completed the Spin of Fortrea into an independent public company, Mr. Pike would receive equity awards with an aggregate grant date value of $20,000,000 (the “Initial Equity Grant”) consisting of RSUs and stock options. As Fortrea completed the Spin, Mr. Pike was issued the Initial Equity Grant on August 17, 2023. The total value of equity granted in 2023 in connection with the employment agreement was $24,000,000, consisting of the Sign-On Equity Grant and the Initial Equity Grant. Under the terms of the employment agreement, these equity grants are intended to cover the three-year period of the initial term of the employment agreement, which ends on December 31, 2025, and no further equity grants are intended to be made during that period. As a result, Mr. Pike did not receive an annual grant in 2024. The intended value of Mr. Pike’s long-term incentives under the full term of the employment agreement amounts to $8,000,000 per year on an annualized basis. Including his target cash compensation, Mr. Pike’s annual target direct compensation is $10,750,000, which we believe is appropriate and competitive for a highly experienced CEO. </w:t>
      </w:r>
    </w:p>
    <w:p>
      <w:pPr>
        <w:pStyle w:val="TextBody"/>
        <w:bidi w:val="0"/>
        <w:spacing w:before="160" w:after="0"/>
        <w:jc w:val="left"/>
        <w:rPr>
          <w:rFonts w:ascii="ARIAL" w:hAnsi="ARIAL"/>
          <w:sz w:val="18"/>
        </w:rPr>
      </w:pPr>
      <w:r>
        <w:rPr>
          <w:rFonts w:ascii="ARIAL" w:hAnsi="ARIAL"/>
          <w:sz w:val="18"/>
        </w:rPr>
        <w:t xml:space="preserve">The employment agreement also provides that Mr. Pike will be eligible to participate in all employee benefit plans, practices and programs that are generally made available to senior executives (except for Labcorp’s Master Senior Executive Severance Plan or any similar such Fortrea severance plan). Mr. Pike has also entered into a confidentiality, non-competition and non-solicitation agreement, which includes a perpetual confidentiality covenant and covenants not to compete or solicit employees and/or customers for twelve months following termination of his employment. See “Potential Payments Upon Termination or Change in Control” for a discussion of payments to Mr. Pike that may be triggered upon termination or a change in control. </w:t>
      </w:r>
    </w:p>
    <w:p>
      <w:pPr>
        <w:pStyle w:val="TextBody"/>
        <w:bidi w:val="0"/>
        <w:spacing w:before="360" w:after="0"/>
        <w:jc w:val="left"/>
        <w:rPr>
          <w:rFonts w:ascii="ARIAL" w:hAnsi="ARIAL"/>
          <w:i/>
          <w:sz w:val="20"/>
          <w:u w:val="single"/>
        </w:rPr>
      </w:pPr>
      <w:r>
        <w:rPr>
          <w:rFonts w:ascii="ARIAL" w:hAnsi="ARIAL"/>
          <w:i/>
          <w:sz w:val="20"/>
          <w:u w:val="single"/>
        </w:rPr>
        <w:t xml:space="preserve">Key 2023 Compensation Decisions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548005" cy="83820"/>
            <wp:effectExtent l="0" t="0" r="0" b="0"/>
            <wp:docPr id="30"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8" descr=""/>
                    <pic:cNvPicPr>
                      <a:picLocks noChangeAspect="1" noChangeArrowheads="1"/>
                    </pic:cNvPicPr>
                  </pic:nvPicPr>
                  <pic:blipFill>
                    <a:blip r:embed="rId25"/>
                    <a:stretch>
                      <a:fillRect/>
                    </a:stretch>
                  </pic:blipFill>
                  <pic:spPr bwMode="auto">
                    <a:xfrm>
                      <a:off x="0" y="0"/>
                      <a:ext cx="548005" cy="8382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Mr. Pike was hired in January 2023 by Labcorp as the President and CEO of Labcorp’s Drug Development, Clinical Development and Commercialization Services business unit. Mr. Pike’s employment agreement, provides for: (i) Mr. Pike’s base salary, (ii) equity grants to Mr. Pike, including the Sign-On Grant in January 2023, as well as an initial equity grant after Fortrea completed the Spin, which was granted in August 2023 as discussed below, and (iii) a guaranteed 2023 bonus.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Established pre-Spin 2023 base salaries for Ms. McConnell and Mr. Morais and subsequently adjusted Ms. McConnell’s and Mr. Morais’ base salary and target annual bonus in connection with the Spin to align more closely with pay levels similar to executives in comparable roles at our peer companies.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27</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Determined 2023 annual incentive design, including performance goals and metrics for 2023. These metrics did not initially contemplate the impact of the Spin and were tied to Labcorp performance. </w:t>
            </w:r>
          </w:p>
        </w:tc>
      </w:tr>
    </w:tbl>
    <w:p>
      <w:pPr>
        <w:pStyle w:val="TextBody"/>
        <w:bidi w:val="0"/>
        <w:spacing w:before="0" w:after="0"/>
        <w:jc w:val="left"/>
        <w:rPr/>
      </w:pPr>
      <w:r>
        <w:rPr/>
        <w:t> </w:t>
      </w:r>
    </w:p>
    <w:tbl>
      <w:tblPr>
        <w:tblW w:w="10120" w:type="dxa"/>
        <w:jc w:val="left"/>
        <w:tblInd w:w="0" w:type="dxa"/>
        <w:tblLayout w:type="fixed"/>
        <w:tblCellMar>
          <w:top w:w="0" w:type="dxa"/>
          <w:left w:w="0" w:type="dxa"/>
          <w:bottom w:w="0" w:type="dxa"/>
          <w:right w:w="0" w:type="dxa"/>
        </w:tblCellMar>
      </w:tblPr>
      <w:tblGrid>
        <w:gridCol w:w="125"/>
        <w:gridCol w:w="60"/>
        <w:gridCol w:w="993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35" w:type="dxa"/>
            <w:tcBorders/>
            <w:vAlign w:val="center"/>
          </w:tcPr>
          <w:p>
            <w:pPr>
              <w:pStyle w:val="TableContents"/>
              <w:bidi w:val="0"/>
              <w:spacing w:before="0" w:after="0"/>
              <w:jc w:val="left"/>
              <w:rPr>
                <w:rFonts w:ascii="ARIAL" w:hAnsi="ARIAL"/>
                <w:sz w:val="18"/>
              </w:rPr>
            </w:pPr>
            <w:r>
              <w:rPr>
                <w:rFonts w:ascii="ARIAL" w:hAnsi="ARIAL"/>
                <w:sz w:val="18"/>
              </w:rPr>
              <w:t xml:space="preserve">Awarded both Ms. McConnell and Mr. Morais a cash bonus in order to incentivize them to work through and past the Spin. </w:t>
            </w:r>
          </w:p>
        </w:tc>
      </w:tr>
    </w:tbl>
    <w:p>
      <w:pPr>
        <w:pStyle w:val="TextBody"/>
        <w:bidi w:val="0"/>
        <w:spacing w:before="0" w:after="0"/>
        <w:jc w:val="left"/>
        <w:rPr/>
      </w:pPr>
      <w:r>
        <w:rPr/>
        <w:t> </w:t>
      </w:r>
    </w:p>
    <w:tbl>
      <w:tblPr>
        <w:tblW w:w="10060" w:type="dxa"/>
        <w:jc w:val="left"/>
        <w:tblInd w:w="0" w:type="dxa"/>
        <w:tblLayout w:type="fixed"/>
        <w:tblCellMar>
          <w:top w:w="0" w:type="dxa"/>
          <w:left w:w="0" w:type="dxa"/>
          <w:bottom w:w="0" w:type="dxa"/>
          <w:right w:w="0" w:type="dxa"/>
        </w:tblCellMar>
      </w:tblPr>
      <w:tblGrid>
        <w:gridCol w:w="125"/>
        <w:gridCol w:w="60"/>
        <w:gridCol w:w="987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0"/>
              <w:jc w:val="left"/>
              <w:rPr>
                <w:rFonts w:ascii="ARIAL" w:hAnsi="ARIAL"/>
                <w:sz w:val="18"/>
              </w:rPr>
            </w:pPr>
            <w:r>
              <w:rPr>
                <w:rFonts w:ascii="ARIAL" w:hAnsi="ARIAL"/>
                <w:sz w:val="18"/>
              </w:rPr>
              <w:t xml:space="preserve">Granted annual long-term incentive awards in February 2023, based on each executive’s role and expected contribution.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Revised 2023 annual incentive design to include performance goals and metrics that fully contemplated the impact of the Spin. Performance goals and funding for the second half of 2023 were tied to Fortrea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Granted one-time RSU awards in June 2023 to certain employees, including two of our NEOs, to incentivize the employees to work through the Spin and the critical initial period of building and operating a new independent public company. </w:t>
            </w:r>
          </w:p>
        </w:tc>
      </w:tr>
    </w:tbl>
    <w:p>
      <w:pPr>
        <w:pStyle w:val="TextBody"/>
        <w:bidi w:val="0"/>
        <w:spacing w:before="0" w:after="0"/>
        <w:jc w:val="left"/>
        <w:rPr/>
      </w:pPr>
      <w:r>
        <w:rPr/>
        <w:t> </w:t>
      </w:r>
    </w:p>
    <w:tbl>
      <w:tblPr>
        <w:tblW w:w="8215" w:type="dxa"/>
        <w:jc w:val="left"/>
        <w:tblInd w:w="0" w:type="dxa"/>
        <w:tblLayout w:type="fixed"/>
        <w:tblCellMar>
          <w:top w:w="0" w:type="dxa"/>
          <w:left w:w="0" w:type="dxa"/>
          <w:bottom w:w="0" w:type="dxa"/>
          <w:right w:w="0" w:type="dxa"/>
        </w:tblCellMar>
      </w:tblPr>
      <w:tblGrid>
        <w:gridCol w:w="125"/>
        <w:gridCol w:w="60"/>
        <w:gridCol w:w="803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left"/>
              <w:rPr>
                <w:rFonts w:ascii="ARIAL" w:hAnsi="ARIAL"/>
                <w:sz w:val="18"/>
              </w:rPr>
            </w:pPr>
            <w:r>
              <w:rPr>
                <w:rFonts w:ascii="ARIAL" w:hAnsi="ARIAL"/>
                <w:sz w:val="18"/>
              </w:rPr>
              <w:t xml:space="preserve">Determined the conversion treatment of unvested Labcorp equity into Fortrea equity after the Spin.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540385" cy="85090"/>
            <wp:effectExtent l="0" t="0" r="0" b="0"/>
            <wp:docPr id="3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9" descr=""/>
                    <pic:cNvPicPr>
                      <a:picLocks noChangeAspect="1" noChangeArrowheads="1"/>
                    </pic:cNvPicPr>
                  </pic:nvPicPr>
                  <pic:blipFill>
                    <a:blip r:embed="rId26"/>
                    <a:stretch>
                      <a:fillRect/>
                    </a:stretch>
                  </pic:blipFill>
                  <pic:spPr bwMode="auto">
                    <a:xfrm>
                      <a:off x="0" y="0"/>
                      <a:ext cx="540385" cy="8509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Approved one-time Founders Grants in the form of time-based RSUs under the Fortrea Inc. 2023 Omnibus Incentive Plan (the “Omnibus Incentive Plan”) for all bonus-eligible employees (excluding our NEOs) that were intended to engage and align employees with the interests of our stockholders during the critical time following the Spin and provide a meaningful ownership stake in the Company from our “Day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Approved the Initial Equity Grant under Mr. Pike’s employment agreement, which together with the Sign-On Grant, was intended to provide an equivalent value of three years of grants. There is no current plan to provide additional equity grants through the remaining initial term of his employment agreement, which ends on December 31, 2025. In accordance with Mr. Pike’s employment agreement, Mr. Pike did not receive an equity grant in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Because the February 2023 grant did not take into account each NEO’s post-spin roles and responsibilities (since such roles and responsibilities were not certain at the time of grant), the Fortrea MDCC approved an incremental long-term incentive grant in August 2023 for Ms. McConnell and Mr. Morais in order to provide competitive total compensation for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Adopted a Compensation Clawback Policy compliant with Dodd Frank and Nasdaq rules and a separate, broader misconduct compensation recoupment policy. </w:t>
            </w:r>
          </w:p>
        </w:tc>
      </w:tr>
    </w:tbl>
    <w:p>
      <w:pPr>
        <w:pStyle w:val="TextBody"/>
        <w:bidi w:val="0"/>
        <w:spacing w:before="0" w:after="0"/>
        <w:jc w:val="left"/>
        <w:rPr/>
      </w:pPr>
      <w:r>
        <w:rPr/>
        <w:t> </w:t>
      </w:r>
    </w:p>
    <w:tbl>
      <w:tblPr>
        <w:tblW w:w="3445" w:type="dxa"/>
        <w:jc w:val="left"/>
        <w:tblInd w:w="0" w:type="dxa"/>
        <w:tblLayout w:type="fixed"/>
        <w:tblCellMar>
          <w:top w:w="0" w:type="dxa"/>
          <w:left w:w="0" w:type="dxa"/>
          <w:bottom w:w="0" w:type="dxa"/>
          <w:right w:w="0" w:type="dxa"/>
        </w:tblCellMar>
      </w:tblPr>
      <w:tblGrid>
        <w:gridCol w:w="125"/>
        <w:gridCol w:w="60"/>
        <w:gridCol w:w="326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0"/>
              <w:jc w:val="left"/>
              <w:rPr>
                <w:rFonts w:ascii="ARIAL" w:hAnsi="ARIAL"/>
                <w:sz w:val="18"/>
              </w:rPr>
            </w:pPr>
            <w:r>
              <w:rPr>
                <w:rFonts w:ascii="ARIAL" w:hAnsi="ARIAL"/>
                <w:sz w:val="18"/>
              </w:rPr>
              <w:t xml:space="preserve">Adopted an Executive Severance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sz w:val="18"/>
              </w:rPr>
              <w:t xml:space="preserve">Engaged a new, independent compensation consultant, Pay Governance, to assist the Fortrea MDCC with evaluating Fortrea’s go-forward compensation plans to support the strategic direction of the Company following its Spin from Labcorp.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28</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i/>
          <w:sz w:val="20"/>
          <w:u w:val="single"/>
        </w:rPr>
      </w:pPr>
      <w:r>
        <w:rPr>
          <w:rFonts w:ascii="ARIAL" w:hAnsi="ARIAL"/>
          <w:i/>
          <w:sz w:val="20"/>
          <w:u w:val="single"/>
        </w:rPr>
        <w:t xml:space="preserve">Compensation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26"/>
        <w:gridCol w:w="60"/>
        <w:gridCol w:w="4950"/>
        <w:gridCol w:w="60"/>
        <w:gridCol w:w="3209"/>
      </w:tblGrid>
      <w:tr>
        <w:trPr/>
        <w:tc>
          <w:tcPr>
            <w:tcW w:w="192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09" w:type="dxa"/>
            <w:tcBorders/>
            <w:vAlign w:val="center"/>
          </w:tcPr>
          <w:p>
            <w:pPr>
              <w:pStyle w:val="TableContents"/>
              <w:bidi w:val="0"/>
              <w:spacing w:before="0" w:after="283"/>
              <w:jc w:val="left"/>
              <w:rPr>
                <w:sz w:val="4"/>
                <w:szCs w:val="4"/>
              </w:rPr>
            </w:pPr>
            <w:r>
              <w:rPr>
                <w:sz w:val="4"/>
                <w:szCs w:val="4"/>
              </w:rPr>
            </w:r>
          </w:p>
        </w:tc>
      </w:tr>
      <w:tr>
        <w:trPr/>
        <w:tc>
          <w:tcPr>
            <w:tcW w:w="1926" w:type="dxa"/>
            <w:tcBorders>
              <w:top w:val="single" w:sz="6" w:space="0" w:color="000000"/>
              <w:left w:val="single" w:sz="6" w:space="0" w:color="000000"/>
              <w:right w:val="single" w:sz="6" w:space="0" w:color="000000"/>
            </w:tcBorders>
            <w:shd w:fill="0BC11C" w:val="clear"/>
            <w:tcMar>
              <w:top w:w="28" w:type="dxa"/>
              <w:left w:w="160" w:type="dxa"/>
              <w:right w:w="28" w:type="dxa"/>
            </w:tcMar>
            <w:vAlign w:val="center"/>
          </w:tcPr>
          <w:p>
            <w:pPr>
              <w:pStyle w:val="TableContents"/>
              <w:bidi w:val="0"/>
              <w:spacing w:before="0" w:after="283"/>
              <w:jc w:val="left"/>
              <w:rPr/>
            </w:pPr>
            <w:r>
              <w:rPr/>
              <w:t> </w:t>
            </w:r>
          </w:p>
        </w:tc>
        <w:tc>
          <w:tcPr>
            <w:tcW w:w="5010" w:type="dxa"/>
            <w:gridSpan w:val="2"/>
            <w:tcBorders>
              <w:top w:val="single" w:sz="6" w:space="0" w:color="000000"/>
              <w:left w:val="single" w:sz="6" w:space="0" w:color="000000"/>
              <w:right w:val="single" w:sz="6" w:space="0" w:color="000000"/>
            </w:tcBorders>
            <w:shd w:fill="0BC11C" w:val="clear"/>
            <w:tcMar>
              <w:top w:w="28" w:type="dxa"/>
              <w:left w:w="28" w:type="dxa"/>
              <w:right w:w="28" w:type="dxa"/>
            </w:tcMar>
            <w:vAlign w:val="center"/>
          </w:tcPr>
          <w:p>
            <w:pPr>
              <w:pStyle w:val="TableContents"/>
              <w:bidi w:val="0"/>
              <w:spacing w:before="0" w:after="283"/>
              <w:jc w:val="left"/>
              <w:rPr/>
            </w:pPr>
            <w:r>
              <w:rPr/>
              <w:t> </w:t>
            </w:r>
          </w:p>
        </w:tc>
        <w:tc>
          <w:tcPr>
            <w:tcW w:w="3269" w:type="dxa"/>
            <w:gridSpan w:val="2"/>
            <w:tcBorders>
              <w:top w:val="single" w:sz="6" w:space="0" w:color="000000"/>
              <w:left w:val="single" w:sz="6" w:space="0" w:color="000000"/>
              <w:right w:val="single" w:sz="6" w:space="0" w:color="000000"/>
            </w:tcBorders>
            <w:shd w:fill="0BC11C" w:val="clear"/>
            <w:tcMar>
              <w:top w:w="28" w:type="dxa"/>
              <w:left w:w="28" w:type="dxa"/>
              <w:right w:w="28" w:type="dxa"/>
            </w:tcMar>
            <w:vAlign w:val="center"/>
          </w:tcPr>
          <w:p>
            <w:pPr>
              <w:pStyle w:val="TableContents"/>
              <w:bidi w:val="0"/>
              <w:spacing w:before="0" w:after="283"/>
              <w:jc w:val="left"/>
              <w:rPr/>
            </w:pPr>
            <w:r>
              <w:rPr/>
              <w:t> </w:t>
            </w:r>
          </w:p>
        </w:tc>
      </w:tr>
      <w:tr>
        <w:trPr/>
        <w:tc>
          <w:tcPr>
            <w:tcW w:w="1926" w:type="dxa"/>
            <w:tcBorders>
              <w:left w:val="single" w:sz="6" w:space="0" w:color="000000"/>
              <w:bottom w:val="single" w:sz="6" w:space="0" w:color="000000"/>
              <w:right w:val="single" w:sz="6" w:space="0" w:color="000000"/>
            </w:tcBorders>
            <w:shd w:fill="0BC11C" w:val="clear"/>
            <w:tcMar>
              <w:left w:w="160" w:type="dxa"/>
              <w:bottom w:w="28" w:type="dxa"/>
              <w:right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shd w:fill="0BC11C" w:val="clear"/>
            <w:tcMar>
              <w:left w:w="28" w:type="dxa"/>
              <w:bottom w:w="28" w:type="dxa"/>
            </w:tcMar>
            <w:vAlign w:val="center"/>
          </w:tcPr>
          <w:p>
            <w:pPr>
              <w:pStyle w:val="TableContents"/>
              <w:bidi w:val="0"/>
              <w:spacing w:before="0" w:after="283"/>
              <w:jc w:val="left"/>
              <w:rPr/>
            </w:pPr>
            <w:r>
              <w:rPr/>
              <w:t> </w:t>
            </w:r>
          </w:p>
        </w:tc>
        <w:tc>
          <w:tcPr>
            <w:tcW w:w="4950" w:type="dxa"/>
            <w:tcBorders>
              <w:bottom w:val="single" w:sz="6" w:space="0" w:color="000000"/>
              <w:right w:val="single" w:sz="6" w:space="0" w:color="000000"/>
            </w:tcBorders>
            <w:shd w:fill="0BC11C" w:val="clear"/>
            <w:tcMar>
              <w:bottom w:w="80" w:type="dxa"/>
              <w:right w:w="28"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What We Do</w:t>
            </w:r>
          </w:p>
        </w:tc>
        <w:tc>
          <w:tcPr>
            <w:tcW w:w="60" w:type="dxa"/>
            <w:tcBorders>
              <w:left w:val="single" w:sz="6" w:space="0" w:color="000000"/>
              <w:bottom w:val="single" w:sz="6" w:space="0" w:color="000000"/>
            </w:tcBorders>
            <w:shd w:fill="0BC11C" w:val="clear"/>
            <w:tcMar>
              <w:left w:w="28" w:type="dxa"/>
              <w:bottom w:w="28" w:type="dxa"/>
            </w:tcMar>
            <w:vAlign w:val="center"/>
          </w:tcPr>
          <w:p>
            <w:pPr>
              <w:pStyle w:val="TableContents"/>
              <w:bidi w:val="0"/>
              <w:spacing w:before="0" w:after="283"/>
              <w:jc w:val="left"/>
              <w:rPr/>
            </w:pPr>
            <w:r>
              <w:rPr/>
              <w:t> </w:t>
            </w:r>
          </w:p>
        </w:tc>
        <w:tc>
          <w:tcPr>
            <w:tcW w:w="3209" w:type="dxa"/>
            <w:tcBorders>
              <w:bottom w:val="single" w:sz="6" w:space="0" w:color="000000"/>
              <w:right w:val="single" w:sz="6" w:space="0" w:color="000000"/>
            </w:tcBorders>
            <w:shd w:fill="0BC11C" w:val="clear"/>
            <w:tcMar>
              <w:bottom w:w="80" w:type="dxa"/>
              <w:right w:w="40" w:type="dxa"/>
            </w:tcMar>
            <w:vAlign w:val="center"/>
          </w:tcPr>
          <w:p>
            <w:pPr>
              <w:pStyle w:val="TableContents"/>
              <w:bidi w:val="0"/>
              <w:spacing w:before="0" w:after="283"/>
              <w:jc w:val="left"/>
              <w:rPr>
                <w:b/>
                <w:color w:val="FFFFFF"/>
              </w:rPr>
            </w:pPr>
            <w:r>
              <w:rPr>
                <w:b/>
                <w:color w:val="FFFFFF"/>
              </w:rPr>
              <w:t>What We Don’t Do</w:t>
            </w:r>
          </w:p>
        </w:tc>
      </w:tr>
      <w:tr>
        <w:trPr/>
        <w:tc>
          <w:tcPr>
            <w:tcW w:w="1926"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501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326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26" w:type="dxa"/>
            <w:tcBorders>
              <w:left w:val="single" w:sz="6" w:space="0" w:color="000000"/>
              <w:bottom w:val="single" w:sz="6" w:space="0" w:color="000000"/>
              <w:right w:val="single" w:sz="6" w:space="0" w:color="000000"/>
            </w:tcBorders>
            <w:tcMar>
              <w:left w:w="160" w:type="dxa"/>
              <w:bottom w:w="80" w:type="dxa"/>
              <w:right w:w="28" w:type="dxa"/>
            </w:tcMar>
            <w:vAlign w:val="center"/>
          </w:tcPr>
          <w:p>
            <w:pPr>
              <w:pStyle w:val="TableContents"/>
              <w:bidi w:val="0"/>
              <w:spacing w:before="0" w:after="283"/>
              <w:jc w:val="left"/>
              <w:rPr>
                <w:b/>
              </w:rPr>
            </w:pPr>
            <w:r>
              <w:rPr>
                <w:b/>
              </w:rPr>
              <w:t>Compensation Program Elements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50" w:type="dxa"/>
            <w:tcBorders>
              <w:bottom w:val="single" w:sz="6" w:space="0" w:color="000000"/>
              <w:right w:val="single" w:sz="6" w:space="0" w:color="000000"/>
            </w:tcBorders>
            <w:tcMar>
              <w:bottom w:w="80" w:type="dxa"/>
              <w:right w:w="28" w:type="dxa"/>
            </w:tcMar>
            <w:vAlign w:val="center"/>
          </w:tcPr>
          <w:p>
            <w:pPr>
              <w:pStyle w:val="TableContents"/>
              <w:bidi w:val="0"/>
              <w:spacing w:before="0" w:after="0"/>
              <w:jc w:val="left"/>
              <w:rPr/>
            </w:pPr>
            <w:r>
              <w:rPr/>
              <w:t>•  </w:t>
            </w:r>
            <w:r>
              <w:rPr>
                <w:rFonts w:ascii="ARIAL" w:hAnsi="ARIAL"/>
                <w:sz w:val="18"/>
              </w:rPr>
              <w:t>Use balanced mix of cash and equity compensation and annual and long-term incentives.</w:t>
            </w:r>
          </w:p>
          <w:p>
            <w:pPr>
              <w:pStyle w:val="TableContents"/>
              <w:bidi w:val="0"/>
              <w:spacing w:before="0" w:after="0"/>
              <w:jc w:val="left"/>
              <w:rPr/>
            </w:pPr>
            <w:r>
              <w:rPr/>
              <w:t>•  </w:t>
            </w:r>
            <w:r>
              <w:rPr>
                <w:rFonts w:ascii="ARIAL" w:hAnsi="ARIAL"/>
                <w:sz w:val="18"/>
              </w:rPr>
              <w:t>Provide competitive target total compensation to our NEOs.</w:t>
            </w:r>
          </w:p>
          <w:p>
            <w:pPr>
              <w:pStyle w:val="TableContents"/>
              <w:bidi w:val="0"/>
              <w:spacing w:before="0" w:after="20"/>
              <w:jc w:val="left"/>
              <w:rPr/>
            </w:pPr>
            <w:r>
              <w:rPr/>
              <w:t>•  </w:t>
            </w:r>
            <w:r>
              <w:rPr>
                <w:rFonts w:ascii="ARIAL" w:hAnsi="ARIAL"/>
                <w:sz w:val="18"/>
              </w:rPr>
              <w:t>Engage independent compensation consultant to provide Fortrea MDCC advice and market trends on executive compensation.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209" w:type="dxa"/>
            <w:tcBorders>
              <w:bottom w:val="single" w:sz="6" w:space="0" w:color="000000"/>
              <w:right w:val="single" w:sz="6" w:space="0" w:color="000000"/>
            </w:tcBorders>
            <w:tcMar>
              <w:bottom w:w="80" w:type="dxa"/>
              <w:right w:w="40" w:type="dxa"/>
            </w:tcMar>
            <w:vAlign w:val="center"/>
          </w:tcPr>
          <w:p>
            <w:pPr>
              <w:pStyle w:val="TableContents"/>
              <w:bidi w:val="0"/>
              <w:spacing w:before="0" w:after="0"/>
              <w:jc w:val="left"/>
              <w:rPr/>
            </w:pPr>
            <w:r>
              <w:rPr/>
              <w:t>•  </w:t>
            </w:r>
            <w:r>
              <w:rPr>
                <w:rFonts w:ascii="ARIAL" w:hAnsi="ARIAL"/>
                <w:sz w:val="18"/>
              </w:rPr>
              <w:t>No single trigger arrangements.</w:t>
            </w:r>
          </w:p>
          <w:p>
            <w:pPr>
              <w:pStyle w:val="TableContents"/>
              <w:bidi w:val="0"/>
              <w:spacing w:before="0" w:after="0"/>
              <w:jc w:val="left"/>
              <w:rPr/>
            </w:pPr>
            <w:r>
              <w:rPr/>
              <w:t>•  </w:t>
            </w:r>
            <w:r>
              <w:rPr>
                <w:rFonts w:ascii="ARIAL" w:hAnsi="ARIAL"/>
                <w:sz w:val="18"/>
              </w:rPr>
              <w:t>No uncapped incentive opportunities.</w:t>
            </w:r>
          </w:p>
          <w:p>
            <w:pPr>
              <w:pStyle w:val="TableContents"/>
              <w:bidi w:val="0"/>
              <w:spacing w:before="0" w:after="20"/>
              <w:jc w:val="left"/>
              <w:rPr/>
            </w:pPr>
            <w:r>
              <w:rPr/>
              <w:t>•  </w:t>
            </w:r>
            <w:r>
              <w:rPr>
                <w:rFonts w:ascii="ARIAL" w:hAnsi="ARIAL"/>
                <w:sz w:val="18"/>
              </w:rPr>
              <w:t>No hedging or pledging of our shares.</w:t>
            </w:r>
          </w:p>
        </w:tc>
      </w:tr>
      <w:tr>
        <w:trPr/>
        <w:tc>
          <w:tcPr>
            <w:tcW w:w="1926" w:type="dxa"/>
            <w:tcBorders>
              <w:top w:val="single" w:sz="6" w:space="0" w:color="000000"/>
              <w:left w:val="single" w:sz="6" w:space="0" w:color="000000"/>
              <w:right w:val="single" w:sz="6" w:space="0" w:color="000000"/>
            </w:tcBorders>
            <w:shd w:fill="EDEDED" w:val="clear"/>
            <w:tcMar>
              <w:top w:w="28" w:type="dxa"/>
              <w:left w:w="160" w:type="dxa"/>
              <w:right w:w="28" w:type="dxa"/>
            </w:tcMar>
            <w:vAlign w:val="center"/>
          </w:tcPr>
          <w:p>
            <w:pPr>
              <w:pStyle w:val="TableContents"/>
              <w:bidi w:val="0"/>
              <w:spacing w:before="0" w:after="283"/>
              <w:jc w:val="left"/>
              <w:rPr/>
            </w:pPr>
            <w:r>
              <w:rPr/>
              <w:t> </w:t>
            </w:r>
          </w:p>
        </w:tc>
        <w:tc>
          <w:tcPr>
            <w:tcW w:w="5010" w:type="dxa"/>
            <w:gridSpan w:val="2"/>
            <w:tcBorders>
              <w:top w:val="single" w:sz="6" w:space="0" w:color="000000"/>
              <w:left w:val="single" w:sz="6" w:space="0" w:color="000000"/>
              <w:right w:val="single" w:sz="6" w:space="0" w:color="000000"/>
            </w:tcBorders>
            <w:shd w:fill="EDEDED" w:val="clear"/>
            <w:tcMar>
              <w:top w:w="28" w:type="dxa"/>
              <w:left w:w="28" w:type="dxa"/>
              <w:right w:w="28" w:type="dxa"/>
            </w:tcMar>
            <w:vAlign w:val="center"/>
          </w:tcPr>
          <w:p>
            <w:pPr>
              <w:pStyle w:val="TableContents"/>
              <w:bidi w:val="0"/>
              <w:spacing w:before="0" w:after="283"/>
              <w:jc w:val="left"/>
              <w:rPr/>
            </w:pPr>
            <w:r>
              <w:rPr/>
              <w:t> </w:t>
            </w:r>
          </w:p>
        </w:tc>
        <w:tc>
          <w:tcPr>
            <w:tcW w:w="3269" w:type="dxa"/>
            <w:gridSpan w:val="2"/>
            <w:tcBorders>
              <w:top w:val="single" w:sz="6" w:space="0" w:color="000000"/>
              <w:left w:val="single" w:sz="6" w:space="0" w:color="000000"/>
              <w:right w:val="single" w:sz="6" w:space="0" w:color="000000"/>
            </w:tcBorders>
            <w:shd w:fill="EDEDED" w:val="clear"/>
            <w:tcMar>
              <w:top w:w="28" w:type="dxa"/>
              <w:left w:w="28" w:type="dxa"/>
              <w:right w:w="28" w:type="dxa"/>
            </w:tcMar>
            <w:vAlign w:val="center"/>
          </w:tcPr>
          <w:p>
            <w:pPr>
              <w:pStyle w:val="TableContents"/>
              <w:bidi w:val="0"/>
              <w:spacing w:before="0" w:after="283"/>
              <w:jc w:val="left"/>
              <w:rPr/>
            </w:pPr>
            <w:r>
              <w:rPr/>
              <w:t> </w:t>
            </w:r>
          </w:p>
        </w:tc>
      </w:tr>
      <w:tr>
        <w:trPr/>
        <w:tc>
          <w:tcPr>
            <w:tcW w:w="1926" w:type="dxa"/>
            <w:tcBorders>
              <w:left w:val="single" w:sz="6" w:space="0" w:color="000000"/>
              <w:bottom w:val="single" w:sz="6" w:space="0" w:color="000000"/>
              <w:right w:val="single" w:sz="6" w:space="0" w:color="000000"/>
            </w:tcBorders>
            <w:shd w:fill="EDEDED" w:val="clear"/>
            <w:tcMar>
              <w:left w:w="160" w:type="dxa"/>
              <w:bottom w:w="80" w:type="dxa"/>
              <w:right w:w="28" w:type="dxa"/>
            </w:tcMar>
            <w:vAlign w:val="center"/>
          </w:tcPr>
          <w:p>
            <w:pPr>
              <w:pStyle w:val="TableContents"/>
              <w:bidi w:val="0"/>
              <w:spacing w:before="0" w:after="283"/>
              <w:jc w:val="left"/>
              <w:rPr>
                <w:b/>
              </w:rPr>
            </w:pPr>
            <w:r>
              <w:rPr>
                <w:b/>
              </w:rPr>
              <w:t>Pay for Performance</w:t>
            </w:r>
          </w:p>
        </w:tc>
        <w:tc>
          <w:tcPr>
            <w:tcW w:w="60" w:type="dxa"/>
            <w:tcBorders>
              <w:left w:val="single" w:sz="6" w:space="0" w:color="000000"/>
              <w:bottom w:val="single" w:sz="6" w:space="0" w:color="000000"/>
            </w:tcBorders>
            <w:shd w:fill="EDEDED" w:val="clear"/>
            <w:tcMar>
              <w:left w:w="28" w:type="dxa"/>
              <w:bottom w:w="28" w:type="dxa"/>
            </w:tcMar>
            <w:vAlign w:val="center"/>
          </w:tcPr>
          <w:p>
            <w:pPr>
              <w:pStyle w:val="TableContents"/>
              <w:bidi w:val="0"/>
              <w:spacing w:before="0" w:after="283"/>
              <w:jc w:val="left"/>
              <w:rPr/>
            </w:pPr>
            <w:r>
              <w:rPr/>
              <w:t> </w:t>
            </w:r>
          </w:p>
        </w:tc>
        <w:tc>
          <w:tcPr>
            <w:tcW w:w="4950" w:type="dxa"/>
            <w:tcBorders>
              <w:bottom w:val="single" w:sz="6" w:space="0" w:color="000000"/>
              <w:right w:val="single" w:sz="6" w:space="0" w:color="000000"/>
            </w:tcBorders>
            <w:shd w:fill="EDEDED" w:val="clear"/>
            <w:tcMar>
              <w:bottom w:w="80" w:type="dxa"/>
              <w:right w:w="28" w:type="dxa"/>
            </w:tcMar>
            <w:vAlign w:val="center"/>
          </w:tcPr>
          <w:p>
            <w:pPr>
              <w:pStyle w:val="TableContents"/>
              <w:bidi w:val="0"/>
              <w:spacing w:before="0" w:after="0"/>
              <w:jc w:val="left"/>
              <w:rPr/>
            </w:pPr>
            <w:r>
              <w:rPr/>
              <w:t>•  </w:t>
            </w:r>
            <w:r>
              <w:rPr>
                <w:rFonts w:ascii="ARIAL" w:hAnsi="ARIAL"/>
                <w:sz w:val="18"/>
              </w:rPr>
              <w:t>Align executive compensation with the execution of our business strategy by using performance metrics that reward behaviors that support our business objectives and long-term stockholder value.</w:t>
            </w:r>
          </w:p>
          <w:p>
            <w:pPr>
              <w:pStyle w:val="TableContents"/>
              <w:bidi w:val="0"/>
              <w:spacing w:before="0" w:after="0"/>
              <w:jc w:val="left"/>
              <w:rPr/>
            </w:pPr>
            <w:r>
              <w:rPr/>
              <w:t>•  </w:t>
            </w:r>
            <w:r>
              <w:rPr>
                <w:rFonts w:ascii="ARIAL" w:hAnsi="ARIAL"/>
                <w:sz w:val="18"/>
              </w:rPr>
              <w:t>Balance performance metrics in our incentive plans so that undue weight is not given to any one metric, and measure performance over annual and multi-year performance periods.</w:t>
            </w:r>
          </w:p>
          <w:p>
            <w:pPr>
              <w:pStyle w:val="TableContents"/>
              <w:bidi w:val="0"/>
              <w:spacing w:before="0" w:after="20"/>
              <w:jc w:val="left"/>
              <w:rPr/>
            </w:pPr>
            <w:r>
              <w:rPr/>
              <w:t>•  </w:t>
            </w:r>
            <w:r>
              <w:rPr>
                <w:rFonts w:ascii="ARIAL" w:hAnsi="ARIAL"/>
                <w:sz w:val="18"/>
              </w:rPr>
              <w:t>Use relative total stockholder return metric in long-term plan for strong alignment with stockholders.</w:t>
            </w:r>
          </w:p>
        </w:tc>
        <w:tc>
          <w:tcPr>
            <w:tcW w:w="60" w:type="dxa"/>
            <w:tcBorders>
              <w:left w:val="single" w:sz="6" w:space="0" w:color="000000"/>
              <w:bottom w:val="single" w:sz="6" w:space="0" w:color="000000"/>
            </w:tcBorders>
            <w:shd w:fill="EDEDED" w:val="clear"/>
            <w:tcMar>
              <w:left w:w="28" w:type="dxa"/>
              <w:bottom w:w="28" w:type="dxa"/>
            </w:tcMar>
            <w:vAlign w:val="center"/>
          </w:tcPr>
          <w:p>
            <w:pPr>
              <w:pStyle w:val="TableContents"/>
              <w:bidi w:val="0"/>
              <w:spacing w:before="0" w:after="283"/>
              <w:jc w:val="left"/>
              <w:rPr/>
            </w:pPr>
            <w:r>
              <w:rPr/>
              <w:t> </w:t>
            </w:r>
          </w:p>
        </w:tc>
        <w:tc>
          <w:tcPr>
            <w:tcW w:w="3209" w:type="dxa"/>
            <w:tcBorders>
              <w:bottom w:val="single" w:sz="6" w:space="0" w:color="000000"/>
              <w:right w:val="single" w:sz="6" w:space="0" w:color="000000"/>
            </w:tcBorders>
            <w:shd w:fill="EDEDED" w:val="clear"/>
            <w:tcMar>
              <w:bottom w:w="80" w:type="dxa"/>
              <w:right w:w="40" w:type="dxa"/>
            </w:tcMar>
            <w:vAlign w:val="center"/>
          </w:tcPr>
          <w:p>
            <w:pPr>
              <w:pStyle w:val="TableContents"/>
              <w:bidi w:val="0"/>
              <w:spacing w:before="0" w:after="0"/>
              <w:jc w:val="left"/>
              <w:rPr/>
            </w:pPr>
            <w:r>
              <w:rPr/>
              <w:t>•  </w:t>
            </w:r>
            <w:r>
              <w:rPr>
                <w:rFonts w:ascii="ARIAL" w:hAnsi="ARIAL"/>
                <w:sz w:val="18"/>
              </w:rPr>
              <w:t>While we emphasize “at risk” pay tied to performance, our program does not encourage excessive risk-taking by management.</w:t>
            </w:r>
          </w:p>
          <w:p>
            <w:pPr>
              <w:pStyle w:val="TableContents"/>
              <w:bidi w:val="0"/>
              <w:spacing w:before="0" w:after="0"/>
              <w:jc w:val="left"/>
              <w:rPr/>
            </w:pPr>
            <w:r>
              <w:rPr/>
              <w:t>•  </w:t>
            </w:r>
            <w:r>
              <w:rPr>
                <w:rFonts w:ascii="ARIAL" w:hAnsi="ARIAL"/>
                <w:sz w:val="18"/>
              </w:rPr>
              <w:t>No guaranteed salary increases or incentive awards for executive officers, outside new-hire arrangements.</w:t>
            </w:r>
          </w:p>
          <w:p>
            <w:pPr>
              <w:pStyle w:val="TableContents"/>
              <w:bidi w:val="0"/>
              <w:spacing w:before="0" w:after="20"/>
              <w:jc w:val="left"/>
              <w:rPr/>
            </w:pPr>
            <w:r>
              <w:rPr/>
              <w:t>•  </w:t>
            </w:r>
            <w:r>
              <w:rPr>
                <w:rFonts w:ascii="ARIAL" w:hAnsi="ARIAL"/>
                <w:sz w:val="18"/>
              </w:rPr>
              <w:t>No defined benefit plans or retirement plans outside the 401(k) Plan available to all eligible employees.</w:t>
            </w:r>
          </w:p>
        </w:tc>
      </w:tr>
      <w:tr>
        <w:trPr/>
        <w:tc>
          <w:tcPr>
            <w:tcW w:w="1926"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501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326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926" w:type="dxa"/>
            <w:tcBorders>
              <w:left w:val="single" w:sz="6" w:space="0" w:color="000000"/>
              <w:bottom w:val="single" w:sz="6" w:space="0" w:color="000000"/>
              <w:right w:val="single" w:sz="6" w:space="0" w:color="000000"/>
            </w:tcBorders>
            <w:tcMar>
              <w:left w:w="160" w:type="dxa"/>
              <w:bottom w:w="80" w:type="dxa"/>
              <w:right w:w="28" w:type="dxa"/>
            </w:tcMar>
            <w:vAlign w:val="center"/>
          </w:tcPr>
          <w:p>
            <w:pPr>
              <w:pStyle w:val="TableContents"/>
              <w:bidi w:val="0"/>
              <w:spacing w:before="0" w:after="283"/>
              <w:jc w:val="left"/>
              <w:rPr>
                <w:b/>
              </w:rPr>
            </w:pPr>
            <w:r>
              <w:rPr>
                <w:b/>
              </w:rPr>
              <w:t>Strong Compensation Policies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4950" w:type="dxa"/>
            <w:tcBorders>
              <w:bottom w:val="single" w:sz="6" w:space="0" w:color="000000"/>
              <w:right w:val="single" w:sz="6" w:space="0" w:color="000000"/>
            </w:tcBorders>
            <w:tcMar>
              <w:bottom w:w="80" w:type="dxa"/>
              <w:right w:w="28" w:type="dxa"/>
            </w:tcMar>
            <w:vAlign w:val="center"/>
          </w:tcPr>
          <w:p>
            <w:pPr>
              <w:pStyle w:val="TableContents"/>
              <w:bidi w:val="0"/>
              <w:spacing w:before="0" w:after="0"/>
              <w:jc w:val="left"/>
              <w:rPr/>
            </w:pPr>
            <w:r>
              <w:rPr/>
              <w:t>•  </w:t>
            </w:r>
            <w:r>
              <w:rPr>
                <w:rFonts w:ascii="ARIAL" w:hAnsi="ARIAL"/>
                <w:sz w:val="18"/>
              </w:rPr>
              <w:t>Robust share ownership guidelines.</w:t>
            </w:r>
          </w:p>
          <w:p>
            <w:pPr>
              <w:pStyle w:val="TableContents"/>
              <w:bidi w:val="0"/>
              <w:spacing w:before="0" w:after="0"/>
              <w:jc w:val="left"/>
              <w:rPr/>
            </w:pPr>
            <w:r>
              <w:rPr/>
              <w:t>•  </w:t>
            </w:r>
            <w:r>
              <w:rPr>
                <w:rFonts w:ascii="ARIAL" w:hAnsi="ARIAL"/>
                <w:sz w:val="18"/>
              </w:rPr>
              <w:t>Insider Trading Policy prohibits pledging shares or hedging against the economic risk of ownership.</w:t>
            </w:r>
          </w:p>
          <w:p>
            <w:pPr>
              <w:pStyle w:val="TableContents"/>
              <w:bidi w:val="0"/>
              <w:spacing w:before="0" w:after="0"/>
              <w:jc w:val="left"/>
              <w:rPr/>
            </w:pPr>
            <w:r>
              <w:rPr/>
              <w:t>•  </w:t>
            </w:r>
            <w:r>
              <w:rPr>
                <w:rFonts w:ascii="ARIAL" w:hAnsi="ARIAL"/>
                <w:sz w:val="18"/>
              </w:rPr>
              <w:t>Executive Severance Plan and equity agreements provide “Double-trigger” change in control agreements with our executive officers, and double-trigger vesting provisions for equity compensation awards.</w:t>
            </w:r>
          </w:p>
          <w:p>
            <w:pPr>
              <w:pStyle w:val="TableContents"/>
              <w:bidi w:val="0"/>
              <w:spacing w:before="0" w:after="20"/>
              <w:jc w:val="left"/>
              <w:rPr/>
            </w:pPr>
            <w:r>
              <w:rPr/>
              <w:t>•  </w:t>
            </w:r>
            <w:r>
              <w:rPr>
                <w:rFonts w:ascii="ARIAL" w:hAnsi="ARIAL"/>
                <w:sz w:val="18"/>
              </w:rPr>
              <w:t>Clawback policies tied to financial restatements or breaches of restrictive covenants.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3209" w:type="dxa"/>
            <w:tcBorders>
              <w:bottom w:val="single" w:sz="6" w:space="0" w:color="000000"/>
              <w:right w:val="single" w:sz="6" w:space="0" w:color="000000"/>
            </w:tcBorders>
            <w:tcMar>
              <w:bottom w:w="80" w:type="dxa"/>
              <w:right w:w="40" w:type="dxa"/>
            </w:tcMar>
            <w:vAlign w:val="center"/>
          </w:tcPr>
          <w:p>
            <w:pPr>
              <w:pStyle w:val="TableContents"/>
              <w:bidi w:val="0"/>
              <w:spacing w:before="0" w:after="0"/>
              <w:jc w:val="left"/>
              <w:rPr/>
            </w:pPr>
            <w:r>
              <w:rPr/>
              <w:t>•  </w:t>
            </w:r>
            <w:r>
              <w:rPr>
                <w:rFonts w:ascii="ARIAL" w:hAnsi="ARIAL"/>
                <w:sz w:val="18"/>
              </w:rPr>
              <w:t>No back-dating of stock options. No repricing of equity awards allowed without stockholder approval.</w:t>
            </w:r>
          </w:p>
          <w:p>
            <w:pPr>
              <w:pStyle w:val="TableContents"/>
              <w:bidi w:val="0"/>
              <w:spacing w:before="0" w:after="0"/>
              <w:jc w:val="left"/>
              <w:rPr/>
            </w:pPr>
            <w:r>
              <w:rPr/>
              <w:t>•  </w:t>
            </w:r>
            <w:r>
              <w:rPr>
                <w:rFonts w:ascii="ARIAL" w:hAnsi="ARIAL"/>
                <w:sz w:val="18"/>
              </w:rPr>
              <w:t>No individual change of control agreements with NEOs (other than as set out in Mr. Pike’s employment agreement).</w:t>
            </w:r>
          </w:p>
          <w:p>
            <w:pPr>
              <w:pStyle w:val="TableContents"/>
              <w:bidi w:val="0"/>
              <w:spacing w:before="0" w:after="20"/>
              <w:jc w:val="left"/>
              <w:rPr/>
            </w:pPr>
            <w:r>
              <w:rPr/>
              <w:t>•  </w:t>
            </w:r>
            <w:r>
              <w:rPr>
                <w:rFonts w:ascii="ARIAL" w:hAnsi="ARIAL"/>
                <w:sz w:val="18"/>
              </w:rPr>
              <w:t>No excise tax “gross-ups” in our change in control agreements.</w:t>
            </w:r>
          </w:p>
        </w:tc>
      </w:tr>
    </w:tbl>
    <w:p>
      <w:pPr>
        <w:pStyle w:val="TextBody"/>
        <w:bidi w:val="0"/>
        <w:spacing w:before="360" w:after="0"/>
        <w:jc w:val="left"/>
        <w:rPr>
          <w:rFonts w:ascii="ARIAL" w:hAnsi="ARIAL"/>
          <w:sz w:val="18"/>
        </w:rPr>
      </w:pPr>
      <w:r>
        <w:rPr>
          <w:rFonts w:ascii="ARIAL" w:hAnsi="ARIAL"/>
          <w:sz w:val="18"/>
        </w:rPr>
        <w:t xml:space="preserve">Determining Executive Compensation </w:t>
      </w:r>
    </w:p>
    <w:p>
      <w:pPr>
        <w:pStyle w:val="TextBody"/>
        <w:bidi w:val="0"/>
        <w:spacing w:before="160" w:after="0"/>
        <w:jc w:val="left"/>
        <w:rPr>
          <w:rFonts w:ascii="ARIAL" w:hAnsi="ARIAL"/>
          <w:i/>
          <w:sz w:val="20"/>
          <w:u w:val="single"/>
        </w:rPr>
      </w:pPr>
      <w:r>
        <w:rPr>
          <w:rFonts w:ascii="ARIAL" w:hAnsi="ARIAL"/>
          <w:i/>
          <w:sz w:val="20"/>
          <w:u w:val="single"/>
        </w:rPr>
        <w:t xml:space="preserve">Executive Compensation Philosophy and Objectives </w:t>
      </w:r>
    </w:p>
    <w:p>
      <w:pPr>
        <w:pStyle w:val="TextBody"/>
        <w:bidi w:val="0"/>
        <w:spacing w:before="80" w:after="0"/>
        <w:jc w:val="left"/>
        <w:rPr>
          <w:rFonts w:ascii="ARIAL" w:hAnsi="ARIAL"/>
          <w:sz w:val="18"/>
        </w:rPr>
      </w:pPr>
      <w:r>
        <w:rPr>
          <w:rFonts w:ascii="ARIAL" w:hAnsi="ARIAL"/>
          <w:sz w:val="18"/>
        </w:rPr>
        <w:t xml:space="preserve">The Fortrea MDCC’s compensation philosophy is to appropriately recognize and reward executives for both Company and individual performance. The Fortrea MDCC generally believes that it is important to place more emphasis on pay that is performance-based and “at-risk,” and that pay mix should be more heavily weighted toward variable compensation. Given the recent nature of the Spin, the Fortrea MDCC is continuing to develop and refine its targeted philosophy, but in general, when reviewing target compensation relative to market for its NEOs, it considers experience, tenure and individual performance. </w:t>
      </w:r>
    </w:p>
    <w:p>
      <w:pPr>
        <w:pStyle w:val="TextBody"/>
        <w:bidi w:val="0"/>
        <w:spacing w:before="160" w:after="0"/>
        <w:jc w:val="left"/>
        <w:rPr>
          <w:rFonts w:ascii="ARIAL" w:hAnsi="ARIAL"/>
          <w:sz w:val="18"/>
        </w:rPr>
      </w:pPr>
      <w:r>
        <w:rPr>
          <w:rFonts w:ascii="ARIAL" w:hAnsi="ARIAL"/>
          <w:sz w:val="18"/>
        </w:rPr>
        <w:t xml:space="preserve">Fortrea’s executive compensation program was designed to attract, motivate, and retain talented executives in a highly competitive environment, consistent with Fortrea’s general executive compensation philosophy to pay for performance by rewarding the achievement of specific short-term and long-term financial, operational, and strategic goals. Fortrea’s executive compensation program discourages unnecessary risk-taking and aligns the interests of Fortrea’s stockholders with the performance of Fortrea’s executives. The Fortrea MDCC considered Fortrea’s financial and business performance, execution of Fortrea’s strategic plan, leadership, and operational performance in making compensation decisions. The Fortrea MDCC believes that talent is the key to the daily operating and long-term success of Fortrea and adopted a compensation program to support a pay for performance culture based on: (i) attraction, retention, and motivation of top talent; (ii) pay differentiation based on individual, role, business unit, and total company level results; (iii) compensation packages that are market competitive; (iv) fair, equitable, and compliant pay practices that support internal equity; (v) motivating performance and rewarding results that lead to profitable growth over time; and (vi) support of stockholder interests and returns.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29</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i/>
          <w:sz w:val="20"/>
        </w:rPr>
      </w:pPr>
      <w:r>
        <w:rPr>
          <w:rFonts w:ascii="ARIAL" w:hAnsi="ARIAL"/>
          <w:b/>
          <w:i/>
          <w:sz w:val="20"/>
        </w:rPr>
        <w:t xml:space="preserve">Role of the Management Development and Compensation Committee </w:t>
      </w:r>
    </w:p>
    <w:p>
      <w:pPr>
        <w:pStyle w:val="TextBody"/>
        <w:bidi w:val="0"/>
        <w:spacing w:before="80" w:after="0"/>
        <w:jc w:val="left"/>
        <w:rPr>
          <w:rFonts w:ascii="ARIAL" w:hAnsi="ARIAL"/>
          <w:sz w:val="18"/>
        </w:rPr>
      </w:pPr>
      <w:r>
        <w:rPr>
          <w:rFonts w:ascii="ARIAL" w:hAnsi="ARIAL"/>
          <w:sz w:val="18"/>
        </w:rPr>
        <w:t xml:space="preserve">The Fortrea MDCC’s oversight responsibilities include Fortrea’s compensation and benefits as well as human capital management, including diversity, equity, and inclusion. The Fortrea MDCC believes that a strong focus on diversity, equity and inclusion aligns with stockholder goals, and regular updates are provided at each regular meeting to monitor and discuss Fortrea’s progress. With respect to Fortrea’s senior management, the Fortrea MDCC establishes compensation and benefits plans, sets compensation targets and performance goals, and evaluates performance against those plans and goals. The Fortrea MDCC meets throughout the year to review compensation trends, evaluate emerging best practices, and consider changes to the executive compensation programs that align pay with performance and provide Fortrea’s senior management with an incentive to achieve superior financial results for Fortrea. In determining whether changes to the executive compensation programs are needed, the Fortrea MDCC considers the goals and strategic objectives of Fortrea, including changes to strategy that should be reflected in the incentive structure of the management team. The Fortrea MDCC also will consider the results of prior advisory votes on compensation, direct stockholder input, and feedback from its independent consultants, Pay Governance, in determining changes to the executive compensation program. The Fortrea MDCC approves changes to each component of executive officer compensation, including increases in base salary, annual incentive awards, and long-term equity incentive awards. </w:t>
      </w:r>
    </w:p>
    <w:p>
      <w:pPr>
        <w:pStyle w:val="TextBody"/>
        <w:bidi w:val="0"/>
        <w:spacing w:before="160" w:after="0"/>
        <w:jc w:val="left"/>
        <w:rPr>
          <w:rFonts w:ascii="ARIAL" w:hAnsi="ARIAL"/>
          <w:sz w:val="18"/>
        </w:rPr>
      </w:pPr>
      <w:r>
        <w:rPr>
          <w:rFonts w:ascii="ARIAL" w:hAnsi="ARIAL"/>
          <w:sz w:val="18"/>
        </w:rPr>
        <w:t xml:space="preserve">The Fortrea MDCC meets throughout the year to discharge its duties. The formal written Fortrea MDCC charter is available on our website. </w:t>
      </w:r>
    </w:p>
    <w:p>
      <w:pPr>
        <w:pStyle w:val="TextBody"/>
        <w:bidi w:val="0"/>
        <w:spacing w:before="360" w:after="0"/>
        <w:jc w:val="left"/>
        <w:rPr>
          <w:rFonts w:ascii="ARIAL" w:hAnsi="ARIAL"/>
          <w:b/>
          <w:i/>
          <w:sz w:val="20"/>
        </w:rPr>
      </w:pPr>
      <w:r>
        <w:rPr>
          <w:rFonts w:ascii="ARIAL" w:hAnsi="ARIAL"/>
          <w:b/>
          <w:i/>
          <w:sz w:val="20"/>
        </w:rPr>
        <w:t xml:space="preserve">Role of our Management </w:t>
      </w:r>
    </w:p>
    <w:p>
      <w:pPr>
        <w:pStyle w:val="TextBody"/>
        <w:bidi w:val="0"/>
        <w:spacing w:before="80" w:after="0"/>
        <w:jc w:val="left"/>
        <w:rPr>
          <w:rFonts w:ascii="ARIAL" w:hAnsi="ARIAL"/>
          <w:sz w:val="18"/>
        </w:rPr>
      </w:pPr>
      <w:r>
        <w:rPr>
          <w:rFonts w:ascii="ARIAL" w:hAnsi="ARIAL"/>
          <w:sz w:val="18"/>
        </w:rPr>
        <w:t xml:space="preserve">Annually, Fortrea’s CEO will be invited to provide input on the Fortrea MDCC executive compensation decisions for executive officers other than the CEO, and for 2023, including input on the individual performance modifier under the Fortrea Bonus Plan for each Fortrea NEO subject to the approval of the Fortrea MDCC. Our CEO’s input and compensation proposals for the other Fortrea NEOs will be based on his assessment of past and expected individual performance and contribution. In addition, Fortrea’s Chief Administrative Officer generally attends and participates in meetings of the Fortrea MDCC and provides input on the design and implementation of Fortrea’s executive compensation program. Because Ms. McConnell and Mr. Morais were not executive officers of Labcorp in 2023, their compensation was determined by Labcorp’s senior management consistent with Labcorp’s compensation philosophy, but was not specifically reviewed or determined by the Labcorp CHCC, except that their pre-Spin annual equity awards were approved by the Labcorp CHCC in February 2023. </w:t>
      </w:r>
    </w:p>
    <w:p>
      <w:pPr>
        <w:pStyle w:val="TextBody"/>
        <w:bidi w:val="0"/>
        <w:spacing w:before="360" w:after="0"/>
        <w:jc w:val="left"/>
        <w:rPr>
          <w:rFonts w:ascii="ARIAL" w:hAnsi="ARIAL"/>
          <w:b/>
          <w:i/>
          <w:sz w:val="20"/>
        </w:rPr>
      </w:pPr>
      <w:r>
        <w:rPr>
          <w:rFonts w:ascii="ARIAL" w:hAnsi="ARIAL"/>
          <w:b/>
          <w:i/>
          <w:sz w:val="20"/>
        </w:rPr>
        <w:t xml:space="preserve">Role of our Independent Compensation Consultant </w:t>
      </w:r>
    </w:p>
    <w:p>
      <w:pPr>
        <w:pStyle w:val="TextBody"/>
        <w:bidi w:val="0"/>
        <w:spacing w:before="80" w:after="0"/>
        <w:jc w:val="left"/>
        <w:rPr>
          <w:rFonts w:ascii="ARIAL" w:hAnsi="ARIAL"/>
          <w:sz w:val="18"/>
        </w:rPr>
      </w:pPr>
      <w:r>
        <w:rPr>
          <w:rFonts w:ascii="ARIAL" w:hAnsi="ARIAL"/>
          <w:sz w:val="18"/>
        </w:rPr>
        <w:t xml:space="preserve">Pursuant to its charter, the Fortrea MDCC has the sole discretion to retain or obtain advice from compensation consultants. During 2023, prior to the Spin, Labcorp retained FW Cook as a compensation consultant to assist on Fortrea-related matters, and after the Spin, Fortrea MDCC continued its engagement of FW Cook as a compensation consultant to assist in its evaluation of executive compensation. FW Cook conducted various market studies and advised the Fortrea MDCC on general executive compensation matters to assist in fulfilling its duties post-Spin. In November 2023, the Fortrea MDCC retained Pay Governance to act as the compensation consultant to assist in its evaluation of executive compensation in 2024. </w:t>
      </w:r>
    </w:p>
    <w:p>
      <w:pPr>
        <w:pStyle w:val="TextBody"/>
        <w:bidi w:val="0"/>
        <w:spacing w:before="160" w:after="0"/>
        <w:jc w:val="left"/>
        <w:rPr>
          <w:rFonts w:ascii="ARIAL" w:hAnsi="ARIAL"/>
          <w:sz w:val="18"/>
        </w:rPr>
      </w:pPr>
      <w:r>
        <w:rPr>
          <w:rFonts w:ascii="ARIAL" w:hAnsi="ARIAL"/>
          <w:sz w:val="18"/>
        </w:rPr>
        <w:t xml:space="preserve">For 2023, after the Spin, FW Cook and Pay Governance reported directly to the Fortrea MDCC, participated in meetings with the Fortrea MDCC, communicated with the Fortrea MDCC Chair between meetings as necessary and worked with management at the direction of the Fortrea MDCC. </w:t>
      </w:r>
    </w:p>
    <w:p>
      <w:pPr>
        <w:pStyle w:val="TextBody"/>
        <w:bidi w:val="0"/>
        <w:spacing w:before="160" w:after="0"/>
        <w:jc w:val="left"/>
        <w:rPr>
          <w:rFonts w:ascii="ARIAL" w:hAnsi="ARIAL"/>
          <w:sz w:val="18"/>
        </w:rPr>
      </w:pPr>
      <w:r>
        <w:rPr>
          <w:rFonts w:ascii="ARIAL" w:hAnsi="ARIAL"/>
          <w:sz w:val="18"/>
        </w:rPr>
        <w:t xml:space="preserve">The Fortrea MDCC reviewed FW Cook’s independence and Pay Governance’s independence and concluded that both FW Cook and Pay Governance are independent and conflict-free advisors to the Company pursuant to the standards of the Dodd-Frank Wall Street Reform and Consumer Protection Act and applicable rules of Nasdaq.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30</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i/>
          <w:sz w:val="20"/>
        </w:rPr>
      </w:pPr>
      <w:r>
        <w:rPr>
          <w:rFonts w:ascii="ARIAL" w:hAnsi="ARIAL"/>
          <w:b/>
          <w:i/>
          <w:sz w:val="20"/>
        </w:rPr>
        <w:t xml:space="preserve">Use of Peer Group and Market Data </w:t>
      </w:r>
    </w:p>
    <w:p>
      <w:pPr>
        <w:pStyle w:val="TextBody"/>
        <w:bidi w:val="0"/>
        <w:spacing w:before="160" w:after="0"/>
        <w:jc w:val="left"/>
        <w:rPr>
          <w:rFonts w:ascii="ARIAL" w:hAnsi="ARIAL"/>
          <w:sz w:val="18"/>
        </w:rPr>
      </w:pPr>
      <w:r>
        <w:rPr>
          <w:rFonts w:ascii="ARIAL" w:hAnsi="ARIAL"/>
          <w:sz w:val="18"/>
        </w:rPr>
        <w:t xml:space="preserve">In February 2023, the Labcorp CHCC established a peer group for Fortrea with input from FW Cook for use in benchmarking executive and non-employee director compensation levels and other pay practices. In establishing the peer group, Labcorp and FW Cook considered competitors based on Fortrea’s projected size and business profile using objective screening criteria including revenue and market capitalization of similar publicly traded organizations. The peer group consisted of sixteen companies that would be used as a reference to determine 2023 pay opportunity levels for the NEOs. The table below presents the peer group companies: </w:t>
      </w:r>
    </w:p>
    <w:p>
      <w:pPr>
        <w:pStyle w:val="TextBody"/>
        <w:bidi w:val="0"/>
        <w:spacing w:before="0" w:after="0"/>
        <w:jc w:val="left"/>
        <w:rPr/>
      </w:pPr>
      <w:r>
        <w:rPr/>
        <w:t> </w:t>
      </w:r>
    </w:p>
    <w:tbl>
      <w:tblPr>
        <w:tblW w:w="4735" w:type="dxa"/>
        <w:jc w:val="left"/>
        <w:tblInd w:w="0" w:type="dxa"/>
        <w:tblLayout w:type="fixed"/>
        <w:tblCellMar>
          <w:top w:w="0" w:type="dxa"/>
          <w:left w:w="0" w:type="dxa"/>
          <w:bottom w:w="0" w:type="dxa"/>
          <w:right w:w="0" w:type="dxa"/>
        </w:tblCellMar>
      </w:tblPr>
      <w:tblGrid>
        <w:gridCol w:w="2240"/>
        <w:gridCol w:w="120"/>
        <w:gridCol w:w="2375"/>
      </w:tblGrid>
      <w:tr>
        <w:trPr/>
        <w:tc>
          <w:tcPr>
            <w:tcW w:w="22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0"/>
              <w:jc w:val="left"/>
              <w:rPr>
                <w:rFonts w:ascii="ARIAL" w:hAnsi="ARIAL"/>
                <w:sz w:val="18"/>
              </w:rPr>
            </w:pPr>
            <w:r>
              <w:rPr>
                <w:rFonts w:ascii="ARIAL" w:hAnsi="ARIAL"/>
                <w:sz w:val="18"/>
              </w:rPr>
              <w:t>Bausch Health Companies</w:t>
            </w:r>
          </w:p>
        </w:tc>
        <w:tc>
          <w:tcPr>
            <w:tcW w:w="1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Jazz Pharmaceuticals plc</w:t>
            </w:r>
          </w:p>
        </w:tc>
      </w:tr>
      <w:tr>
        <w:trPr/>
        <w:tc>
          <w:tcPr>
            <w:tcW w:w="2240" w:type="dxa"/>
            <w:tcBorders/>
            <w:shd w:fill="EDEDED" w:val="clear"/>
            <w:vAlign w:val="center"/>
          </w:tcPr>
          <w:p>
            <w:pPr>
              <w:pStyle w:val="TableContents"/>
              <w:bidi w:val="0"/>
              <w:spacing w:before="0" w:after="283"/>
              <w:jc w:val="left"/>
              <w:rPr>
                <w:sz w:val="4"/>
                <w:szCs w:val="4"/>
              </w:rPr>
            </w:pPr>
            <w:r>
              <w:rPr>
                <w:sz w:val="4"/>
                <w:szCs w:val="4"/>
              </w:rPr>
            </w:r>
          </w:p>
        </w:tc>
        <w:tc>
          <w:tcPr>
            <w:tcW w:w="249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240" w:type="dxa"/>
            <w:tcBorders/>
            <w:shd w:fill="EDEDED" w:val="clear"/>
            <w:vAlign w:val="center"/>
          </w:tcPr>
          <w:p>
            <w:pPr>
              <w:pStyle w:val="TableContents"/>
              <w:bidi w:val="0"/>
              <w:spacing w:before="0" w:after="0"/>
              <w:jc w:val="left"/>
              <w:rPr>
                <w:rFonts w:ascii="ARIAL" w:hAnsi="ARIAL"/>
                <w:sz w:val="18"/>
              </w:rPr>
            </w:pPr>
            <w:r>
              <w:rPr>
                <w:rFonts w:ascii="ARIAL" w:hAnsi="ARIAL"/>
                <w:sz w:val="18"/>
              </w:rPr>
              <w:t>Bio-Rad Laboratories</w:t>
            </w:r>
          </w:p>
        </w:tc>
        <w:tc>
          <w:tcPr>
            <w:tcW w:w="120" w:type="dxa"/>
            <w:tcBorders/>
            <w:shd w:fill="EDEDED" w:val="clear"/>
            <w:vAlign w:val="center"/>
          </w:tcPr>
          <w:p>
            <w:pPr>
              <w:pStyle w:val="TableContents"/>
              <w:bidi w:val="0"/>
              <w:spacing w:before="0" w:after="283"/>
              <w:jc w:val="left"/>
              <w:rPr/>
            </w:pPr>
            <w:r>
              <w:rPr/>
              <w:t>  </w:t>
            </w:r>
          </w:p>
        </w:tc>
        <w:tc>
          <w:tcPr>
            <w:tcW w:w="2375" w:type="dxa"/>
            <w:tcBorders/>
            <w:shd w:fill="EDEDED" w:val="clear"/>
            <w:vAlign w:val="center"/>
          </w:tcPr>
          <w:p>
            <w:pPr>
              <w:pStyle w:val="TableContents"/>
              <w:bidi w:val="0"/>
              <w:spacing w:before="0" w:after="283"/>
              <w:jc w:val="left"/>
              <w:rPr/>
            </w:pPr>
            <w:r>
              <w:rPr/>
              <w:t>Medpace Holdings, Inc.</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0"/>
              <w:jc w:val="left"/>
              <w:rPr>
                <w:rFonts w:ascii="ARIAL" w:hAnsi="ARIAL"/>
                <w:sz w:val="18"/>
              </w:rPr>
            </w:pPr>
            <w:r>
              <w:rPr>
                <w:rFonts w:ascii="ARIAL" w:hAnsi="ARIAL"/>
                <w:sz w:val="18"/>
              </w:rPr>
              <w:t>Bruker Corporation</w:t>
            </w:r>
          </w:p>
        </w:tc>
        <w:tc>
          <w:tcPr>
            <w:tcW w:w="1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Organon &amp; Co.</w:t>
            </w:r>
          </w:p>
        </w:tc>
      </w:tr>
      <w:tr>
        <w:trPr/>
        <w:tc>
          <w:tcPr>
            <w:tcW w:w="2240" w:type="dxa"/>
            <w:tcBorders/>
            <w:shd w:fill="EDEDED" w:val="clear"/>
            <w:vAlign w:val="center"/>
          </w:tcPr>
          <w:p>
            <w:pPr>
              <w:pStyle w:val="TableContents"/>
              <w:bidi w:val="0"/>
              <w:spacing w:before="0" w:after="283"/>
              <w:jc w:val="left"/>
              <w:rPr>
                <w:sz w:val="4"/>
                <w:szCs w:val="4"/>
              </w:rPr>
            </w:pPr>
            <w:r>
              <w:rPr>
                <w:sz w:val="4"/>
                <w:szCs w:val="4"/>
              </w:rPr>
            </w:r>
          </w:p>
        </w:tc>
        <w:tc>
          <w:tcPr>
            <w:tcW w:w="249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240" w:type="dxa"/>
            <w:tcBorders/>
            <w:shd w:fill="EDEDED" w:val="clear"/>
            <w:vAlign w:val="center"/>
          </w:tcPr>
          <w:p>
            <w:pPr>
              <w:pStyle w:val="TableContents"/>
              <w:bidi w:val="0"/>
              <w:spacing w:before="0" w:after="0"/>
              <w:jc w:val="left"/>
              <w:rPr>
                <w:rFonts w:ascii="ARIAL" w:hAnsi="ARIAL"/>
                <w:sz w:val="18"/>
              </w:rPr>
            </w:pPr>
            <w:r>
              <w:rPr>
                <w:rFonts w:ascii="ARIAL" w:hAnsi="ARIAL"/>
                <w:sz w:val="18"/>
              </w:rPr>
              <w:t>Catalent, Inc.</w:t>
            </w:r>
          </w:p>
        </w:tc>
        <w:tc>
          <w:tcPr>
            <w:tcW w:w="120" w:type="dxa"/>
            <w:tcBorders/>
            <w:shd w:fill="EDEDED" w:val="clear"/>
            <w:vAlign w:val="center"/>
          </w:tcPr>
          <w:p>
            <w:pPr>
              <w:pStyle w:val="TableContents"/>
              <w:bidi w:val="0"/>
              <w:spacing w:before="0" w:after="283"/>
              <w:jc w:val="left"/>
              <w:rPr/>
            </w:pPr>
            <w:r>
              <w:rPr/>
              <w:t>  </w:t>
            </w:r>
          </w:p>
        </w:tc>
        <w:tc>
          <w:tcPr>
            <w:tcW w:w="2375" w:type="dxa"/>
            <w:tcBorders/>
            <w:shd w:fill="EDEDED" w:val="clear"/>
            <w:vAlign w:val="center"/>
          </w:tcPr>
          <w:p>
            <w:pPr>
              <w:pStyle w:val="TableContents"/>
              <w:bidi w:val="0"/>
              <w:spacing w:before="0" w:after="283"/>
              <w:jc w:val="left"/>
              <w:rPr/>
            </w:pPr>
            <w:r>
              <w:rPr/>
              <w:t>Perrigo Company plc</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0"/>
              <w:jc w:val="left"/>
              <w:rPr>
                <w:rFonts w:ascii="ARIAL" w:hAnsi="ARIAL"/>
                <w:sz w:val="18"/>
              </w:rPr>
            </w:pPr>
            <w:r>
              <w:rPr>
                <w:rFonts w:ascii="ARIAL" w:hAnsi="ARIAL"/>
                <w:sz w:val="18"/>
              </w:rPr>
              <w:t>Charles River Laboratories</w:t>
            </w:r>
          </w:p>
        </w:tc>
        <w:tc>
          <w:tcPr>
            <w:tcW w:w="1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Syneos Health</w:t>
            </w:r>
          </w:p>
        </w:tc>
      </w:tr>
      <w:tr>
        <w:trPr/>
        <w:tc>
          <w:tcPr>
            <w:tcW w:w="2240" w:type="dxa"/>
            <w:tcBorders/>
            <w:shd w:fill="EDEDED" w:val="clear"/>
            <w:vAlign w:val="center"/>
          </w:tcPr>
          <w:p>
            <w:pPr>
              <w:pStyle w:val="TableContents"/>
              <w:bidi w:val="0"/>
              <w:spacing w:before="0" w:after="283"/>
              <w:jc w:val="left"/>
              <w:rPr>
                <w:sz w:val="4"/>
                <w:szCs w:val="4"/>
              </w:rPr>
            </w:pPr>
            <w:r>
              <w:rPr>
                <w:sz w:val="4"/>
                <w:szCs w:val="4"/>
              </w:rPr>
            </w:r>
          </w:p>
        </w:tc>
        <w:tc>
          <w:tcPr>
            <w:tcW w:w="249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240" w:type="dxa"/>
            <w:tcBorders/>
            <w:shd w:fill="EDEDED" w:val="clear"/>
            <w:vAlign w:val="center"/>
          </w:tcPr>
          <w:p>
            <w:pPr>
              <w:pStyle w:val="TableContents"/>
              <w:bidi w:val="0"/>
              <w:spacing w:before="0" w:after="0"/>
              <w:jc w:val="left"/>
              <w:rPr>
                <w:rFonts w:ascii="ARIAL" w:hAnsi="ARIAL"/>
                <w:sz w:val="18"/>
              </w:rPr>
            </w:pPr>
            <w:r>
              <w:rPr>
                <w:rFonts w:ascii="ARIAL" w:hAnsi="ARIAL"/>
                <w:sz w:val="18"/>
              </w:rPr>
              <w:t>Exelixis, Inc.</w:t>
            </w:r>
          </w:p>
        </w:tc>
        <w:tc>
          <w:tcPr>
            <w:tcW w:w="120" w:type="dxa"/>
            <w:tcBorders/>
            <w:shd w:fill="EDEDED" w:val="clear"/>
            <w:vAlign w:val="center"/>
          </w:tcPr>
          <w:p>
            <w:pPr>
              <w:pStyle w:val="TableContents"/>
              <w:bidi w:val="0"/>
              <w:spacing w:before="0" w:after="283"/>
              <w:jc w:val="left"/>
              <w:rPr/>
            </w:pPr>
            <w:r>
              <w:rPr/>
              <w:t>  </w:t>
            </w:r>
          </w:p>
        </w:tc>
        <w:tc>
          <w:tcPr>
            <w:tcW w:w="2375" w:type="dxa"/>
            <w:tcBorders/>
            <w:shd w:fill="EDEDED" w:val="clear"/>
            <w:vAlign w:val="center"/>
          </w:tcPr>
          <w:p>
            <w:pPr>
              <w:pStyle w:val="TableContents"/>
              <w:bidi w:val="0"/>
              <w:spacing w:before="0" w:after="283"/>
              <w:jc w:val="left"/>
              <w:rPr/>
            </w:pPr>
            <w:r>
              <w:rPr/>
              <w:t>Teleflex Incorporated</w:t>
            </w:r>
          </w:p>
        </w:tc>
      </w:tr>
      <w:tr>
        <w:trPr/>
        <w:tc>
          <w:tcPr>
            <w:tcW w:w="2240" w:type="dxa"/>
            <w:tcBorders/>
            <w:vAlign w:val="center"/>
          </w:tcPr>
          <w:p>
            <w:pPr>
              <w:pStyle w:val="TableContents"/>
              <w:bidi w:val="0"/>
              <w:spacing w:before="0" w:after="283"/>
              <w:jc w:val="left"/>
              <w:rPr>
                <w:sz w:val="4"/>
                <w:szCs w:val="4"/>
              </w:rPr>
            </w:pPr>
            <w:r>
              <w:rPr>
                <w:sz w:val="4"/>
                <w:szCs w:val="4"/>
              </w:rPr>
            </w:r>
          </w:p>
        </w:tc>
        <w:tc>
          <w:tcPr>
            <w:tcW w:w="2495" w:type="dxa"/>
            <w:gridSpan w:val="2"/>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0"/>
              <w:jc w:val="left"/>
              <w:rPr>
                <w:rFonts w:ascii="ARIAL" w:hAnsi="ARIAL"/>
                <w:sz w:val="18"/>
              </w:rPr>
            </w:pPr>
            <w:r>
              <w:rPr>
                <w:rFonts w:ascii="ARIAL" w:hAnsi="ARIAL"/>
                <w:sz w:val="18"/>
              </w:rPr>
              <w:t>ICON plc</w:t>
            </w:r>
          </w:p>
        </w:tc>
        <w:tc>
          <w:tcPr>
            <w:tcW w:w="1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Viatris Inc.</w:t>
            </w:r>
          </w:p>
        </w:tc>
      </w:tr>
      <w:tr>
        <w:trPr/>
        <w:tc>
          <w:tcPr>
            <w:tcW w:w="2240" w:type="dxa"/>
            <w:tcBorders/>
            <w:shd w:fill="EDEDED" w:val="clear"/>
            <w:vAlign w:val="center"/>
          </w:tcPr>
          <w:p>
            <w:pPr>
              <w:pStyle w:val="TableContents"/>
              <w:bidi w:val="0"/>
              <w:spacing w:before="0" w:after="283"/>
              <w:jc w:val="left"/>
              <w:rPr>
                <w:sz w:val="4"/>
                <w:szCs w:val="4"/>
              </w:rPr>
            </w:pPr>
            <w:r>
              <w:rPr>
                <w:sz w:val="4"/>
                <w:szCs w:val="4"/>
              </w:rPr>
            </w:r>
          </w:p>
        </w:tc>
        <w:tc>
          <w:tcPr>
            <w:tcW w:w="2495" w:type="dxa"/>
            <w:gridSpan w:val="2"/>
            <w:tcBorders/>
            <w:shd w:fill="EDEDED" w:val="clear"/>
            <w:vAlign w:val="center"/>
          </w:tcPr>
          <w:p>
            <w:pPr>
              <w:pStyle w:val="TableContents"/>
              <w:bidi w:val="0"/>
              <w:spacing w:before="0" w:after="283"/>
              <w:jc w:val="left"/>
              <w:rPr>
                <w:sz w:val="4"/>
                <w:szCs w:val="4"/>
              </w:rPr>
            </w:pPr>
            <w:r>
              <w:rPr>
                <w:sz w:val="4"/>
                <w:szCs w:val="4"/>
              </w:rPr>
            </w:r>
          </w:p>
        </w:tc>
      </w:tr>
      <w:tr>
        <w:trPr/>
        <w:tc>
          <w:tcPr>
            <w:tcW w:w="2240" w:type="dxa"/>
            <w:tcBorders/>
            <w:shd w:fill="EDEDED" w:val="clear"/>
            <w:vAlign w:val="center"/>
          </w:tcPr>
          <w:p>
            <w:pPr>
              <w:pStyle w:val="TableContents"/>
              <w:bidi w:val="0"/>
              <w:spacing w:before="0" w:after="0"/>
              <w:jc w:val="left"/>
              <w:rPr>
                <w:rFonts w:ascii="ARIAL" w:hAnsi="ARIAL"/>
                <w:sz w:val="18"/>
              </w:rPr>
            </w:pPr>
            <w:r>
              <w:rPr>
                <w:rFonts w:ascii="ARIAL" w:hAnsi="ARIAL"/>
                <w:sz w:val="18"/>
              </w:rPr>
              <w:t>IQVIA Holdings, Inc.</w:t>
            </w:r>
          </w:p>
        </w:tc>
        <w:tc>
          <w:tcPr>
            <w:tcW w:w="120" w:type="dxa"/>
            <w:tcBorders/>
            <w:shd w:fill="EDEDED" w:val="clear"/>
            <w:vAlign w:val="center"/>
          </w:tcPr>
          <w:p>
            <w:pPr>
              <w:pStyle w:val="TableContents"/>
              <w:bidi w:val="0"/>
              <w:spacing w:before="0" w:after="283"/>
              <w:jc w:val="left"/>
              <w:rPr/>
            </w:pPr>
            <w:r>
              <w:rPr/>
              <w:t>  </w:t>
            </w:r>
          </w:p>
        </w:tc>
        <w:tc>
          <w:tcPr>
            <w:tcW w:w="2375" w:type="dxa"/>
            <w:tcBorders/>
            <w:shd w:fill="EDEDED" w:val="clear"/>
            <w:vAlign w:val="center"/>
          </w:tcPr>
          <w:p>
            <w:pPr>
              <w:pStyle w:val="TableContents"/>
              <w:bidi w:val="0"/>
              <w:spacing w:before="0" w:after="283"/>
              <w:jc w:val="left"/>
              <w:rPr/>
            </w:pPr>
            <w:r>
              <w:rPr/>
              <w:t>Vir Biotechnology, Inc.</w:t>
            </w:r>
          </w:p>
        </w:tc>
      </w:tr>
    </w:tbl>
    <w:p>
      <w:pPr>
        <w:pStyle w:val="TextBody"/>
        <w:bidi w:val="0"/>
        <w:spacing w:before="160" w:after="0"/>
        <w:jc w:val="left"/>
        <w:rPr>
          <w:rFonts w:ascii="ARIAL" w:hAnsi="ARIAL"/>
          <w:sz w:val="18"/>
        </w:rPr>
      </w:pPr>
      <w:r>
        <w:rPr>
          <w:rFonts w:ascii="ARIAL" w:hAnsi="ARIAL"/>
          <w:sz w:val="18"/>
        </w:rPr>
        <w:t xml:space="preserve">This peer group served as the primary market reference point and was supplemented with other market data, where appropriate. For 2023 with the assistance of FW Cook, the Labcorp CHCC compared our size and complexity of operations to those of the companies identified in the peer group set forth above. The Fortrea MDCC reviewed and ratified this peer group and also compared the peer group’s current executive compensation and compensation mix (percent of base salary, short-term, and long-term incentive) to our current practices. FW Cook provided recommendations for adjustments based on current practices and policies within the peer group and trends within the industry. </w:t>
      </w:r>
    </w:p>
    <w:p>
      <w:pPr>
        <w:pStyle w:val="TextBody"/>
        <w:bidi w:val="0"/>
        <w:spacing w:before="360" w:after="0"/>
        <w:jc w:val="left"/>
        <w:rPr>
          <w:rFonts w:ascii="ARIAL" w:hAnsi="ARIAL"/>
          <w:b/>
          <w:i/>
          <w:sz w:val="20"/>
        </w:rPr>
      </w:pPr>
      <w:r>
        <w:rPr>
          <w:rFonts w:ascii="ARIAL" w:hAnsi="ARIAL"/>
          <w:b/>
          <w:i/>
          <w:sz w:val="20"/>
        </w:rPr>
        <w:t xml:space="preserve">Principal Elements of Executive Compensation </w:t>
      </w:r>
    </w:p>
    <w:p>
      <w:pPr>
        <w:pStyle w:val="TextBody"/>
        <w:bidi w:val="0"/>
        <w:spacing w:before="160" w:after="0"/>
        <w:jc w:val="left"/>
        <w:rPr>
          <w:rFonts w:ascii="ARIAL" w:hAnsi="ARIAL"/>
          <w:sz w:val="18"/>
        </w:rPr>
      </w:pPr>
      <w:r>
        <w:rPr>
          <w:rFonts w:ascii="ARIAL" w:hAnsi="ARIAL"/>
          <w:sz w:val="18"/>
        </w:rPr>
        <w:t xml:space="preserve">Our executive compensation program for 2023 consisted of a mix of fixed and variable pay elements, with the latter tied to both short- and long-term Company success. Performance-based pay elements are linked to goals that we believe will deliver both year-to-year and long-term increases in stockholder value. The elements of total direct executive compensation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11"/>
        <w:gridCol w:w="60"/>
        <w:gridCol w:w="920"/>
        <w:gridCol w:w="60"/>
        <w:gridCol w:w="5189"/>
        <w:gridCol w:w="60"/>
        <w:gridCol w:w="2905"/>
      </w:tblGrid>
      <w:tr>
        <w:trPr/>
        <w:tc>
          <w:tcPr>
            <w:tcW w:w="10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5" w:type="dxa"/>
            <w:tcBorders/>
            <w:vAlign w:val="center"/>
          </w:tcPr>
          <w:p>
            <w:pPr>
              <w:pStyle w:val="TableContents"/>
              <w:bidi w:val="0"/>
              <w:spacing w:before="0" w:after="283"/>
              <w:jc w:val="left"/>
              <w:rPr>
                <w:sz w:val="4"/>
                <w:szCs w:val="4"/>
              </w:rPr>
            </w:pPr>
            <w:r>
              <w:rPr>
                <w:sz w:val="4"/>
                <w:szCs w:val="4"/>
              </w:rPr>
            </w:r>
          </w:p>
        </w:tc>
      </w:tr>
      <w:tr>
        <w:trPr/>
        <w:tc>
          <w:tcPr>
            <w:tcW w:w="1011" w:type="dxa"/>
            <w:tcBorders>
              <w:top w:val="single" w:sz="6" w:space="0" w:color="000000"/>
              <w:left w:val="single" w:sz="6" w:space="0" w:color="000000"/>
              <w:right w:val="single" w:sz="6" w:space="0" w:color="000000"/>
            </w:tcBorders>
            <w:shd w:fill="0BC11C" w:val="clear"/>
            <w:tcMar>
              <w:top w:w="28" w:type="dxa"/>
              <w:left w:w="160" w:type="dxa"/>
              <w:right w:w="28" w:type="dxa"/>
            </w:tcMar>
            <w:vAlign w:val="center"/>
          </w:tcPr>
          <w:p>
            <w:pPr>
              <w:pStyle w:val="TableContents"/>
              <w:bidi w:val="0"/>
              <w:spacing w:before="0" w:after="283"/>
              <w:jc w:val="left"/>
              <w:rPr/>
            </w:pPr>
            <w:r>
              <w:rPr/>
              <w:t> </w:t>
            </w:r>
          </w:p>
        </w:tc>
        <w:tc>
          <w:tcPr>
            <w:tcW w:w="980" w:type="dxa"/>
            <w:gridSpan w:val="2"/>
            <w:tcBorders>
              <w:top w:val="single" w:sz="6" w:space="0" w:color="000000"/>
              <w:left w:val="single" w:sz="6" w:space="0" w:color="000000"/>
              <w:right w:val="single" w:sz="6" w:space="0" w:color="000000"/>
            </w:tcBorders>
            <w:shd w:fill="0BC11C" w:val="clear"/>
            <w:tcMar>
              <w:top w:w="28" w:type="dxa"/>
              <w:left w:w="28" w:type="dxa"/>
              <w:right w:w="28" w:type="dxa"/>
            </w:tcMar>
            <w:vAlign w:val="center"/>
          </w:tcPr>
          <w:p>
            <w:pPr>
              <w:pStyle w:val="TableContents"/>
              <w:bidi w:val="0"/>
              <w:spacing w:before="0" w:after="283"/>
              <w:jc w:val="left"/>
              <w:rPr/>
            </w:pPr>
            <w:r>
              <w:rPr/>
              <w:t> </w:t>
            </w:r>
          </w:p>
        </w:tc>
        <w:tc>
          <w:tcPr>
            <w:tcW w:w="5249" w:type="dxa"/>
            <w:gridSpan w:val="2"/>
            <w:tcBorders>
              <w:top w:val="single" w:sz="6" w:space="0" w:color="000000"/>
              <w:left w:val="single" w:sz="6" w:space="0" w:color="000000"/>
              <w:right w:val="single" w:sz="6" w:space="0" w:color="000000"/>
            </w:tcBorders>
            <w:shd w:fill="0BC11C" w:val="clear"/>
            <w:tcMar>
              <w:top w:w="28" w:type="dxa"/>
              <w:left w:w="28" w:type="dxa"/>
              <w:right w:w="28" w:type="dxa"/>
            </w:tcMar>
            <w:vAlign w:val="center"/>
          </w:tcPr>
          <w:p>
            <w:pPr>
              <w:pStyle w:val="TableContents"/>
              <w:bidi w:val="0"/>
              <w:spacing w:before="0" w:after="283"/>
              <w:jc w:val="left"/>
              <w:rPr/>
            </w:pPr>
            <w:r>
              <w:rPr/>
              <w:t> </w:t>
            </w:r>
          </w:p>
        </w:tc>
        <w:tc>
          <w:tcPr>
            <w:tcW w:w="2965" w:type="dxa"/>
            <w:gridSpan w:val="2"/>
            <w:tcBorders>
              <w:top w:val="single" w:sz="6" w:space="0" w:color="000000"/>
              <w:left w:val="single" w:sz="6" w:space="0" w:color="000000"/>
              <w:right w:val="single" w:sz="6" w:space="0" w:color="000000"/>
            </w:tcBorders>
            <w:shd w:fill="0BC11C" w:val="clear"/>
            <w:tcMar>
              <w:top w:w="28" w:type="dxa"/>
              <w:left w:w="28" w:type="dxa"/>
              <w:right w:w="28" w:type="dxa"/>
            </w:tcMar>
            <w:vAlign w:val="center"/>
          </w:tcPr>
          <w:p>
            <w:pPr>
              <w:pStyle w:val="TableContents"/>
              <w:bidi w:val="0"/>
              <w:spacing w:before="0" w:after="283"/>
              <w:jc w:val="left"/>
              <w:rPr/>
            </w:pPr>
            <w:r>
              <w:rPr/>
              <w:t> </w:t>
            </w:r>
          </w:p>
        </w:tc>
      </w:tr>
      <w:tr>
        <w:trPr/>
        <w:tc>
          <w:tcPr>
            <w:tcW w:w="1011" w:type="dxa"/>
            <w:tcBorders>
              <w:left w:val="single" w:sz="6" w:space="0" w:color="000000"/>
              <w:bottom w:val="single" w:sz="6" w:space="0" w:color="000000"/>
              <w:right w:val="single" w:sz="6" w:space="0" w:color="000000"/>
            </w:tcBorders>
            <w:shd w:fill="0BC11C" w:val="clear"/>
            <w:tcMar>
              <w:left w:w="160" w:type="dxa"/>
              <w:bottom w:w="120" w:type="dxa"/>
              <w:right w:w="28"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Element</w:t>
            </w:r>
          </w:p>
        </w:tc>
        <w:tc>
          <w:tcPr>
            <w:tcW w:w="60" w:type="dxa"/>
            <w:tcBorders>
              <w:left w:val="single" w:sz="6" w:space="0" w:color="000000"/>
              <w:bottom w:val="single" w:sz="6" w:space="0" w:color="000000"/>
            </w:tcBorders>
            <w:shd w:fill="0BC11C" w:val="clear"/>
            <w:tcMar>
              <w:left w:w="28" w:type="dxa"/>
              <w:bottom w:w="28" w:type="dxa"/>
            </w:tcMar>
            <w:vAlign w:val="center"/>
          </w:tcPr>
          <w:p>
            <w:pPr>
              <w:pStyle w:val="TableContents"/>
              <w:bidi w:val="0"/>
              <w:spacing w:before="0" w:after="283"/>
              <w:jc w:val="left"/>
              <w:rPr/>
            </w:pPr>
            <w:r>
              <w:rPr/>
              <w:t> </w:t>
            </w:r>
          </w:p>
        </w:tc>
        <w:tc>
          <w:tcPr>
            <w:tcW w:w="920" w:type="dxa"/>
            <w:tcBorders>
              <w:bottom w:val="single" w:sz="6" w:space="0" w:color="000000"/>
              <w:right w:val="single" w:sz="6" w:space="0" w:color="000000"/>
            </w:tcBorders>
            <w:shd w:fill="0BC11C" w:val="clear"/>
            <w:tcMar>
              <w:bottom w:w="120" w:type="dxa"/>
              <w:right w:w="28" w:type="dxa"/>
            </w:tcMar>
            <w:vAlign w:val="center"/>
          </w:tcPr>
          <w:p>
            <w:pPr>
              <w:pStyle w:val="TableContents"/>
              <w:bidi w:val="0"/>
              <w:spacing w:before="0" w:after="283"/>
              <w:jc w:val="left"/>
              <w:rPr>
                <w:b/>
                <w:color w:val="FFFFFF"/>
              </w:rPr>
            </w:pPr>
            <w:r>
              <w:rPr>
                <w:b/>
                <w:color w:val="FFFFFF"/>
              </w:rPr>
              <w:t>Form of</w:t>
              <w:br/>
              <w:t>Payment</w:t>
            </w:r>
          </w:p>
        </w:tc>
        <w:tc>
          <w:tcPr>
            <w:tcW w:w="60" w:type="dxa"/>
            <w:tcBorders>
              <w:left w:val="single" w:sz="6" w:space="0" w:color="000000"/>
              <w:bottom w:val="single" w:sz="6" w:space="0" w:color="000000"/>
            </w:tcBorders>
            <w:shd w:fill="0BC11C" w:val="clear"/>
            <w:tcMar>
              <w:left w:w="28" w:type="dxa"/>
              <w:bottom w:w="28" w:type="dxa"/>
            </w:tcMar>
            <w:vAlign w:val="center"/>
          </w:tcPr>
          <w:p>
            <w:pPr>
              <w:pStyle w:val="TableContents"/>
              <w:bidi w:val="0"/>
              <w:spacing w:before="0" w:after="283"/>
              <w:jc w:val="left"/>
              <w:rPr/>
            </w:pPr>
            <w:r>
              <w:rPr/>
              <w:t> </w:t>
            </w:r>
          </w:p>
        </w:tc>
        <w:tc>
          <w:tcPr>
            <w:tcW w:w="5189" w:type="dxa"/>
            <w:tcBorders>
              <w:bottom w:val="single" w:sz="6" w:space="0" w:color="000000"/>
              <w:right w:val="single" w:sz="6" w:space="0" w:color="000000"/>
            </w:tcBorders>
            <w:shd w:fill="0BC11C" w:val="clear"/>
            <w:tcMar>
              <w:bottom w:w="120" w:type="dxa"/>
              <w:right w:w="28" w:type="dxa"/>
            </w:tcMar>
            <w:vAlign w:val="center"/>
          </w:tcPr>
          <w:p>
            <w:pPr>
              <w:pStyle w:val="TableContents"/>
              <w:bidi w:val="0"/>
              <w:spacing w:before="0" w:after="283"/>
              <w:jc w:val="left"/>
              <w:rPr>
                <w:b/>
                <w:color w:val="FFFFFF"/>
              </w:rPr>
            </w:pPr>
            <w:r>
              <w:rPr>
                <w:b/>
                <w:color w:val="FFFFFF"/>
              </w:rPr>
              <w:t>Description</w:t>
            </w:r>
          </w:p>
        </w:tc>
        <w:tc>
          <w:tcPr>
            <w:tcW w:w="60" w:type="dxa"/>
            <w:tcBorders>
              <w:left w:val="single" w:sz="6" w:space="0" w:color="000000"/>
              <w:bottom w:val="single" w:sz="6" w:space="0" w:color="000000"/>
            </w:tcBorders>
            <w:shd w:fill="0BC11C" w:val="clear"/>
            <w:tcMar>
              <w:left w:w="28" w:type="dxa"/>
              <w:bottom w:w="28" w:type="dxa"/>
            </w:tcMar>
            <w:vAlign w:val="center"/>
          </w:tcPr>
          <w:p>
            <w:pPr>
              <w:pStyle w:val="TableContents"/>
              <w:bidi w:val="0"/>
              <w:spacing w:before="0" w:after="283"/>
              <w:jc w:val="left"/>
              <w:rPr/>
            </w:pPr>
            <w:r>
              <w:rPr/>
              <w:t> </w:t>
            </w:r>
          </w:p>
        </w:tc>
        <w:tc>
          <w:tcPr>
            <w:tcW w:w="2905" w:type="dxa"/>
            <w:tcBorders>
              <w:bottom w:val="single" w:sz="6" w:space="0" w:color="000000"/>
              <w:right w:val="single" w:sz="6" w:space="0" w:color="000000"/>
            </w:tcBorders>
            <w:shd w:fill="0BC11C" w:val="clear"/>
            <w:tcMar>
              <w:bottom w:w="120" w:type="dxa"/>
              <w:right w:w="40" w:type="dxa"/>
            </w:tcMar>
            <w:vAlign w:val="center"/>
          </w:tcPr>
          <w:p>
            <w:pPr>
              <w:pStyle w:val="TableContents"/>
              <w:bidi w:val="0"/>
              <w:spacing w:before="0" w:after="283"/>
              <w:jc w:val="left"/>
              <w:rPr>
                <w:b/>
                <w:color w:val="FFFFFF"/>
              </w:rPr>
            </w:pPr>
            <w:r>
              <w:rPr>
                <w:b/>
                <w:color w:val="FFFFFF"/>
              </w:rPr>
              <w:t>Key Considerations</w:t>
            </w:r>
          </w:p>
        </w:tc>
      </w:tr>
      <w:tr>
        <w:trPr/>
        <w:tc>
          <w:tcPr>
            <w:tcW w:w="1011"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98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524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296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11" w:type="dxa"/>
            <w:tcBorders>
              <w:left w:val="single" w:sz="6" w:space="0" w:color="000000"/>
              <w:bottom w:val="single" w:sz="6" w:space="0" w:color="000000"/>
              <w:right w:val="single" w:sz="6" w:space="0" w:color="000000"/>
            </w:tcBorders>
            <w:tcMar>
              <w:left w:w="160" w:type="dxa"/>
              <w:bottom w:w="60" w:type="dxa"/>
              <w:right w:w="28" w:type="dxa"/>
            </w:tcMar>
            <w:vAlign w:val="center"/>
          </w:tcPr>
          <w:p>
            <w:pPr>
              <w:pStyle w:val="TableContents"/>
              <w:bidi w:val="0"/>
              <w:spacing w:before="0" w:after="0"/>
              <w:jc w:val="left"/>
              <w:rPr>
                <w:rFonts w:ascii="ARIAL" w:hAnsi="ARIAL"/>
                <w:sz w:val="16"/>
              </w:rPr>
            </w:pPr>
            <w:r>
              <w:rPr>
                <w:rFonts w:ascii="ARIAL" w:hAnsi="ARIAL"/>
                <w:sz w:val="16"/>
              </w:rPr>
              <w:t>Base Salary</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20"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left"/>
              <w:rPr/>
            </w:pPr>
            <w:r>
              <w:rPr/>
              <w:t>Cash</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189"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left"/>
              <w:rPr/>
            </w:pPr>
            <w:r>
              <w:rPr/>
              <w:t>Provide competitive fixed pay that is tied to the market and allows us to attract, retrain and motivate executives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905" w:type="dxa"/>
            <w:tcBorders>
              <w:bottom w:val="single" w:sz="6" w:space="0" w:color="000000"/>
              <w:right w:val="single" w:sz="6" w:space="0" w:color="000000"/>
            </w:tcBorders>
            <w:tcMar>
              <w:bottom w:w="60" w:type="dxa"/>
              <w:right w:w="40" w:type="dxa"/>
            </w:tcMar>
            <w:vAlign w:val="center"/>
          </w:tcPr>
          <w:p>
            <w:pPr>
              <w:pStyle w:val="TableContents"/>
              <w:bidi w:val="0"/>
              <w:spacing w:before="0" w:after="0"/>
              <w:jc w:val="left"/>
              <w:rPr/>
            </w:pPr>
            <w:r>
              <w:rPr/>
              <w:t>•  </w:t>
            </w:r>
            <w:r>
              <w:rPr>
                <w:rFonts w:ascii="ARIAL" w:hAnsi="ARIAL"/>
                <w:sz w:val="18"/>
              </w:rPr>
              <w:t>Reflects individual skills, experience, responsibilities and performance over time</w:t>
            </w:r>
          </w:p>
          <w:p>
            <w:pPr>
              <w:pStyle w:val="TableContents"/>
              <w:bidi w:val="0"/>
              <w:spacing w:before="0" w:after="20"/>
              <w:jc w:val="left"/>
              <w:rPr/>
            </w:pPr>
            <w:r>
              <w:rPr/>
              <w:t>•  </w:t>
            </w:r>
            <w:r>
              <w:rPr>
                <w:rFonts w:ascii="ARIAL" w:hAnsi="ARIAL"/>
                <w:sz w:val="18"/>
              </w:rPr>
              <w:t>Key input to annual bonus opportunity</w:t>
            </w:r>
          </w:p>
        </w:tc>
      </w:tr>
      <w:tr>
        <w:trPr/>
        <w:tc>
          <w:tcPr>
            <w:tcW w:w="1011"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98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524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296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11" w:type="dxa"/>
            <w:tcBorders>
              <w:left w:val="single" w:sz="6" w:space="0" w:color="000000"/>
              <w:bottom w:val="single" w:sz="6" w:space="0" w:color="000000"/>
              <w:right w:val="single" w:sz="6" w:space="0" w:color="000000"/>
            </w:tcBorders>
            <w:tcMar>
              <w:left w:w="160" w:type="dxa"/>
              <w:bottom w:w="60" w:type="dxa"/>
              <w:right w:w="28" w:type="dxa"/>
            </w:tcMar>
            <w:vAlign w:val="center"/>
          </w:tcPr>
          <w:p>
            <w:pPr>
              <w:pStyle w:val="TableContents"/>
              <w:bidi w:val="0"/>
              <w:spacing w:before="0" w:after="0"/>
              <w:jc w:val="left"/>
              <w:rPr>
                <w:rFonts w:ascii="ARIAL" w:hAnsi="ARIAL"/>
                <w:sz w:val="16"/>
              </w:rPr>
            </w:pPr>
            <w:r>
              <w:rPr>
                <w:rFonts w:ascii="ARIAL" w:hAnsi="ARIAL"/>
                <w:sz w:val="16"/>
              </w:rPr>
              <w:t>Annual</w:t>
            </w:r>
          </w:p>
          <w:p>
            <w:pPr>
              <w:pStyle w:val="TableContents"/>
              <w:bidi w:val="0"/>
              <w:spacing w:before="0" w:after="20"/>
              <w:jc w:val="left"/>
              <w:rPr>
                <w:rFonts w:ascii="ARIAL" w:hAnsi="ARIAL"/>
                <w:sz w:val="16"/>
              </w:rPr>
            </w:pPr>
            <w:r>
              <w:rPr>
                <w:rFonts w:ascii="ARIAL" w:hAnsi="ARIAL"/>
                <w:sz w:val="16"/>
              </w:rPr>
              <w:t>Bonus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20"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left"/>
              <w:rPr/>
            </w:pPr>
            <w:r>
              <w:rPr/>
              <w:t>Cash</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189"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left"/>
              <w:rPr/>
            </w:pPr>
            <w:r>
              <w:rPr/>
              <w:t>Motivates and rewards executives to be focused on key business and individual goals by using at-risk variable compensation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905" w:type="dxa"/>
            <w:tcBorders>
              <w:bottom w:val="single" w:sz="6" w:space="0" w:color="000000"/>
              <w:right w:val="single" w:sz="6" w:space="0" w:color="000000"/>
            </w:tcBorders>
            <w:tcMar>
              <w:bottom w:w="60" w:type="dxa"/>
              <w:right w:w="40" w:type="dxa"/>
            </w:tcMar>
            <w:vAlign w:val="center"/>
          </w:tcPr>
          <w:p>
            <w:pPr>
              <w:pStyle w:val="TableContents"/>
              <w:bidi w:val="0"/>
              <w:spacing w:before="0" w:after="0"/>
              <w:jc w:val="left"/>
              <w:rPr/>
            </w:pPr>
            <w:r>
              <w:rPr/>
              <w:t>•  </w:t>
            </w:r>
            <w:r>
              <w:rPr>
                <w:rFonts w:ascii="ARIAL" w:hAnsi="ARIAL"/>
                <w:sz w:val="18"/>
              </w:rPr>
              <w:t>Performance-based payments tied to achievement of short-term corporate and individual performance goals</w:t>
            </w:r>
          </w:p>
          <w:p>
            <w:pPr>
              <w:pStyle w:val="TableContents"/>
              <w:bidi w:val="0"/>
              <w:spacing w:before="0" w:after="0"/>
              <w:jc w:val="left"/>
              <w:rPr/>
            </w:pPr>
            <w:r>
              <w:rPr/>
              <w:t>•  </w:t>
            </w:r>
            <w:r>
              <w:rPr>
                <w:rFonts w:ascii="ARIAL" w:hAnsi="ARIAL"/>
                <w:sz w:val="18"/>
              </w:rPr>
              <w:t>Pays only if threshold performance (or above) are met</w:t>
            </w:r>
          </w:p>
          <w:p>
            <w:pPr>
              <w:pStyle w:val="TableContents"/>
              <w:bidi w:val="0"/>
              <w:spacing w:before="0" w:after="0"/>
              <w:jc w:val="left"/>
              <w:rPr/>
            </w:pPr>
            <w:r>
              <w:rPr/>
              <w:t>•  </w:t>
            </w:r>
            <w:r>
              <w:rPr>
                <w:rFonts w:ascii="ARIAL" w:hAnsi="ARIAL"/>
                <w:sz w:val="18"/>
              </w:rPr>
              <w:t>Range of potential payout: 0% - 200% of target</w:t>
            </w:r>
          </w:p>
          <w:p>
            <w:pPr>
              <w:pStyle w:val="TableContents"/>
              <w:bidi w:val="0"/>
              <w:spacing w:before="0" w:after="20"/>
              <w:jc w:val="left"/>
              <w:rPr/>
            </w:pPr>
            <w:r>
              <w:rPr/>
              <w:t>•  </w:t>
            </w:r>
            <w:r>
              <w:rPr>
                <w:rFonts w:ascii="ARIAL" w:hAnsi="ARIAL"/>
                <w:sz w:val="18"/>
              </w:rPr>
              <w:t>In 2023, Labcorp awarded both Ms. McConnell and Mr. Morais a cash bonus in order to incentivize them to work through and past the Spin</w:t>
            </w:r>
          </w:p>
        </w:tc>
      </w:tr>
      <w:tr>
        <w:trPr/>
        <w:tc>
          <w:tcPr>
            <w:tcW w:w="1011"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980"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5249"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296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1011" w:type="dxa"/>
            <w:tcBorders>
              <w:left w:val="single" w:sz="6" w:space="0" w:color="000000"/>
              <w:bottom w:val="single" w:sz="6" w:space="0" w:color="000000"/>
              <w:right w:val="single" w:sz="6" w:space="0" w:color="000000"/>
            </w:tcBorders>
            <w:tcMar>
              <w:left w:w="160" w:type="dxa"/>
              <w:bottom w:w="60" w:type="dxa"/>
              <w:right w:w="28" w:type="dxa"/>
            </w:tcMar>
            <w:vAlign w:val="center"/>
          </w:tcPr>
          <w:p>
            <w:pPr>
              <w:pStyle w:val="TableContents"/>
              <w:bidi w:val="0"/>
              <w:spacing w:before="0" w:after="0"/>
              <w:jc w:val="left"/>
              <w:rPr>
                <w:rFonts w:ascii="ARIAL" w:hAnsi="ARIAL"/>
                <w:sz w:val="16"/>
              </w:rPr>
            </w:pPr>
            <w:r>
              <w:rPr>
                <w:rFonts w:ascii="ARIAL" w:hAnsi="ARIAL"/>
                <w:sz w:val="16"/>
              </w:rPr>
              <w:t>Long-Term Incentives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20"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left"/>
              <w:rPr/>
            </w:pPr>
            <w:r>
              <w:rPr/>
              <w:t>Equity</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189"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left"/>
              <w:rPr/>
            </w:pPr>
            <w:r>
              <w:rPr/>
              <w:t>Rewards performance that enhances stockholder value using equity-based awards that link compensation to the value of Fortrea Common Stock and the achievement of performance goals, and strengthens the alignment of management and stockholder interests by creating meaningful levels of Company stock ownership by management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905" w:type="dxa"/>
            <w:tcBorders>
              <w:bottom w:val="single" w:sz="6" w:space="0" w:color="000000"/>
              <w:right w:val="single" w:sz="6" w:space="0" w:color="000000"/>
            </w:tcBorders>
            <w:tcMar>
              <w:bottom w:w="60" w:type="dxa"/>
              <w:right w:w="40" w:type="dxa"/>
            </w:tcMar>
            <w:vAlign w:val="center"/>
          </w:tcPr>
          <w:p>
            <w:pPr>
              <w:pStyle w:val="TableContents"/>
              <w:bidi w:val="0"/>
              <w:spacing w:before="0" w:after="0"/>
              <w:jc w:val="left"/>
              <w:rPr/>
            </w:pPr>
            <w:r>
              <w:rPr/>
              <w:t>•  </w:t>
            </w:r>
            <w:r>
              <w:rPr>
                <w:rFonts w:ascii="ARIAL" w:hAnsi="ARIAL"/>
                <w:sz w:val="18"/>
              </w:rPr>
              <w:t>Links value to stock price and performance</w:t>
            </w:r>
          </w:p>
          <w:p>
            <w:pPr>
              <w:pStyle w:val="TableContents"/>
              <w:bidi w:val="0"/>
              <w:spacing w:before="0" w:after="20"/>
              <w:jc w:val="left"/>
              <w:rPr/>
            </w:pPr>
            <w:r>
              <w:rPr/>
              <w:t>•  </w:t>
            </w:r>
            <w:r>
              <w:rPr>
                <w:rFonts w:ascii="ARIAL" w:hAnsi="ARIAL"/>
                <w:sz w:val="18"/>
              </w:rPr>
              <w:t>Range of potential payout for performance-based equity awards: 0% - 200% of target</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31</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Fiscal 2023 Compensation Program in Detail </w:t>
      </w:r>
    </w:p>
    <w:p>
      <w:pPr>
        <w:pStyle w:val="TextBody"/>
        <w:bidi w:val="0"/>
        <w:spacing w:before="160" w:after="0"/>
        <w:jc w:val="left"/>
        <w:rPr>
          <w:rFonts w:ascii="ARIAL" w:hAnsi="ARIAL"/>
          <w:i/>
          <w:sz w:val="20"/>
          <w:u w:val="single"/>
        </w:rPr>
      </w:pPr>
      <w:r>
        <w:rPr>
          <w:rFonts w:ascii="ARIAL" w:hAnsi="ARIAL"/>
          <w:i/>
          <w:sz w:val="20"/>
          <w:u w:val="single"/>
        </w:rPr>
        <w:t xml:space="preserve">Base Salaries </w:t>
      </w:r>
    </w:p>
    <w:p>
      <w:pPr>
        <w:pStyle w:val="TextBody"/>
        <w:bidi w:val="0"/>
        <w:spacing w:before="80" w:after="0"/>
        <w:jc w:val="left"/>
        <w:rPr>
          <w:rFonts w:ascii="ARIAL" w:hAnsi="ARIAL"/>
          <w:sz w:val="18"/>
        </w:rPr>
      </w:pPr>
      <w:r>
        <w:rPr>
          <w:rFonts w:ascii="ARIAL" w:hAnsi="ARIAL"/>
          <w:sz w:val="18"/>
        </w:rPr>
        <w:t xml:space="preserve">2023 base salaries for our NEOs were approved by Labcorp, or in the case of Mr. Pike, the Labcorp CHCC, and were effective January 1, 2023, or in the case of Mr. Pike, upon commencement of his employment. Prior to the Spin, Labcorp reviewed and approved changes applicable to Ms. McConnell and Mr. Morais’ base salaries in connection with their new roles upon the Spin. These changes were effective July 1, 2023. After the Spin, the Fortrea MDCC evaluated the base salaries and determined not to make any changes to the base salaries for our NEOs. The following factors were considered by the Fortrea MDCC in evaluating base salary decisions: </w:t>
      </w:r>
    </w:p>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125"/>
        <w:gridCol w:w="60"/>
        <w:gridCol w:w="76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ARIAL" w:hAnsi="ARIAL"/>
                <w:sz w:val="18"/>
              </w:rPr>
            </w:pPr>
            <w:r>
              <w:rPr>
                <w:rFonts w:ascii="ARIAL" w:hAnsi="ARIAL"/>
                <w:sz w:val="18"/>
              </w:rPr>
              <w:t xml:space="preserve">Individual attributes of each NEO – such as responsibilities, skills, leadership and experience </w:t>
            </w:r>
          </w:p>
        </w:tc>
      </w:tr>
    </w:tbl>
    <w:p>
      <w:pPr>
        <w:pStyle w:val="TextBody"/>
        <w:bidi w:val="0"/>
        <w:spacing w:before="0" w:after="0"/>
        <w:jc w:val="left"/>
        <w:rPr/>
      </w:pPr>
      <w:r>
        <w:rPr/>
        <w:t> </w:t>
      </w:r>
    </w:p>
    <w:tbl>
      <w:tblPr>
        <w:tblW w:w="3940" w:type="dxa"/>
        <w:jc w:val="left"/>
        <w:tblInd w:w="0" w:type="dxa"/>
        <w:tblLayout w:type="fixed"/>
        <w:tblCellMar>
          <w:top w:w="0" w:type="dxa"/>
          <w:left w:w="0" w:type="dxa"/>
          <w:bottom w:w="0" w:type="dxa"/>
          <w:right w:w="0" w:type="dxa"/>
        </w:tblCellMar>
      </w:tblPr>
      <w:tblGrid>
        <w:gridCol w:w="125"/>
        <w:gridCol w:w="60"/>
        <w:gridCol w:w="375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0"/>
              <w:jc w:val="left"/>
              <w:rPr>
                <w:rFonts w:ascii="ARIAL" w:hAnsi="ARIAL"/>
                <w:sz w:val="18"/>
              </w:rPr>
            </w:pPr>
            <w:r>
              <w:rPr>
                <w:rFonts w:ascii="ARIAL" w:hAnsi="ARIAL"/>
                <w:sz w:val="18"/>
              </w:rPr>
              <w:t xml:space="preserve">Individual and overall Company performance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125"/>
        <w:gridCol w:w="60"/>
        <w:gridCol w:w="624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45" w:type="dxa"/>
            <w:tcBorders/>
            <w:vAlign w:val="center"/>
          </w:tcPr>
          <w:p>
            <w:pPr>
              <w:pStyle w:val="TableContents"/>
              <w:bidi w:val="0"/>
              <w:spacing w:before="0" w:after="0"/>
              <w:jc w:val="left"/>
              <w:rPr>
                <w:rFonts w:ascii="ARIAL" w:hAnsi="ARIAL"/>
                <w:sz w:val="18"/>
              </w:rPr>
            </w:pPr>
            <w:r>
              <w:rPr>
                <w:rFonts w:ascii="ARIAL" w:hAnsi="ARIAL"/>
                <w:sz w:val="18"/>
              </w:rPr>
              <w:t xml:space="preserve">The executive officer’s expected ongoing contributions to the Company, and </w:t>
            </w:r>
          </w:p>
        </w:tc>
      </w:tr>
    </w:tbl>
    <w:p>
      <w:pPr>
        <w:pStyle w:val="TextBody"/>
        <w:bidi w:val="0"/>
        <w:spacing w:before="0" w:after="0"/>
        <w:jc w:val="left"/>
        <w:rPr/>
      </w:pPr>
      <w:r>
        <w:rPr/>
        <w:t> </w:t>
      </w:r>
    </w:p>
    <w:tbl>
      <w:tblPr>
        <w:tblW w:w="5800" w:type="dxa"/>
        <w:jc w:val="left"/>
        <w:tblInd w:w="0" w:type="dxa"/>
        <w:tblLayout w:type="fixed"/>
        <w:tblCellMar>
          <w:top w:w="0" w:type="dxa"/>
          <w:left w:w="0" w:type="dxa"/>
          <w:bottom w:w="0" w:type="dxa"/>
          <w:right w:w="0" w:type="dxa"/>
        </w:tblCellMar>
      </w:tblPr>
      <w:tblGrid>
        <w:gridCol w:w="125"/>
        <w:gridCol w:w="60"/>
        <w:gridCol w:w="561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15" w:type="dxa"/>
            <w:tcBorders/>
            <w:vAlign w:val="center"/>
          </w:tcPr>
          <w:p>
            <w:pPr>
              <w:pStyle w:val="TableContents"/>
              <w:bidi w:val="0"/>
              <w:spacing w:before="0" w:after="0"/>
              <w:jc w:val="left"/>
              <w:rPr>
                <w:rFonts w:ascii="ARIAL" w:hAnsi="ARIAL"/>
                <w:sz w:val="18"/>
              </w:rPr>
            </w:pPr>
            <w:r>
              <w:rPr>
                <w:rFonts w:ascii="ARIAL" w:hAnsi="ARIAL"/>
                <w:sz w:val="18"/>
              </w:rPr>
              <w:t xml:space="preserve">Overall market competitiveness of the executive officer’s base salary </w:t>
            </w:r>
          </w:p>
        </w:tc>
      </w:tr>
    </w:tbl>
    <w:p>
      <w:pPr>
        <w:pStyle w:val="TextBody"/>
        <w:bidi w:val="0"/>
        <w:spacing w:before="160" w:after="0"/>
        <w:jc w:val="left"/>
        <w:rPr>
          <w:rFonts w:ascii="ARIAL" w:hAnsi="ARIAL"/>
          <w:sz w:val="18"/>
        </w:rPr>
      </w:pPr>
      <w:r>
        <w:rPr>
          <w:rFonts w:ascii="ARIAL" w:hAnsi="ARIAL"/>
          <w:sz w:val="18"/>
        </w:rPr>
        <w:t xml:space="preserve">Below is the base salary for each NEO: </w:t>
      </w:r>
    </w:p>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1190"/>
        <w:gridCol w:w="120"/>
        <w:gridCol w:w="223"/>
        <w:gridCol w:w="1567"/>
        <w:gridCol w:w="60"/>
        <w:gridCol w:w="120"/>
        <w:gridCol w:w="193"/>
        <w:gridCol w:w="1357"/>
        <w:gridCol w:w="60"/>
        <w:gridCol w:w="120"/>
        <w:gridCol w:w="97"/>
        <w:gridCol w:w="718"/>
        <w:gridCol w:w="290"/>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90" w:type="dxa"/>
            <w:tcBorders/>
            <w:shd w:fill="0BC11C" w:val="clear"/>
            <w:vAlign w:val="center"/>
          </w:tcPr>
          <w:p>
            <w:pPr>
              <w:pStyle w:val="TableContents"/>
              <w:bidi w:val="0"/>
              <w:spacing w:before="0" w:after="283"/>
              <w:jc w:val="left"/>
              <w:rPr>
                <w:sz w:val="4"/>
                <w:szCs w:val="4"/>
              </w:rPr>
            </w:pPr>
            <w:r>
              <w:rPr>
                <w:sz w:val="4"/>
                <w:szCs w:val="4"/>
              </w:rPr>
            </w:r>
          </w:p>
        </w:tc>
        <w:tc>
          <w:tcPr>
            <w:tcW w:w="1970" w:type="dxa"/>
            <w:gridSpan w:val="4"/>
            <w:tcBorders/>
            <w:shd w:fill="0BC11C" w:val="clear"/>
            <w:vAlign w:val="center"/>
          </w:tcPr>
          <w:p>
            <w:pPr>
              <w:pStyle w:val="TableContents"/>
              <w:bidi w:val="0"/>
              <w:spacing w:before="0" w:after="283"/>
              <w:jc w:val="left"/>
              <w:rPr>
                <w:sz w:val="4"/>
                <w:szCs w:val="4"/>
              </w:rPr>
            </w:pPr>
            <w:r>
              <w:rPr>
                <w:sz w:val="4"/>
                <w:szCs w:val="4"/>
              </w:rPr>
            </w:r>
          </w:p>
        </w:tc>
        <w:tc>
          <w:tcPr>
            <w:tcW w:w="1730" w:type="dxa"/>
            <w:gridSpan w:val="4"/>
            <w:tcBorders/>
            <w:shd w:fill="0BC11C" w:val="clear"/>
            <w:vAlign w:val="center"/>
          </w:tcPr>
          <w:p>
            <w:pPr>
              <w:pStyle w:val="TableContents"/>
              <w:bidi w:val="0"/>
              <w:spacing w:before="0" w:after="283"/>
              <w:jc w:val="left"/>
              <w:rPr>
                <w:sz w:val="4"/>
                <w:szCs w:val="4"/>
              </w:rPr>
            </w:pPr>
            <w:r>
              <w:rPr>
                <w:sz w:val="4"/>
                <w:szCs w:val="4"/>
              </w:rPr>
            </w:r>
          </w:p>
        </w:tc>
        <w:tc>
          <w:tcPr>
            <w:tcW w:w="1225" w:type="dxa"/>
            <w:gridSpan w:val="4"/>
            <w:tcBorders/>
            <w:shd w:fill="0BC11C" w:val="clear"/>
            <w:vAlign w:val="center"/>
          </w:tcPr>
          <w:p>
            <w:pPr>
              <w:pStyle w:val="TableContents"/>
              <w:bidi w:val="0"/>
              <w:spacing w:before="0" w:after="283"/>
              <w:jc w:val="left"/>
              <w:rPr>
                <w:sz w:val="4"/>
                <w:szCs w:val="4"/>
              </w:rPr>
            </w:pPr>
            <w:r>
              <w:rPr>
                <w:sz w:val="4"/>
                <w:szCs w:val="4"/>
              </w:rPr>
            </w:r>
          </w:p>
        </w:tc>
      </w:tr>
      <w:tr>
        <w:trPr/>
        <w:tc>
          <w:tcPr>
            <w:tcW w:w="1190" w:type="dxa"/>
            <w:tcBorders/>
            <w:shd w:fill="0BC11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Executive</w:t>
            </w:r>
          </w:p>
        </w:tc>
        <w:tc>
          <w:tcPr>
            <w:tcW w:w="120" w:type="dxa"/>
            <w:tcBorders/>
            <w:shd w:fill="0BC11C" w:val="clear"/>
            <w:vAlign w:val="center"/>
          </w:tcPr>
          <w:p>
            <w:pPr>
              <w:pStyle w:val="TableContents"/>
              <w:bidi w:val="0"/>
              <w:spacing w:before="0" w:after="283"/>
              <w:jc w:val="left"/>
              <w:rPr/>
            </w:pPr>
            <w:r>
              <w:rPr/>
              <w:t>  </w:t>
            </w:r>
          </w:p>
        </w:tc>
        <w:tc>
          <w:tcPr>
            <w:tcW w:w="1790" w:type="dxa"/>
            <w:gridSpan w:val="2"/>
            <w:tcBorders/>
            <w:shd w:fill="0BC11C"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Annual Base Salary</w:t>
            </w:r>
          </w:p>
          <w:p>
            <w:pPr>
              <w:pStyle w:val="TableContents"/>
              <w:bidi w:val="0"/>
              <w:spacing w:before="0" w:after="0"/>
              <w:jc w:val="center"/>
              <w:rPr>
                <w:rFonts w:ascii="ARIAL" w:hAnsi="ARIAL"/>
                <w:b/>
                <w:color w:val="FFFFFF"/>
                <w:sz w:val="16"/>
              </w:rPr>
            </w:pPr>
            <w:r>
              <w:rPr>
                <w:rFonts w:ascii="ARIAL" w:hAnsi="ARIAL"/>
                <w:b/>
                <w:color w:val="FFFFFF"/>
                <w:sz w:val="16"/>
              </w:rPr>
              <w:t>effective from January</w:t>
            </w:r>
          </w:p>
          <w:p>
            <w:pPr>
              <w:pStyle w:val="TableContents"/>
              <w:bidi w:val="0"/>
              <w:spacing w:before="0" w:after="0"/>
              <w:jc w:val="center"/>
              <w:rPr>
                <w:rFonts w:ascii="ARIAL" w:hAnsi="ARIAL"/>
                <w:b/>
                <w:color w:val="FFFFFF"/>
                <w:sz w:val="16"/>
              </w:rPr>
            </w:pPr>
            <w:r>
              <w:rPr>
                <w:rFonts w:ascii="ARIAL" w:hAnsi="ARIAL"/>
                <w:b/>
                <w:color w:val="FFFFFF"/>
                <w:sz w:val="16"/>
              </w:rPr>
              <w:t>1 to June 30, 2023</w:t>
            </w:r>
          </w:p>
          <w:p>
            <w:pPr>
              <w:pStyle w:val="TableContents"/>
              <w:bidi w:val="0"/>
              <w:spacing w:before="0" w:after="20"/>
              <w:jc w:val="center"/>
              <w:rPr>
                <w:rFonts w:ascii="ARIAL" w:hAnsi="ARIAL"/>
                <w:b/>
                <w:color w:val="FFFFFF"/>
                <w:sz w:val="16"/>
              </w:rPr>
            </w:pPr>
            <w:r>
              <w:rPr>
                <w:rFonts w:ascii="ARIAL" w:hAnsi="ARIAL"/>
                <w:b/>
                <w:color w:val="FFFFFF"/>
                <w:sz w:val="16"/>
              </w:rPr>
              <w:t>(Pre-Spin)</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1550" w:type="dxa"/>
            <w:gridSpan w:val="2"/>
            <w:tcBorders/>
            <w:shd w:fill="0BC11C"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Annual Base Salary</w:t>
            </w:r>
          </w:p>
          <w:p>
            <w:pPr>
              <w:pStyle w:val="TableContents"/>
              <w:bidi w:val="0"/>
              <w:spacing w:before="0" w:after="0"/>
              <w:jc w:val="center"/>
              <w:rPr>
                <w:rFonts w:ascii="ARIAL" w:hAnsi="ARIAL"/>
                <w:b/>
                <w:color w:val="FFFFFF"/>
                <w:sz w:val="16"/>
              </w:rPr>
            </w:pPr>
            <w:r>
              <w:rPr>
                <w:rFonts w:ascii="ARIAL" w:hAnsi="ARIAL"/>
                <w:b/>
                <w:color w:val="FFFFFF"/>
                <w:sz w:val="16"/>
              </w:rPr>
              <w:t>effective from July</w:t>
            </w:r>
          </w:p>
          <w:p>
            <w:pPr>
              <w:pStyle w:val="TableContents"/>
              <w:bidi w:val="0"/>
              <w:spacing w:before="0" w:after="0"/>
              <w:jc w:val="center"/>
              <w:rPr>
                <w:rFonts w:ascii="ARIAL" w:hAnsi="ARIAL"/>
                <w:b/>
                <w:color w:val="FFFFFF"/>
                <w:sz w:val="16"/>
              </w:rPr>
            </w:pPr>
            <w:r>
              <w:rPr>
                <w:rFonts w:ascii="ARIAL" w:hAnsi="ARIAL"/>
                <w:b/>
                <w:color w:val="FFFFFF"/>
                <w:sz w:val="16"/>
              </w:rPr>
              <w:t>1 to December 31,</w:t>
            </w:r>
          </w:p>
          <w:p>
            <w:pPr>
              <w:pStyle w:val="TableContents"/>
              <w:bidi w:val="0"/>
              <w:spacing w:before="0" w:after="20"/>
              <w:jc w:val="center"/>
              <w:rPr>
                <w:rFonts w:ascii="ARIAL" w:hAnsi="ARIAL"/>
                <w:b/>
                <w:color w:val="FFFFFF"/>
                <w:sz w:val="16"/>
              </w:rPr>
            </w:pPr>
            <w:r>
              <w:rPr>
                <w:rFonts w:ascii="ARIAL" w:hAnsi="ARIAL"/>
                <w:b/>
                <w:color w:val="FFFFFF"/>
                <w:sz w:val="16"/>
              </w:rPr>
              <w:t>2023 (Post-Spin)</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815" w:type="dxa"/>
            <w:gridSpan w:val="2"/>
            <w:tcBorders/>
            <w:shd w:fill="0BC11C" w:val="clear"/>
            <w:vAlign w:val="center"/>
          </w:tcPr>
          <w:p>
            <w:pPr>
              <w:pStyle w:val="TableContents"/>
              <w:bidi w:val="0"/>
              <w:spacing w:before="0" w:after="283"/>
              <w:jc w:val="center"/>
              <w:rPr>
                <w:b/>
                <w:color w:val="FFFFFF"/>
              </w:rPr>
            </w:pPr>
            <w:r>
              <w:rPr>
                <w:b/>
                <w:color w:val="FFFFFF"/>
              </w:rPr>
              <w:t>Percent</w:t>
              <w:br/>
              <w:t>Change</w:t>
            </w:r>
          </w:p>
        </w:tc>
        <w:tc>
          <w:tcPr>
            <w:tcW w:w="290" w:type="dxa"/>
            <w:tcBorders/>
            <w:shd w:fill="0BC11C"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1970" w:type="dxa"/>
            <w:gridSpan w:val="4"/>
            <w:tcBorders/>
            <w:vAlign w:val="center"/>
          </w:tcPr>
          <w:p>
            <w:pPr>
              <w:pStyle w:val="TableContents"/>
              <w:bidi w:val="0"/>
              <w:spacing w:before="0" w:after="283"/>
              <w:jc w:val="left"/>
              <w:rPr>
                <w:sz w:val="4"/>
                <w:szCs w:val="4"/>
              </w:rPr>
            </w:pPr>
            <w:r>
              <w:rPr>
                <w:sz w:val="4"/>
                <w:szCs w:val="4"/>
              </w:rPr>
            </w:r>
          </w:p>
        </w:tc>
        <w:tc>
          <w:tcPr>
            <w:tcW w:w="1730" w:type="dxa"/>
            <w:gridSpan w:val="4"/>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0"/>
              <w:jc w:val="left"/>
              <w:rPr>
                <w:rFonts w:ascii="ARIAL" w:hAnsi="ARIAL"/>
                <w:sz w:val="18"/>
              </w:rPr>
            </w:pPr>
            <w:r>
              <w:rPr>
                <w:rFonts w:ascii="ARIAL" w:hAnsi="ARIAL"/>
                <w:sz w:val="18"/>
              </w:rPr>
              <w:t>Thomas Pike</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1567" w:type="dxa"/>
            <w:tcBorders/>
            <w:vAlign w:val="center"/>
          </w:tcPr>
          <w:p>
            <w:pPr>
              <w:pStyle w:val="TableContents"/>
              <w:bidi w:val="0"/>
              <w:spacing w:before="0" w:after="283"/>
              <w:jc w:val="right"/>
              <w:rPr/>
            </w:pPr>
            <w:r>
              <w:rPr/>
              <w:t>1,100,000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1,100,000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N/A</w:t>
            </w:r>
          </w:p>
        </w:tc>
        <w:tc>
          <w:tcPr>
            <w:tcW w:w="290" w:type="dxa"/>
            <w:tcBorders/>
            <w:vAlign w:val="center"/>
          </w:tcPr>
          <w:p>
            <w:pPr>
              <w:pStyle w:val="TableContents"/>
              <w:bidi w:val="0"/>
              <w:spacing w:before="0" w:after="283"/>
              <w:jc w:val="left"/>
              <w:rPr/>
            </w:pPr>
            <w:r>
              <w:rPr/>
              <w:t> </w:t>
            </w:r>
          </w:p>
        </w:tc>
      </w:tr>
      <w:tr>
        <w:trPr/>
        <w:tc>
          <w:tcPr>
            <w:tcW w:w="1190" w:type="dxa"/>
            <w:tcBorders/>
            <w:shd w:fill="EDEDED" w:val="clear"/>
            <w:vAlign w:val="center"/>
          </w:tcPr>
          <w:p>
            <w:pPr>
              <w:pStyle w:val="TableContents"/>
              <w:bidi w:val="0"/>
              <w:spacing w:before="0" w:after="283"/>
              <w:jc w:val="left"/>
              <w:rPr>
                <w:sz w:val="4"/>
                <w:szCs w:val="4"/>
              </w:rPr>
            </w:pPr>
            <w:r>
              <w:rPr>
                <w:sz w:val="4"/>
                <w:szCs w:val="4"/>
              </w:rPr>
            </w:r>
          </w:p>
        </w:tc>
        <w:tc>
          <w:tcPr>
            <w:tcW w:w="1970" w:type="dxa"/>
            <w:gridSpan w:val="4"/>
            <w:tcBorders/>
            <w:shd w:fill="EDEDED" w:val="clear"/>
            <w:vAlign w:val="center"/>
          </w:tcPr>
          <w:p>
            <w:pPr>
              <w:pStyle w:val="TableContents"/>
              <w:bidi w:val="0"/>
              <w:spacing w:before="0" w:after="283"/>
              <w:jc w:val="left"/>
              <w:rPr>
                <w:sz w:val="4"/>
                <w:szCs w:val="4"/>
              </w:rPr>
            </w:pPr>
            <w:r>
              <w:rPr>
                <w:sz w:val="4"/>
                <w:szCs w:val="4"/>
              </w:rPr>
            </w:r>
          </w:p>
        </w:tc>
        <w:tc>
          <w:tcPr>
            <w:tcW w:w="1730" w:type="dxa"/>
            <w:gridSpan w:val="4"/>
            <w:tcBorders/>
            <w:shd w:fill="EDEDED" w:val="clear"/>
            <w:vAlign w:val="center"/>
          </w:tcPr>
          <w:p>
            <w:pPr>
              <w:pStyle w:val="TableContents"/>
              <w:bidi w:val="0"/>
              <w:spacing w:before="0" w:after="283"/>
              <w:jc w:val="left"/>
              <w:rPr>
                <w:sz w:val="4"/>
                <w:szCs w:val="4"/>
              </w:rPr>
            </w:pPr>
            <w:r>
              <w:rPr>
                <w:sz w:val="4"/>
                <w:szCs w:val="4"/>
              </w:rPr>
            </w:r>
          </w:p>
        </w:tc>
        <w:tc>
          <w:tcPr>
            <w:tcW w:w="122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190" w:type="dxa"/>
            <w:tcBorders/>
            <w:shd w:fill="EDEDED" w:val="clear"/>
            <w:vAlign w:val="center"/>
          </w:tcPr>
          <w:p>
            <w:pPr>
              <w:pStyle w:val="TableContents"/>
              <w:bidi w:val="0"/>
              <w:spacing w:before="0" w:after="0"/>
              <w:jc w:val="left"/>
              <w:rPr>
                <w:rFonts w:ascii="ARIAL" w:hAnsi="ARIAL"/>
                <w:sz w:val="18"/>
              </w:rPr>
            </w:pPr>
            <w:r>
              <w:rPr>
                <w:rFonts w:ascii="ARIAL" w:hAnsi="ARIAL"/>
                <w:sz w:val="18"/>
              </w:rPr>
              <w:t>Jill McConnell</w:t>
            </w:r>
          </w:p>
        </w:tc>
        <w:tc>
          <w:tcPr>
            <w:tcW w:w="120" w:type="dxa"/>
            <w:tcBorders/>
            <w:shd w:fill="EDEDED" w:val="clear"/>
            <w:vAlign w:val="center"/>
          </w:tcPr>
          <w:p>
            <w:pPr>
              <w:pStyle w:val="TableContents"/>
              <w:bidi w:val="0"/>
              <w:spacing w:before="0" w:after="283"/>
              <w:jc w:val="left"/>
              <w:rPr/>
            </w:pPr>
            <w:r>
              <w:rPr/>
              <w:t>  </w:t>
            </w:r>
          </w:p>
        </w:tc>
        <w:tc>
          <w:tcPr>
            <w:tcW w:w="223" w:type="dxa"/>
            <w:tcBorders/>
            <w:shd w:fill="EDEDED" w:val="clear"/>
            <w:vAlign w:val="center"/>
          </w:tcPr>
          <w:p>
            <w:pPr>
              <w:pStyle w:val="TableContents"/>
              <w:bidi w:val="0"/>
              <w:spacing w:before="0" w:after="283"/>
              <w:jc w:val="left"/>
              <w:rPr/>
            </w:pPr>
            <w:r>
              <w:rPr/>
              <w:t>$</w:t>
            </w:r>
          </w:p>
        </w:tc>
        <w:tc>
          <w:tcPr>
            <w:tcW w:w="1567" w:type="dxa"/>
            <w:tcBorders/>
            <w:shd w:fill="EDEDED" w:val="clear"/>
            <w:vAlign w:val="center"/>
          </w:tcPr>
          <w:p>
            <w:pPr>
              <w:pStyle w:val="TableContents"/>
              <w:bidi w:val="0"/>
              <w:spacing w:before="0" w:after="283"/>
              <w:jc w:val="right"/>
              <w:rPr/>
            </w:pPr>
            <w:r>
              <w:rPr/>
              <w:t>411,215</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93" w:type="dxa"/>
            <w:tcBorders/>
            <w:shd w:fill="EDEDED" w:val="clear"/>
            <w:vAlign w:val="center"/>
          </w:tcPr>
          <w:p>
            <w:pPr>
              <w:pStyle w:val="TableContents"/>
              <w:bidi w:val="0"/>
              <w:spacing w:before="0" w:after="283"/>
              <w:jc w:val="left"/>
              <w:rPr/>
            </w:pPr>
            <w:r>
              <w:rPr/>
              <w:t>$</w:t>
            </w:r>
          </w:p>
        </w:tc>
        <w:tc>
          <w:tcPr>
            <w:tcW w:w="1357" w:type="dxa"/>
            <w:tcBorders/>
            <w:shd w:fill="EDEDED" w:val="clear"/>
            <w:vAlign w:val="center"/>
          </w:tcPr>
          <w:p>
            <w:pPr>
              <w:pStyle w:val="TableContents"/>
              <w:bidi w:val="0"/>
              <w:spacing w:before="0" w:after="283"/>
              <w:jc w:val="right"/>
              <w:rPr/>
            </w:pPr>
            <w:r>
              <w:rPr/>
              <w:t>500,000</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97" w:type="dxa"/>
            <w:tcBorders/>
            <w:shd w:fill="EDEDED" w:val="clear"/>
            <w:vAlign w:val="center"/>
          </w:tcPr>
          <w:p>
            <w:pPr>
              <w:pStyle w:val="TableContents"/>
              <w:bidi w:val="0"/>
              <w:spacing w:before="0" w:after="283"/>
              <w:jc w:val="left"/>
              <w:rPr/>
            </w:pPr>
            <w:r>
              <w:rPr/>
              <w:t> </w:t>
            </w:r>
          </w:p>
        </w:tc>
        <w:tc>
          <w:tcPr>
            <w:tcW w:w="718" w:type="dxa"/>
            <w:tcBorders/>
            <w:shd w:fill="EDEDED" w:val="clear"/>
            <w:vAlign w:val="center"/>
          </w:tcPr>
          <w:p>
            <w:pPr>
              <w:pStyle w:val="TableContents"/>
              <w:bidi w:val="0"/>
              <w:spacing w:before="0" w:after="283"/>
              <w:jc w:val="right"/>
              <w:rPr/>
            </w:pPr>
            <w:r>
              <w:rPr/>
              <w:t>21.6</w:t>
            </w:r>
          </w:p>
        </w:tc>
        <w:tc>
          <w:tcPr>
            <w:tcW w:w="290" w:type="dxa"/>
            <w:tcBorders/>
            <w:shd w:fill="EDEDED" w:val="clear"/>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pBdr>
                <w:top w:val="single" w:sz="2" w:space="1" w:color="000000"/>
              </w:pBdr>
              <w:bidi w:val="0"/>
              <w:spacing w:before="0" w:after="0"/>
              <w:jc w:val="left"/>
              <w:rPr/>
            </w:pPr>
            <w:r>
              <w:rPr/>
              <w:t> </w:t>
            </w:r>
          </w:p>
        </w:tc>
        <w:tc>
          <w:tcPr>
            <w:tcW w:w="156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single" w:sz="2" w:space="1" w:color="000000"/>
              </w:pBdr>
              <w:bidi w:val="0"/>
              <w:spacing w:before="0" w:after="0"/>
              <w:jc w:val="left"/>
              <w:rPr/>
            </w:pPr>
            <w:r>
              <w:rPr/>
              <w:t> </w:t>
            </w:r>
          </w:p>
        </w:tc>
        <w:tc>
          <w:tcPr>
            <w:tcW w:w="1357"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pBdr>
                <w:top w:val="single" w:sz="2" w:space="1" w:color="000000"/>
              </w:pBdr>
              <w:bidi w:val="0"/>
              <w:spacing w:before="0" w:after="0"/>
              <w:jc w:val="left"/>
              <w:rPr/>
            </w:pPr>
            <w:r>
              <w:rPr/>
              <w:t> </w:t>
            </w:r>
          </w:p>
        </w:tc>
        <w:tc>
          <w:tcPr>
            <w:tcW w:w="718" w:type="dxa"/>
            <w:tcBorders/>
            <w:vAlign w:val="center"/>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1970" w:type="dxa"/>
            <w:gridSpan w:val="4"/>
            <w:tcBorders/>
            <w:vAlign w:val="center"/>
          </w:tcPr>
          <w:p>
            <w:pPr>
              <w:pStyle w:val="TableContents"/>
              <w:bidi w:val="0"/>
              <w:spacing w:before="0" w:after="283"/>
              <w:jc w:val="left"/>
              <w:rPr>
                <w:sz w:val="4"/>
                <w:szCs w:val="4"/>
              </w:rPr>
            </w:pPr>
            <w:r>
              <w:rPr>
                <w:sz w:val="4"/>
                <w:szCs w:val="4"/>
              </w:rPr>
            </w:r>
          </w:p>
        </w:tc>
        <w:tc>
          <w:tcPr>
            <w:tcW w:w="1730" w:type="dxa"/>
            <w:gridSpan w:val="4"/>
            <w:tcBorders/>
            <w:vAlign w:val="center"/>
          </w:tcPr>
          <w:p>
            <w:pPr>
              <w:pStyle w:val="TableContents"/>
              <w:bidi w:val="0"/>
              <w:spacing w:before="0" w:after="283"/>
              <w:jc w:val="left"/>
              <w:rPr>
                <w:sz w:val="4"/>
                <w:szCs w:val="4"/>
              </w:rPr>
            </w:pPr>
            <w:r>
              <w:rPr>
                <w:sz w:val="4"/>
                <w:szCs w:val="4"/>
              </w:rPr>
            </w:r>
          </w:p>
        </w:tc>
        <w:tc>
          <w:tcPr>
            <w:tcW w:w="1225" w:type="dxa"/>
            <w:gridSpan w:val="4"/>
            <w:tcBorders/>
            <w:vAlign w:val="center"/>
          </w:tcPr>
          <w:p>
            <w:pPr>
              <w:pStyle w:val="TableContents"/>
              <w:bidi w:val="0"/>
              <w:spacing w:before="0" w:after="283"/>
              <w:jc w:val="left"/>
              <w:rPr>
                <w:sz w:val="4"/>
                <w:szCs w:val="4"/>
              </w:rPr>
            </w:pPr>
            <w:r>
              <w:rPr>
                <w:sz w:val="4"/>
                <w:szCs w:val="4"/>
              </w:rPr>
            </w:r>
          </w:p>
        </w:tc>
      </w:tr>
      <w:tr>
        <w:trPr/>
        <w:tc>
          <w:tcPr>
            <w:tcW w:w="1190" w:type="dxa"/>
            <w:tcBorders/>
            <w:vAlign w:val="center"/>
          </w:tcPr>
          <w:p>
            <w:pPr>
              <w:pStyle w:val="TableContents"/>
              <w:bidi w:val="0"/>
              <w:spacing w:before="0" w:after="0"/>
              <w:jc w:val="left"/>
              <w:rPr>
                <w:rFonts w:ascii="ARIAL" w:hAnsi="ARIAL"/>
                <w:sz w:val="18"/>
              </w:rPr>
            </w:pPr>
            <w:r>
              <w:rPr>
                <w:rFonts w:ascii="ARIAL" w:hAnsi="ARIAL"/>
                <w:sz w:val="18"/>
              </w:rPr>
              <w:t>Mark Morais</w:t>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283"/>
              <w:jc w:val="left"/>
              <w:rPr/>
            </w:pPr>
            <w:r>
              <w:rPr/>
              <w:t>$</w:t>
            </w:r>
          </w:p>
        </w:tc>
        <w:tc>
          <w:tcPr>
            <w:tcW w:w="1567" w:type="dxa"/>
            <w:tcBorders/>
            <w:vAlign w:val="center"/>
          </w:tcPr>
          <w:p>
            <w:pPr>
              <w:pStyle w:val="TableContents"/>
              <w:bidi w:val="0"/>
              <w:spacing w:before="0" w:after="283"/>
              <w:jc w:val="right"/>
              <w:rPr/>
            </w:pPr>
            <w:r>
              <w:rPr/>
              <w:t>413,800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left"/>
              <w:rPr/>
            </w:pPr>
            <w:r>
              <w:rPr/>
              <w:t>$</w:t>
            </w:r>
          </w:p>
        </w:tc>
        <w:tc>
          <w:tcPr>
            <w:tcW w:w="1357"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718" w:type="dxa"/>
            <w:tcBorders/>
            <w:vAlign w:val="center"/>
          </w:tcPr>
          <w:p>
            <w:pPr>
              <w:pStyle w:val="TableContents"/>
              <w:bidi w:val="0"/>
              <w:spacing w:before="0" w:after="283"/>
              <w:jc w:val="right"/>
              <w:rPr/>
            </w:pPr>
            <w:r>
              <w:rPr/>
              <w:t>20.8</w:t>
            </w:r>
          </w:p>
        </w:tc>
        <w:tc>
          <w:tcPr>
            <w:tcW w:w="29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3" w:type="dxa"/>
            <w:tcBorders/>
            <w:vAlign w:val="center"/>
          </w:tcPr>
          <w:p>
            <w:pPr>
              <w:pStyle w:val="TableContents"/>
              <w:pBdr>
                <w:top w:val="double" w:sz="6" w:space="1" w:color="000000"/>
              </w:pBdr>
              <w:bidi w:val="0"/>
              <w:spacing w:before="0" w:after="0"/>
              <w:jc w:val="left"/>
              <w:rPr/>
            </w:pPr>
            <w:r>
              <w:rPr/>
              <w:t> </w:t>
            </w:r>
          </w:p>
        </w:tc>
        <w:tc>
          <w:tcPr>
            <w:tcW w:w="156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3" w:type="dxa"/>
            <w:tcBorders/>
            <w:vAlign w:val="center"/>
          </w:tcPr>
          <w:p>
            <w:pPr>
              <w:pStyle w:val="TableContents"/>
              <w:pBdr>
                <w:top w:val="double" w:sz="6" w:space="1" w:color="000000"/>
              </w:pBdr>
              <w:bidi w:val="0"/>
              <w:spacing w:before="0" w:after="0"/>
              <w:jc w:val="left"/>
              <w:rPr/>
            </w:pPr>
            <w:r>
              <w:rPr/>
              <w:t> </w:t>
            </w:r>
          </w:p>
        </w:tc>
        <w:tc>
          <w:tcPr>
            <w:tcW w:w="1357"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7" w:type="dxa"/>
            <w:tcBorders/>
            <w:vAlign w:val="center"/>
          </w:tcPr>
          <w:p>
            <w:pPr>
              <w:pStyle w:val="TableContents"/>
              <w:pBdr>
                <w:top w:val="double" w:sz="6" w:space="1" w:color="000000"/>
              </w:pBdr>
              <w:bidi w:val="0"/>
              <w:spacing w:before="0" w:after="0"/>
              <w:jc w:val="left"/>
              <w:rPr/>
            </w:pPr>
            <w:r>
              <w:rPr/>
              <w:t> </w:t>
            </w:r>
          </w:p>
        </w:tc>
        <w:tc>
          <w:tcPr>
            <w:tcW w:w="718" w:type="dxa"/>
            <w:tcBorders/>
            <w:vAlign w:val="center"/>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18"/>
        </w:rPr>
      </w:pPr>
      <w:r>
        <w:rPr>
          <w:rFonts w:ascii="ARIAL" w:hAnsi="ARIAL"/>
          <w:sz w:val="18"/>
        </w:rPr>
        <w:t xml:space="preserve">Mr. Pike’s employment at Labcorp commenced effective January 9, 2023. </w:t>
      </w:r>
    </w:p>
    <w:p>
      <w:pPr>
        <w:pStyle w:val="TextBody"/>
        <w:bidi w:val="0"/>
        <w:spacing w:before="360" w:after="0"/>
        <w:jc w:val="left"/>
        <w:rPr>
          <w:rFonts w:ascii="ARIAL" w:hAnsi="ARIAL"/>
          <w:i/>
          <w:sz w:val="20"/>
        </w:rPr>
      </w:pPr>
      <w:r>
        <w:rPr>
          <w:rFonts w:ascii="ARIAL" w:hAnsi="ARIAL"/>
          <w:i/>
          <w:sz w:val="20"/>
        </w:rPr>
        <w:t xml:space="preserve">Annual Bonus (Non-Equity Short-Term Incentive Compensation) </w:t>
      </w:r>
    </w:p>
    <w:p>
      <w:pPr>
        <w:pStyle w:val="TextBody"/>
        <w:bidi w:val="0"/>
        <w:spacing w:before="160" w:after="0"/>
        <w:jc w:val="left"/>
        <w:rPr>
          <w:rFonts w:ascii="ARIAL" w:hAnsi="ARIAL"/>
          <w:sz w:val="20"/>
        </w:rPr>
      </w:pPr>
      <w:r>
        <w:rPr>
          <w:rFonts w:ascii="ARIAL" w:hAnsi="ARIAL"/>
          <w:b/>
          <w:sz w:val="20"/>
        </w:rPr>
        <w:t>Fiscal Year 2023 Earned Annual Bonus</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Based on the performance achievements described below, the following annual incentive bonuses were earned by our NEOs for 2023 performance. In accordance with Mr. Pike’s employment agreement, which was entered into with Labcorp on January 5, 2023, Mr. Pike was entitled to a guaranteed bonus payment of no less than 100% of his 2023 base salary, or $1,100,000. </w:t>
      </w:r>
    </w:p>
    <w:p>
      <w:pPr>
        <w:pStyle w:val="TextBody"/>
        <w:bidi w:val="0"/>
        <w:spacing w:before="0" w:after="0"/>
        <w:jc w:val="left"/>
        <w:rPr/>
      </w:pPr>
      <w:r>
        <w:rPr/>
        <w:t> </w:t>
      </w:r>
    </w:p>
    <w:tbl>
      <w:tblPr>
        <w:tblW w:w="11690" w:type="dxa"/>
        <w:jc w:val="left"/>
        <w:tblInd w:w="0" w:type="dxa"/>
        <w:tblLayout w:type="fixed"/>
        <w:tblCellMar>
          <w:top w:w="0" w:type="dxa"/>
          <w:left w:w="0" w:type="dxa"/>
          <w:bottom w:w="0" w:type="dxa"/>
          <w:right w:w="0" w:type="dxa"/>
        </w:tblCellMar>
      </w:tblPr>
      <w:tblGrid>
        <w:gridCol w:w="920"/>
        <w:gridCol w:w="60"/>
        <w:gridCol w:w="2060"/>
        <w:gridCol w:w="60"/>
        <w:gridCol w:w="1475"/>
        <w:gridCol w:w="60"/>
        <w:gridCol w:w="1100"/>
        <w:gridCol w:w="60"/>
        <w:gridCol w:w="2075"/>
        <w:gridCol w:w="60"/>
        <w:gridCol w:w="2285"/>
        <w:gridCol w:w="60"/>
        <w:gridCol w:w="1415"/>
      </w:tblGrid>
      <w:tr>
        <w:trPr/>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920" w:type="dxa"/>
            <w:tcBorders/>
            <w:shd w:fill="0BC11C" w:val="clear"/>
            <w:vAlign w:val="center"/>
          </w:tcPr>
          <w:p>
            <w:pPr>
              <w:pStyle w:val="TableContents"/>
              <w:bidi w:val="0"/>
              <w:spacing w:before="0" w:after="283"/>
              <w:jc w:val="left"/>
              <w:rPr>
                <w:sz w:val="4"/>
                <w:szCs w:val="4"/>
              </w:rPr>
            </w:pPr>
            <w:r>
              <w:rPr>
                <w:sz w:val="4"/>
                <w:szCs w:val="4"/>
              </w:rPr>
            </w:r>
          </w:p>
        </w:tc>
        <w:tc>
          <w:tcPr>
            <w:tcW w:w="2120" w:type="dxa"/>
            <w:gridSpan w:val="2"/>
            <w:tcBorders/>
            <w:shd w:fill="0BC11C" w:val="clear"/>
            <w:vAlign w:val="center"/>
          </w:tcPr>
          <w:p>
            <w:pPr>
              <w:pStyle w:val="TableContents"/>
              <w:bidi w:val="0"/>
              <w:spacing w:before="0" w:after="283"/>
              <w:jc w:val="left"/>
              <w:rPr>
                <w:sz w:val="4"/>
                <w:szCs w:val="4"/>
              </w:rPr>
            </w:pPr>
            <w:r>
              <w:rPr>
                <w:sz w:val="4"/>
                <w:szCs w:val="4"/>
              </w:rPr>
            </w:r>
          </w:p>
        </w:tc>
        <w:tc>
          <w:tcPr>
            <w:tcW w:w="1535" w:type="dxa"/>
            <w:gridSpan w:val="2"/>
            <w:tcBorders/>
            <w:shd w:fill="0BC11C" w:val="clear"/>
            <w:vAlign w:val="center"/>
          </w:tcPr>
          <w:p>
            <w:pPr>
              <w:pStyle w:val="TableContents"/>
              <w:bidi w:val="0"/>
              <w:spacing w:before="0" w:after="283"/>
              <w:jc w:val="left"/>
              <w:rPr>
                <w:sz w:val="4"/>
                <w:szCs w:val="4"/>
              </w:rPr>
            </w:pPr>
            <w:r>
              <w:rPr>
                <w:sz w:val="4"/>
                <w:szCs w:val="4"/>
              </w:rPr>
            </w:r>
          </w:p>
        </w:tc>
        <w:tc>
          <w:tcPr>
            <w:tcW w:w="1160" w:type="dxa"/>
            <w:gridSpan w:val="2"/>
            <w:tcBorders/>
            <w:shd w:fill="0BC11C" w:val="clear"/>
            <w:vAlign w:val="center"/>
          </w:tcPr>
          <w:p>
            <w:pPr>
              <w:pStyle w:val="TableContents"/>
              <w:bidi w:val="0"/>
              <w:spacing w:before="0" w:after="283"/>
              <w:jc w:val="left"/>
              <w:rPr>
                <w:sz w:val="4"/>
                <w:szCs w:val="4"/>
              </w:rPr>
            </w:pPr>
            <w:r>
              <w:rPr>
                <w:sz w:val="4"/>
                <w:szCs w:val="4"/>
              </w:rPr>
            </w:r>
          </w:p>
        </w:tc>
        <w:tc>
          <w:tcPr>
            <w:tcW w:w="2135" w:type="dxa"/>
            <w:gridSpan w:val="2"/>
            <w:tcBorders/>
            <w:shd w:fill="0BC11C" w:val="clear"/>
            <w:vAlign w:val="center"/>
          </w:tcPr>
          <w:p>
            <w:pPr>
              <w:pStyle w:val="TableContents"/>
              <w:bidi w:val="0"/>
              <w:spacing w:before="0" w:after="283"/>
              <w:jc w:val="left"/>
              <w:rPr>
                <w:sz w:val="4"/>
                <w:szCs w:val="4"/>
              </w:rPr>
            </w:pPr>
            <w:r>
              <w:rPr>
                <w:sz w:val="4"/>
                <w:szCs w:val="4"/>
              </w:rPr>
            </w:r>
          </w:p>
        </w:tc>
        <w:tc>
          <w:tcPr>
            <w:tcW w:w="2345" w:type="dxa"/>
            <w:gridSpan w:val="2"/>
            <w:tcBorders/>
            <w:shd w:fill="0BC11C" w:val="clear"/>
            <w:vAlign w:val="center"/>
          </w:tcPr>
          <w:p>
            <w:pPr>
              <w:pStyle w:val="TableContents"/>
              <w:bidi w:val="0"/>
              <w:spacing w:before="0" w:after="283"/>
              <w:jc w:val="left"/>
              <w:rPr>
                <w:sz w:val="4"/>
                <w:szCs w:val="4"/>
              </w:rPr>
            </w:pPr>
            <w:r>
              <w:rPr>
                <w:sz w:val="4"/>
                <w:szCs w:val="4"/>
              </w:rPr>
            </w:r>
          </w:p>
        </w:tc>
        <w:tc>
          <w:tcPr>
            <w:tcW w:w="1475" w:type="dxa"/>
            <w:gridSpan w:val="2"/>
            <w:tcBorders/>
            <w:shd w:fill="0BC11C" w:val="clear"/>
            <w:vAlign w:val="center"/>
          </w:tcPr>
          <w:p>
            <w:pPr>
              <w:pStyle w:val="TableContents"/>
              <w:bidi w:val="0"/>
              <w:spacing w:before="0" w:after="283"/>
              <w:jc w:val="left"/>
              <w:rPr>
                <w:sz w:val="4"/>
                <w:szCs w:val="4"/>
              </w:rPr>
            </w:pPr>
            <w:r>
              <w:rPr>
                <w:sz w:val="4"/>
                <w:szCs w:val="4"/>
              </w:rPr>
            </w:r>
          </w:p>
        </w:tc>
      </w:tr>
      <w:tr>
        <w:trPr/>
        <w:tc>
          <w:tcPr>
            <w:tcW w:w="920" w:type="dxa"/>
            <w:tcBorders/>
            <w:shd w:fill="0BC11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Executive</w:t>
            </w:r>
          </w:p>
        </w:tc>
        <w:tc>
          <w:tcPr>
            <w:tcW w:w="60" w:type="dxa"/>
            <w:tcBorders/>
            <w:shd w:fill="0BC11C" w:val="clear"/>
            <w:vAlign w:val="center"/>
          </w:tcPr>
          <w:p>
            <w:pPr>
              <w:pStyle w:val="TableContents"/>
              <w:bidi w:val="0"/>
              <w:spacing w:before="0" w:after="283"/>
              <w:jc w:val="left"/>
              <w:rPr/>
            </w:pPr>
            <w:r>
              <w:rPr/>
              <w:t> </w:t>
            </w:r>
          </w:p>
        </w:tc>
        <w:tc>
          <w:tcPr>
            <w:tcW w:w="2060" w:type="dxa"/>
            <w:tcBorders/>
            <w:shd w:fill="0BC11C"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Applicable Bonus</w:t>
            </w:r>
          </w:p>
          <w:p>
            <w:pPr>
              <w:pStyle w:val="TableContents"/>
              <w:bidi w:val="0"/>
              <w:spacing w:before="0" w:after="20"/>
              <w:jc w:val="center"/>
              <w:rPr>
                <w:rFonts w:ascii="ARIAL" w:hAnsi="ARIAL"/>
                <w:b/>
                <w:color w:val="FFFFFF"/>
                <w:sz w:val="16"/>
              </w:rPr>
            </w:pPr>
            <w:r>
              <w:rPr>
                <w:rFonts w:ascii="ARIAL" w:hAnsi="ARIAL"/>
                <w:b/>
                <w:color w:val="FFFFFF"/>
                <w:sz w:val="16"/>
              </w:rPr>
              <w:t>Plan</w:t>
            </w:r>
          </w:p>
        </w:tc>
        <w:tc>
          <w:tcPr>
            <w:tcW w:w="60" w:type="dxa"/>
            <w:tcBorders/>
            <w:shd w:fill="0BC11C" w:val="clear"/>
            <w:vAlign w:val="center"/>
          </w:tcPr>
          <w:p>
            <w:pPr>
              <w:pStyle w:val="TableContents"/>
              <w:bidi w:val="0"/>
              <w:spacing w:before="0" w:after="283"/>
              <w:jc w:val="left"/>
              <w:rPr/>
            </w:pPr>
            <w:r>
              <w:rPr/>
              <w:t> </w:t>
            </w:r>
          </w:p>
        </w:tc>
        <w:tc>
          <w:tcPr>
            <w:tcW w:w="1475" w:type="dxa"/>
            <w:tcBorders/>
            <w:shd w:fill="0BC11C" w:val="clear"/>
            <w:vAlign w:val="center"/>
          </w:tcPr>
          <w:p>
            <w:pPr>
              <w:pStyle w:val="TableContents"/>
              <w:bidi w:val="0"/>
              <w:spacing w:before="0" w:after="283"/>
              <w:jc w:val="center"/>
              <w:rPr>
                <w:b/>
                <w:color w:val="FFFFFF"/>
              </w:rPr>
            </w:pPr>
            <w:r>
              <w:rPr>
                <w:b/>
                <w:color w:val="FFFFFF"/>
              </w:rPr>
              <w:t>Prorated Base</w:t>
              <w:br/>
              <w:t>Salary</w:t>
            </w:r>
          </w:p>
        </w:tc>
        <w:tc>
          <w:tcPr>
            <w:tcW w:w="60" w:type="dxa"/>
            <w:tcBorders/>
            <w:shd w:fill="0BC11C" w:val="clear"/>
            <w:vAlign w:val="center"/>
          </w:tcPr>
          <w:p>
            <w:pPr>
              <w:pStyle w:val="TableContents"/>
              <w:bidi w:val="0"/>
              <w:spacing w:before="0" w:after="283"/>
              <w:jc w:val="left"/>
              <w:rPr/>
            </w:pPr>
            <w:r>
              <w:rPr/>
              <w:t> </w:t>
            </w:r>
          </w:p>
        </w:tc>
        <w:tc>
          <w:tcPr>
            <w:tcW w:w="1100" w:type="dxa"/>
            <w:tcBorders/>
            <w:shd w:fill="0BC11C"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Bonus Target</w:t>
            </w:r>
          </w:p>
          <w:p>
            <w:pPr>
              <w:pStyle w:val="TableContents"/>
              <w:bidi w:val="0"/>
              <w:spacing w:before="0" w:after="20"/>
              <w:jc w:val="center"/>
              <w:rPr>
                <w:rFonts w:ascii="ARIAL" w:hAnsi="ARIAL"/>
                <w:b/>
                <w:color w:val="FFFFFF"/>
                <w:sz w:val="16"/>
              </w:rPr>
            </w:pPr>
            <w:r>
              <w:rPr>
                <w:rFonts w:ascii="ARIAL" w:hAnsi="ARIAL"/>
                <w:b/>
                <w:color w:val="FFFFFF"/>
                <w:sz w:val="16"/>
              </w:rPr>
              <w:t>(% of Base</w:t>
              <w:br/>
              <w:t>Salary)</w:t>
            </w:r>
          </w:p>
        </w:tc>
        <w:tc>
          <w:tcPr>
            <w:tcW w:w="60" w:type="dxa"/>
            <w:tcBorders/>
            <w:shd w:fill="0BC11C" w:val="clear"/>
            <w:vAlign w:val="center"/>
          </w:tcPr>
          <w:p>
            <w:pPr>
              <w:pStyle w:val="TableContents"/>
              <w:bidi w:val="0"/>
              <w:spacing w:before="0" w:after="283"/>
              <w:jc w:val="left"/>
              <w:rPr/>
            </w:pPr>
            <w:r>
              <w:rPr/>
              <w:t> </w:t>
            </w:r>
          </w:p>
        </w:tc>
        <w:tc>
          <w:tcPr>
            <w:tcW w:w="2075" w:type="dxa"/>
            <w:tcBorders/>
            <w:shd w:fill="0BC11C" w:val="clear"/>
            <w:vAlign w:val="center"/>
          </w:tcPr>
          <w:p>
            <w:pPr>
              <w:pStyle w:val="TableContents"/>
              <w:bidi w:val="0"/>
              <w:spacing w:before="0" w:after="283"/>
              <w:jc w:val="center"/>
              <w:rPr>
                <w:b/>
                <w:color w:val="FFFFFF"/>
              </w:rPr>
            </w:pPr>
            <w:r>
              <w:rPr>
                <w:b/>
                <w:color w:val="FFFFFF"/>
              </w:rPr>
              <w:t>Fortrea Business</w:t>
              <w:br/>
              <w:t>Performance Factor</w:t>
            </w:r>
          </w:p>
        </w:tc>
        <w:tc>
          <w:tcPr>
            <w:tcW w:w="60" w:type="dxa"/>
            <w:tcBorders/>
            <w:shd w:fill="0BC11C" w:val="clear"/>
            <w:vAlign w:val="center"/>
          </w:tcPr>
          <w:p>
            <w:pPr>
              <w:pStyle w:val="TableContents"/>
              <w:bidi w:val="0"/>
              <w:spacing w:before="0" w:after="283"/>
              <w:jc w:val="left"/>
              <w:rPr/>
            </w:pPr>
            <w:r>
              <w:rPr/>
              <w:t> </w:t>
            </w:r>
          </w:p>
        </w:tc>
        <w:tc>
          <w:tcPr>
            <w:tcW w:w="2285" w:type="dxa"/>
            <w:tcBorders/>
            <w:shd w:fill="0BC11C" w:val="clear"/>
            <w:vAlign w:val="center"/>
          </w:tcPr>
          <w:p>
            <w:pPr>
              <w:pStyle w:val="TableContents"/>
              <w:bidi w:val="0"/>
              <w:spacing w:before="0" w:after="283"/>
              <w:jc w:val="center"/>
              <w:rPr>
                <w:b/>
                <w:color w:val="FFFFFF"/>
              </w:rPr>
            </w:pPr>
            <w:r>
              <w:rPr>
                <w:b/>
                <w:color w:val="FFFFFF"/>
              </w:rPr>
              <w:t>Individual</w:t>
              <w:br/>
              <w:t>Performance Modifier</w:t>
            </w:r>
          </w:p>
        </w:tc>
        <w:tc>
          <w:tcPr>
            <w:tcW w:w="60" w:type="dxa"/>
            <w:tcBorders/>
            <w:shd w:fill="0BC11C" w:val="clear"/>
            <w:vAlign w:val="center"/>
          </w:tcPr>
          <w:p>
            <w:pPr>
              <w:pStyle w:val="TableContents"/>
              <w:bidi w:val="0"/>
              <w:spacing w:before="0" w:after="283"/>
              <w:jc w:val="left"/>
              <w:rPr/>
            </w:pPr>
            <w:r>
              <w:rPr/>
              <w:t> </w:t>
            </w:r>
          </w:p>
        </w:tc>
        <w:tc>
          <w:tcPr>
            <w:tcW w:w="1415" w:type="dxa"/>
            <w:tcBorders/>
            <w:shd w:fill="0BC11C" w:val="clear"/>
            <w:vAlign w:val="center"/>
          </w:tcPr>
          <w:p>
            <w:pPr>
              <w:pStyle w:val="TableContents"/>
              <w:bidi w:val="0"/>
              <w:spacing w:before="0" w:after="283"/>
              <w:jc w:val="center"/>
              <w:rPr>
                <w:b/>
                <w:color w:val="FFFFFF"/>
              </w:rPr>
            </w:pPr>
            <w:r>
              <w:rPr>
                <w:b/>
                <w:color w:val="FFFFFF"/>
              </w:rPr>
              <w:t>Actual Bonus</w:t>
              <w:br/>
              <w:t>Payout</w:t>
            </w:r>
          </w:p>
        </w:tc>
      </w:tr>
      <w:tr>
        <w:trPr/>
        <w:tc>
          <w:tcPr>
            <w:tcW w:w="920" w:type="dxa"/>
            <w:tcBorders/>
            <w:shd w:fill="EDEDED" w:val="clear"/>
            <w:vAlign w:val="center"/>
          </w:tcPr>
          <w:p>
            <w:pPr>
              <w:pStyle w:val="TableContents"/>
              <w:bidi w:val="0"/>
              <w:spacing w:before="0" w:after="0"/>
              <w:jc w:val="left"/>
              <w:rPr>
                <w:rFonts w:ascii="ARIAL" w:hAnsi="ARIAL"/>
                <w:sz w:val="18"/>
              </w:rPr>
            </w:pPr>
            <w:r>
              <w:rPr>
                <w:rFonts w:ascii="ARIAL" w:hAnsi="ARIAL"/>
                <w:sz w:val="18"/>
              </w:rPr>
              <w:t>Thomas Pike</w:t>
            </w:r>
          </w:p>
        </w:tc>
        <w:tc>
          <w:tcPr>
            <w:tcW w:w="60" w:type="dxa"/>
            <w:tcBorders/>
            <w:shd w:fill="EDEDED" w:val="clear"/>
            <w:vAlign w:val="center"/>
          </w:tcPr>
          <w:p>
            <w:pPr>
              <w:pStyle w:val="TableContents"/>
              <w:bidi w:val="0"/>
              <w:spacing w:before="0" w:after="283"/>
              <w:jc w:val="left"/>
              <w:rPr/>
            </w:pPr>
            <w:r>
              <w:rPr/>
              <w:t> </w:t>
            </w:r>
          </w:p>
        </w:tc>
        <w:tc>
          <w:tcPr>
            <w:tcW w:w="2060" w:type="dxa"/>
            <w:tcBorders/>
            <w:shd w:fill="EDEDED" w:val="clear"/>
            <w:vAlign w:val="center"/>
          </w:tcPr>
          <w:p>
            <w:pPr>
              <w:pStyle w:val="TableContents"/>
              <w:bidi w:val="0"/>
              <w:spacing w:before="0" w:after="283"/>
              <w:jc w:val="center"/>
              <w:rPr/>
            </w:pPr>
            <w:r>
              <w:rPr/>
              <w:t>Contractually Agreed</w:t>
            </w:r>
          </w:p>
        </w:tc>
        <w:tc>
          <w:tcPr>
            <w:tcW w:w="60" w:type="dxa"/>
            <w:tcBorders/>
            <w:shd w:fill="EDEDED" w:val="clear"/>
            <w:vAlign w:val="center"/>
          </w:tcPr>
          <w:p>
            <w:pPr>
              <w:pStyle w:val="TableContents"/>
              <w:bidi w:val="0"/>
              <w:spacing w:before="0" w:after="283"/>
              <w:jc w:val="left"/>
              <w:rPr/>
            </w:pPr>
            <w:r>
              <w:rPr/>
              <w:t> </w:t>
            </w:r>
          </w:p>
        </w:tc>
        <w:tc>
          <w:tcPr>
            <w:tcW w:w="1475" w:type="dxa"/>
            <w:tcBorders/>
            <w:shd w:fill="EDEDED" w:val="clear"/>
            <w:vAlign w:val="center"/>
          </w:tcPr>
          <w:p>
            <w:pPr>
              <w:pStyle w:val="TableContents"/>
              <w:bidi w:val="0"/>
              <w:spacing w:before="0" w:after="283"/>
              <w:jc w:val="center"/>
              <w:rPr/>
            </w:pPr>
            <w:r>
              <w:rPr/>
              <w:t>$1,100,000</w:t>
            </w:r>
          </w:p>
        </w:tc>
        <w:tc>
          <w:tcPr>
            <w:tcW w:w="60" w:type="dxa"/>
            <w:tcBorders/>
            <w:shd w:fill="EDEDED" w:val="clear"/>
            <w:vAlign w:val="center"/>
          </w:tcPr>
          <w:p>
            <w:pPr>
              <w:pStyle w:val="TableContents"/>
              <w:bidi w:val="0"/>
              <w:spacing w:before="0" w:after="283"/>
              <w:jc w:val="left"/>
              <w:rPr/>
            </w:pPr>
            <w:r>
              <w:rPr/>
              <w:t> </w:t>
            </w:r>
          </w:p>
        </w:tc>
        <w:tc>
          <w:tcPr>
            <w:tcW w:w="1100" w:type="dxa"/>
            <w:tcBorders/>
            <w:shd w:fill="EDEDED" w:val="clear"/>
            <w:vAlign w:val="center"/>
          </w:tcPr>
          <w:p>
            <w:pPr>
              <w:pStyle w:val="TableContents"/>
              <w:bidi w:val="0"/>
              <w:spacing w:before="0" w:after="283"/>
              <w:jc w:val="center"/>
              <w:rPr/>
            </w:pPr>
            <w:r>
              <w:rPr/>
              <w:t>N/A</w:t>
            </w:r>
          </w:p>
        </w:tc>
        <w:tc>
          <w:tcPr>
            <w:tcW w:w="60" w:type="dxa"/>
            <w:tcBorders/>
            <w:shd w:fill="EDEDED" w:val="clear"/>
            <w:vAlign w:val="center"/>
          </w:tcPr>
          <w:p>
            <w:pPr>
              <w:pStyle w:val="TableContents"/>
              <w:bidi w:val="0"/>
              <w:spacing w:before="0" w:after="283"/>
              <w:jc w:val="left"/>
              <w:rPr/>
            </w:pPr>
            <w:r>
              <w:rPr/>
              <w:t> </w:t>
            </w:r>
          </w:p>
        </w:tc>
        <w:tc>
          <w:tcPr>
            <w:tcW w:w="2075" w:type="dxa"/>
            <w:tcBorders/>
            <w:shd w:fill="EDEDED" w:val="clear"/>
            <w:vAlign w:val="center"/>
          </w:tcPr>
          <w:p>
            <w:pPr>
              <w:pStyle w:val="TableContents"/>
              <w:bidi w:val="0"/>
              <w:spacing w:before="0" w:after="283"/>
              <w:jc w:val="center"/>
              <w:rPr/>
            </w:pPr>
            <w:r>
              <w:rPr/>
              <w:t>N/A</w:t>
            </w:r>
          </w:p>
        </w:tc>
        <w:tc>
          <w:tcPr>
            <w:tcW w:w="60" w:type="dxa"/>
            <w:tcBorders/>
            <w:shd w:fill="EDEDED" w:val="clear"/>
            <w:vAlign w:val="center"/>
          </w:tcPr>
          <w:p>
            <w:pPr>
              <w:pStyle w:val="TableContents"/>
              <w:bidi w:val="0"/>
              <w:spacing w:before="0" w:after="283"/>
              <w:jc w:val="left"/>
              <w:rPr/>
            </w:pPr>
            <w:r>
              <w:rPr/>
              <w:t> </w:t>
            </w:r>
          </w:p>
        </w:tc>
        <w:tc>
          <w:tcPr>
            <w:tcW w:w="2285" w:type="dxa"/>
            <w:tcBorders/>
            <w:shd w:fill="EDEDED" w:val="clear"/>
            <w:vAlign w:val="center"/>
          </w:tcPr>
          <w:p>
            <w:pPr>
              <w:pStyle w:val="TableContents"/>
              <w:bidi w:val="0"/>
              <w:spacing w:before="0" w:after="283"/>
              <w:jc w:val="center"/>
              <w:rPr/>
            </w:pPr>
            <w:r>
              <w:rPr/>
              <w:t>N/A</w:t>
            </w:r>
          </w:p>
        </w:tc>
        <w:tc>
          <w:tcPr>
            <w:tcW w:w="60" w:type="dxa"/>
            <w:tcBorders/>
            <w:shd w:fill="EDEDED" w:val="clear"/>
            <w:vAlign w:val="center"/>
          </w:tcPr>
          <w:p>
            <w:pPr>
              <w:pStyle w:val="TableContents"/>
              <w:bidi w:val="0"/>
              <w:spacing w:before="0" w:after="283"/>
              <w:jc w:val="left"/>
              <w:rPr/>
            </w:pPr>
            <w:r>
              <w:rPr/>
              <w:t> </w:t>
            </w:r>
          </w:p>
        </w:tc>
        <w:tc>
          <w:tcPr>
            <w:tcW w:w="1415" w:type="dxa"/>
            <w:tcBorders/>
            <w:shd w:fill="EDEDED" w:val="clear"/>
            <w:vAlign w:val="center"/>
          </w:tcPr>
          <w:p>
            <w:pPr>
              <w:pStyle w:val="TableContents"/>
              <w:bidi w:val="0"/>
              <w:spacing w:before="0" w:after="283"/>
              <w:jc w:val="center"/>
              <w:rPr/>
            </w:pPr>
            <w:r>
              <w:rPr/>
              <w:t>$1,100,000</w:t>
            </w:r>
          </w:p>
        </w:tc>
      </w:tr>
      <w:tr>
        <w:trPr/>
        <w:tc>
          <w:tcPr>
            <w:tcW w:w="920" w:type="dxa"/>
            <w:vMerge w:val="restart"/>
            <w:tcBorders/>
            <w:vAlign w:val="center"/>
          </w:tcPr>
          <w:p>
            <w:pPr>
              <w:pStyle w:val="TableContents"/>
              <w:bidi w:val="0"/>
              <w:spacing w:before="0" w:after="0"/>
              <w:jc w:val="left"/>
              <w:rPr>
                <w:rFonts w:ascii="ARIAL" w:hAnsi="ARIAL"/>
                <w:sz w:val="18"/>
              </w:rPr>
            </w:pPr>
            <w:r>
              <w:rPr>
                <w:rFonts w:ascii="ARIAL" w:hAnsi="ARIAL"/>
                <w:sz w:val="18"/>
              </w:rPr>
              <w:t>Jill McConnell</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pPr>
            <w:r>
              <w:rPr/>
              <w:t>Labcorp Bonus Plan</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$203,917</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50%</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center"/>
              <w:rPr/>
            </w:pPr>
            <w:r>
              <w:rPr/>
              <w:t>61.07%</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$62,266</w:t>
            </w:r>
          </w:p>
        </w:tc>
      </w:tr>
      <w:tr>
        <w:trPr/>
        <w:tc>
          <w:tcPr>
            <w:tcW w:w="920" w:type="dxa"/>
            <w:vMerge w:val="continue"/>
            <w:tcBorders/>
            <w:shd w:fill="EDEDED" w:val="clear"/>
            <w:vAlign w:val="center"/>
          </w:tcPr>
          <w:p>
            <w:pPr>
              <w:pStyle w:val="Normal"/>
              <w:bidi w:val="0"/>
              <w:jc w:val="left"/>
              <w:rPr/>
            </w:pPr>
            <w:r>
              <w:rPr/>
            </w:r>
          </w:p>
        </w:tc>
        <w:tc>
          <w:tcPr>
            <w:tcW w:w="60" w:type="dxa"/>
            <w:tcBorders/>
            <w:shd w:fill="EDEDED" w:val="clear"/>
            <w:vAlign w:val="center"/>
          </w:tcPr>
          <w:p>
            <w:pPr>
              <w:pStyle w:val="TableContents"/>
              <w:bidi w:val="0"/>
              <w:spacing w:before="0" w:after="283"/>
              <w:jc w:val="left"/>
              <w:rPr/>
            </w:pPr>
            <w:r>
              <w:rPr/>
              <w:t> </w:t>
            </w:r>
          </w:p>
        </w:tc>
        <w:tc>
          <w:tcPr>
            <w:tcW w:w="2060" w:type="dxa"/>
            <w:tcBorders/>
            <w:shd w:fill="EDEDED" w:val="clear"/>
            <w:vAlign w:val="center"/>
          </w:tcPr>
          <w:p>
            <w:pPr>
              <w:pStyle w:val="TableContents"/>
              <w:bidi w:val="0"/>
              <w:spacing w:before="0" w:after="283"/>
              <w:jc w:val="center"/>
              <w:rPr/>
            </w:pPr>
            <w:r>
              <w:rPr/>
              <w:t>Fortrea Bonus Plan</w:t>
            </w:r>
          </w:p>
        </w:tc>
        <w:tc>
          <w:tcPr>
            <w:tcW w:w="60" w:type="dxa"/>
            <w:tcBorders/>
            <w:shd w:fill="EDEDED" w:val="clear"/>
            <w:vAlign w:val="center"/>
          </w:tcPr>
          <w:p>
            <w:pPr>
              <w:pStyle w:val="TableContents"/>
              <w:bidi w:val="0"/>
              <w:spacing w:before="0" w:after="283"/>
              <w:jc w:val="left"/>
              <w:rPr/>
            </w:pPr>
            <w:r>
              <w:rPr/>
              <w:t> </w:t>
            </w:r>
          </w:p>
        </w:tc>
        <w:tc>
          <w:tcPr>
            <w:tcW w:w="1475" w:type="dxa"/>
            <w:tcBorders/>
            <w:shd w:fill="EDEDED" w:val="clear"/>
            <w:vAlign w:val="center"/>
          </w:tcPr>
          <w:p>
            <w:pPr>
              <w:pStyle w:val="TableContents"/>
              <w:bidi w:val="0"/>
              <w:spacing w:before="0" w:after="283"/>
              <w:jc w:val="center"/>
              <w:rPr/>
            </w:pPr>
            <w:r>
              <w:rPr/>
              <w:t>$252,055</w:t>
            </w:r>
          </w:p>
        </w:tc>
        <w:tc>
          <w:tcPr>
            <w:tcW w:w="60" w:type="dxa"/>
            <w:tcBorders/>
            <w:shd w:fill="EDEDED" w:val="clear"/>
            <w:vAlign w:val="center"/>
          </w:tcPr>
          <w:p>
            <w:pPr>
              <w:pStyle w:val="TableContents"/>
              <w:bidi w:val="0"/>
              <w:spacing w:before="0" w:after="283"/>
              <w:jc w:val="left"/>
              <w:rPr/>
            </w:pPr>
            <w:r>
              <w:rPr/>
              <w:t> </w:t>
            </w:r>
          </w:p>
        </w:tc>
        <w:tc>
          <w:tcPr>
            <w:tcW w:w="1100" w:type="dxa"/>
            <w:tcBorders/>
            <w:shd w:fill="EDEDED" w:val="clear"/>
            <w:vAlign w:val="center"/>
          </w:tcPr>
          <w:p>
            <w:pPr>
              <w:pStyle w:val="TableContents"/>
              <w:bidi w:val="0"/>
              <w:spacing w:before="0" w:after="283"/>
              <w:jc w:val="center"/>
              <w:rPr/>
            </w:pPr>
            <w:r>
              <w:rPr/>
              <w:t>85%</w:t>
            </w:r>
          </w:p>
        </w:tc>
        <w:tc>
          <w:tcPr>
            <w:tcW w:w="60" w:type="dxa"/>
            <w:tcBorders/>
            <w:shd w:fill="EDEDED" w:val="clear"/>
            <w:vAlign w:val="center"/>
          </w:tcPr>
          <w:p>
            <w:pPr>
              <w:pStyle w:val="TableContents"/>
              <w:bidi w:val="0"/>
              <w:spacing w:before="0" w:after="283"/>
              <w:jc w:val="left"/>
              <w:rPr/>
            </w:pPr>
            <w:r>
              <w:rPr/>
              <w:t> </w:t>
            </w:r>
          </w:p>
        </w:tc>
        <w:tc>
          <w:tcPr>
            <w:tcW w:w="2075" w:type="dxa"/>
            <w:tcBorders/>
            <w:shd w:fill="EDEDED" w:val="clear"/>
            <w:vAlign w:val="center"/>
          </w:tcPr>
          <w:p>
            <w:pPr>
              <w:pStyle w:val="TableContents"/>
              <w:bidi w:val="0"/>
              <w:spacing w:before="0" w:after="283"/>
              <w:jc w:val="center"/>
              <w:rPr/>
            </w:pPr>
            <w:r>
              <w:rPr/>
              <w:t>0%</w:t>
            </w:r>
          </w:p>
        </w:tc>
        <w:tc>
          <w:tcPr>
            <w:tcW w:w="60" w:type="dxa"/>
            <w:tcBorders/>
            <w:shd w:fill="EDEDED" w:val="clear"/>
            <w:vAlign w:val="center"/>
          </w:tcPr>
          <w:p>
            <w:pPr>
              <w:pStyle w:val="TableContents"/>
              <w:bidi w:val="0"/>
              <w:spacing w:before="0" w:after="283"/>
              <w:jc w:val="left"/>
              <w:rPr/>
            </w:pPr>
            <w:r>
              <w:rPr/>
              <w:t> </w:t>
            </w:r>
          </w:p>
        </w:tc>
        <w:tc>
          <w:tcPr>
            <w:tcW w:w="2285" w:type="dxa"/>
            <w:tcBorders/>
            <w:shd w:fill="EDEDED" w:val="clear"/>
            <w:vAlign w:val="center"/>
          </w:tcPr>
          <w:p>
            <w:pPr>
              <w:pStyle w:val="TableContents"/>
              <w:bidi w:val="0"/>
              <w:spacing w:before="0" w:after="283"/>
              <w:jc w:val="center"/>
              <w:rPr/>
            </w:pPr>
            <w:r>
              <w:rPr/>
              <w:t>100%</w:t>
            </w:r>
          </w:p>
        </w:tc>
        <w:tc>
          <w:tcPr>
            <w:tcW w:w="60" w:type="dxa"/>
            <w:tcBorders/>
            <w:shd w:fill="EDEDED" w:val="clear"/>
            <w:vAlign w:val="center"/>
          </w:tcPr>
          <w:p>
            <w:pPr>
              <w:pStyle w:val="TableContents"/>
              <w:bidi w:val="0"/>
              <w:spacing w:before="0" w:after="283"/>
              <w:jc w:val="left"/>
              <w:rPr/>
            </w:pPr>
            <w:r>
              <w:rPr/>
              <w:t> </w:t>
            </w:r>
          </w:p>
        </w:tc>
        <w:tc>
          <w:tcPr>
            <w:tcW w:w="1415" w:type="dxa"/>
            <w:tcBorders/>
            <w:shd w:fill="EDEDED" w:val="clear"/>
            <w:vAlign w:val="center"/>
          </w:tcPr>
          <w:p>
            <w:pPr>
              <w:pStyle w:val="TableContents"/>
              <w:bidi w:val="0"/>
              <w:spacing w:before="0" w:after="283"/>
              <w:jc w:val="center"/>
              <w:rPr/>
            </w:pPr>
            <w:r>
              <w:rPr/>
              <w:t>$0</w:t>
            </w:r>
          </w:p>
        </w:tc>
      </w:tr>
      <w:tr>
        <w:trPr/>
        <w:tc>
          <w:tcPr>
            <w:tcW w:w="920" w:type="dxa"/>
            <w:vMerge w:val="restart"/>
            <w:tcBorders/>
            <w:vAlign w:val="center"/>
          </w:tcPr>
          <w:p>
            <w:pPr>
              <w:pStyle w:val="TableContents"/>
              <w:bidi w:val="0"/>
              <w:spacing w:before="0" w:after="0"/>
              <w:jc w:val="left"/>
              <w:rPr>
                <w:rFonts w:ascii="ARIAL" w:hAnsi="ARIAL"/>
                <w:sz w:val="18"/>
              </w:rPr>
            </w:pPr>
            <w:r>
              <w:rPr>
                <w:rFonts w:ascii="ARIAL" w:hAnsi="ARIAL"/>
                <w:sz w:val="18"/>
              </w:rPr>
              <w:t>Mark Morais</w:t>
            </w:r>
          </w:p>
        </w:tc>
        <w:tc>
          <w:tcPr>
            <w:tcW w:w="60" w:type="dxa"/>
            <w:tcBorders/>
            <w:vAlign w:val="center"/>
          </w:tcPr>
          <w:p>
            <w:pPr>
              <w:pStyle w:val="TableContents"/>
              <w:bidi w:val="0"/>
              <w:spacing w:before="0" w:after="283"/>
              <w:jc w:val="left"/>
              <w:rPr/>
            </w:pPr>
            <w:r>
              <w:rPr/>
              <w:t> </w:t>
            </w:r>
          </w:p>
        </w:tc>
        <w:tc>
          <w:tcPr>
            <w:tcW w:w="2060" w:type="dxa"/>
            <w:tcBorders/>
            <w:vAlign w:val="center"/>
          </w:tcPr>
          <w:p>
            <w:pPr>
              <w:pStyle w:val="TableContents"/>
              <w:bidi w:val="0"/>
              <w:spacing w:before="0" w:after="283"/>
              <w:jc w:val="center"/>
              <w:rPr/>
            </w:pPr>
            <w:r>
              <w:rPr/>
              <w:t>Labcorp Bonus Plan</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$205,199</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50%</w:t>
            </w:r>
          </w:p>
        </w:tc>
        <w:tc>
          <w:tcPr>
            <w:tcW w:w="60" w:type="dxa"/>
            <w:tcBorders/>
            <w:vAlign w:val="center"/>
          </w:tcPr>
          <w:p>
            <w:pPr>
              <w:pStyle w:val="TableContents"/>
              <w:bidi w:val="0"/>
              <w:spacing w:before="0" w:after="283"/>
              <w:jc w:val="left"/>
              <w:rPr/>
            </w:pPr>
            <w:r>
              <w:rPr/>
              <w:t> </w:t>
            </w:r>
          </w:p>
        </w:tc>
        <w:tc>
          <w:tcPr>
            <w:tcW w:w="2075" w:type="dxa"/>
            <w:tcBorders/>
            <w:vAlign w:val="center"/>
          </w:tcPr>
          <w:p>
            <w:pPr>
              <w:pStyle w:val="TableContents"/>
              <w:bidi w:val="0"/>
              <w:spacing w:before="0" w:after="283"/>
              <w:jc w:val="center"/>
              <w:rPr/>
            </w:pPr>
            <w:r>
              <w:rPr/>
              <w:t>61.07%</w:t>
            </w:r>
          </w:p>
        </w:tc>
        <w:tc>
          <w:tcPr>
            <w:tcW w:w="6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center"/>
              <w:rPr/>
            </w:pPr>
            <w:r>
              <w:rPr/>
              <w:t>100%</w:t>
            </w:r>
          </w:p>
        </w:tc>
        <w:tc>
          <w:tcPr>
            <w:tcW w:w="60" w:type="dxa"/>
            <w:tcBorders/>
            <w:vAlign w:val="center"/>
          </w:tcPr>
          <w:p>
            <w:pPr>
              <w:pStyle w:val="TableContents"/>
              <w:bidi w:val="0"/>
              <w:spacing w:before="0" w:after="283"/>
              <w:jc w:val="left"/>
              <w:rPr/>
            </w:pPr>
            <w:r>
              <w:rPr/>
              <w:t> </w:t>
            </w:r>
          </w:p>
        </w:tc>
        <w:tc>
          <w:tcPr>
            <w:tcW w:w="1415" w:type="dxa"/>
            <w:tcBorders/>
            <w:vAlign w:val="center"/>
          </w:tcPr>
          <w:p>
            <w:pPr>
              <w:pStyle w:val="TableContents"/>
              <w:bidi w:val="0"/>
              <w:spacing w:before="0" w:after="283"/>
              <w:jc w:val="center"/>
              <w:rPr/>
            </w:pPr>
            <w:r>
              <w:rPr/>
              <w:t>$62,658</w:t>
            </w:r>
          </w:p>
        </w:tc>
      </w:tr>
      <w:tr>
        <w:trPr/>
        <w:tc>
          <w:tcPr>
            <w:tcW w:w="920" w:type="dxa"/>
            <w:vMerge w:val="continue"/>
            <w:tcBorders/>
            <w:shd w:fill="EDEDED" w:val="clear"/>
            <w:vAlign w:val="center"/>
          </w:tcPr>
          <w:p>
            <w:pPr>
              <w:pStyle w:val="Normal"/>
              <w:bidi w:val="0"/>
              <w:jc w:val="left"/>
              <w:rPr/>
            </w:pPr>
            <w:r>
              <w:rPr/>
            </w:r>
          </w:p>
        </w:tc>
        <w:tc>
          <w:tcPr>
            <w:tcW w:w="60" w:type="dxa"/>
            <w:tcBorders/>
            <w:shd w:fill="EDEDED" w:val="clear"/>
            <w:vAlign w:val="center"/>
          </w:tcPr>
          <w:p>
            <w:pPr>
              <w:pStyle w:val="TableContents"/>
              <w:bidi w:val="0"/>
              <w:spacing w:before="0" w:after="283"/>
              <w:jc w:val="left"/>
              <w:rPr/>
            </w:pPr>
            <w:r>
              <w:rPr/>
              <w:t> </w:t>
            </w:r>
          </w:p>
        </w:tc>
        <w:tc>
          <w:tcPr>
            <w:tcW w:w="2060" w:type="dxa"/>
            <w:tcBorders/>
            <w:shd w:fill="EDEDED" w:val="clear"/>
            <w:vAlign w:val="center"/>
          </w:tcPr>
          <w:p>
            <w:pPr>
              <w:pStyle w:val="TableContents"/>
              <w:bidi w:val="0"/>
              <w:spacing w:before="0" w:after="283"/>
              <w:jc w:val="center"/>
              <w:rPr/>
            </w:pPr>
            <w:r>
              <w:rPr/>
              <w:t>Fortrea Bonus Plan</w:t>
            </w:r>
          </w:p>
        </w:tc>
        <w:tc>
          <w:tcPr>
            <w:tcW w:w="60" w:type="dxa"/>
            <w:tcBorders/>
            <w:shd w:fill="EDEDED" w:val="clear"/>
            <w:vAlign w:val="center"/>
          </w:tcPr>
          <w:p>
            <w:pPr>
              <w:pStyle w:val="TableContents"/>
              <w:bidi w:val="0"/>
              <w:spacing w:before="0" w:after="283"/>
              <w:jc w:val="left"/>
              <w:rPr/>
            </w:pPr>
            <w:r>
              <w:rPr/>
              <w:t> </w:t>
            </w:r>
          </w:p>
        </w:tc>
        <w:tc>
          <w:tcPr>
            <w:tcW w:w="1475" w:type="dxa"/>
            <w:tcBorders/>
            <w:shd w:fill="EDEDED" w:val="clear"/>
            <w:vAlign w:val="center"/>
          </w:tcPr>
          <w:p>
            <w:pPr>
              <w:pStyle w:val="TableContents"/>
              <w:bidi w:val="0"/>
              <w:spacing w:before="0" w:after="283"/>
              <w:jc w:val="center"/>
              <w:rPr/>
            </w:pPr>
            <w:r>
              <w:rPr/>
              <w:t>$252,055</w:t>
            </w:r>
          </w:p>
        </w:tc>
        <w:tc>
          <w:tcPr>
            <w:tcW w:w="60" w:type="dxa"/>
            <w:tcBorders/>
            <w:shd w:fill="EDEDED" w:val="clear"/>
            <w:vAlign w:val="center"/>
          </w:tcPr>
          <w:p>
            <w:pPr>
              <w:pStyle w:val="TableContents"/>
              <w:bidi w:val="0"/>
              <w:spacing w:before="0" w:after="283"/>
              <w:jc w:val="left"/>
              <w:rPr/>
            </w:pPr>
            <w:r>
              <w:rPr/>
              <w:t> </w:t>
            </w:r>
          </w:p>
        </w:tc>
        <w:tc>
          <w:tcPr>
            <w:tcW w:w="1100" w:type="dxa"/>
            <w:tcBorders/>
            <w:shd w:fill="EDEDED" w:val="clear"/>
            <w:vAlign w:val="center"/>
          </w:tcPr>
          <w:p>
            <w:pPr>
              <w:pStyle w:val="TableContents"/>
              <w:bidi w:val="0"/>
              <w:spacing w:before="0" w:after="283"/>
              <w:jc w:val="center"/>
              <w:rPr/>
            </w:pPr>
            <w:r>
              <w:rPr/>
              <w:t>85%</w:t>
            </w:r>
          </w:p>
        </w:tc>
        <w:tc>
          <w:tcPr>
            <w:tcW w:w="60" w:type="dxa"/>
            <w:tcBorders/>
            <w:shd w:fill="EDEDED" w:val="clear"/>
            <w:vAlign w:val="center"/>
          </w:tcPr>
          <w:p>
            <w:pPr>
              <w:pStyle w:val="TableContents"/>
              <w:bidi w:val="0"/>
              <w:spacing w:before="0" w:after="283"/>
              <w:jc w:val="left"/>
              <w:rPr/>
            </w:pPr>
            <w:r>
              <w:rPr/>
              <w:t> </w:t>
            </w:r>
          </w:p>
        </w:tc>
        <w:tc>
          <w:tcPr>
            <w:tcW w:w="2075" w:type="dxa"/>
            <w:tcBorders/>
            <w:shd w:fill="EDEDED" w:val="clear"/>
            <w:vAlign w:val="center"/>
          </w:tcPr>
          <w:p>
            <w:pPr>
              <w:pStyle w:val="TableContents"/>
              <w:bidi w:val="0"/>
              <w:spacing w:before="0" w:after="283"/>
              <w:jc w:val="center"/>
              <w:rPr/>
            </w:pPr>
            <w:r>
              <w:rPr/>
              <w:t>0%</w:t>
            </w:r>
          </w:p>
        </w:tc>
        <w:tc>
          <w:tcPr>
            <w:tcW w:w="60" w:type="dxa"/>
            <w:tcBorders/>
            <w:shd w:fill="EDEDED" w:val="clear"/>
            <w:vAlign w:val="center"/>
          </w:tcPr>
          <w:p>
            <w:pPr>
              <w:pStyle w:val="TableContents"/>
              <w:bidi w:val="0"/>
              <w:spacing w:before="0" w:after="283"/>
              <w:jc w:val="left"/>
              <w:rPr/>
            </w:pPr>
            <w:r>
              <w:rPr/>
              <w:t> </w:t>
            </w:r>
          </w:p>
        </w:tc>
        <w:tc>
          <w:tcPr>
            <w:tcW w:w="2285" w:type="dxa"/>
            <w:tcBorders/>
            <w:shd w:fill="EDEDED" w:val="clear"/>
            <w:vAlign w:val="center"/>
          </w:tcPr>
          <w:p>
            <w:pPr>
              <w:pStyle w:val="TableContents"/>
              <w:bidi w:val="0"/>
              <w:spacing w:before="0" w:after="283"/>
              <w:jc w:val="center"/>
              <w:rPr/>
            </w:pPr>
            <w:r>
              <w:rPr/>
              <w:t>100%</w:t>
            </w:r>
          </w:p>
        </w:tc>
        <w:tc>
          <w:tcPr>
            <w:tcW w:w="60" w:type="dxa"/>
            <w:tcBorders/>
            <w:shd w:fill="EDEDED" w:val="clear"/>
            <w:vAlign w:val="center"/>
          </w:tcPr>
          <w:p>
            <w:pPr>
              <w:pStyle w:val="TableContents"/>
              <w:bidi w:val="0"/>
              <w:spacing w:before="0" w:after="283"/>
              <w:jc w:val="left"/>
              <w:rPr/>
            </w:pPr>
            <w:r>
              <w:rPr/>
              <w:t> </w:t>
            </w:r>
          </w:p>
        </w:tc>
        <w:tc>
          <w:tcPr>
            <w:tcW w:w="1415" w:type="dxa"/>
            <w:tcBorders/>
            <w:shd w:fill="EDEDED" w:val="clear"/>
            <w:vAlign w:val="center"/>
          </w:tcPr>
          <w:p>
            <w:pPr>
              <w:pStyle w:val="TableContents"/>
              <w:bidi w:val="0"/>
              <w:spacing w:before="0" w:after="283"/>
              <w:jc w:val="center"/>
              <w:rPr/>
            </w:pPr>
            <w:r>
              <w:rPr/>
              <w:t>$0</w:t>
            </w:r>
          </w:p>
        </w:tc>
      </w:tr>
    </w:tbl>
    <w:p>
      <w:pPr>
        <w:pStyle w:val="TextBody"/>
        <w:bidi w:val="0"/>
        <w:spacing w:before="160" w:after="0"/>
        <w:jc w:val="left"/>
        <w:rPr>
          <w:rFonts w:ascii="ARIAL" w:hAnsi="ARIAL"/>
          <w:sz w:val="18"/>
        </w:rPr>
      </w:pPr>
      <w:r>
        <w:rPr>
          <w:rFonts w:ascii="ARIAL" w:hAnsi="ARIAL"/>
          <w:sz w:val="18"/>
        </w:rPr>
        <w:t xml:space="preserve">For additional information related to the Labcorp Bonus Plan and the Fortrea Bonus Plan, please see the narrative below. </w:t>
      </w:r>
    </w:p>
    <w:p>
      <w:pPr>
        <w:pStyle w:val="TextBody"/>
        <w:bidi w:val="0"/>
        <w:spacing w:before="120" w:after="0"/>
        <w:jc w:val="left"/>
        <w:rPr>
          <w:rFonts w:ascii="ARIAL" w:hAnsi="ARIAL"/>
          <w:b/>
          <w:sz w:val="20"/>
        </w:rPr>
      </w:pPr>
      <w:r>
        <w:rPr>
          <w:rFonts w:ascii="ARIAL" w:hAnsi="ARIAL"/>
          <w:b/>
          <w:sz w:val="20"/>
        </w:rPr>
        <w:t xml:space="preserve">Labcorp Bonus Plan: January 1, 2023 to June 30, 2023 Bonus Plan Design </w:t>
      </w:r>
    </w:p>
    <w:p>
      <w:pPr>
        <w:pStyle w:val="TextBody"/>
        <w:bidi w:val="0"/>
        <w:spacing w:before="120" w:after="0"/>
        <w:jc w:val="left"/>
        <w:rPr>
          <w:rFonts w:ascii="ARIAL" w:hAnsi="ARIAL"/>
          <w:sz w:val="18"/>
        </w:rPr>
      </w:pPr>
      <w:r>
        <w:rPr>
          <w:rFonts w:ascii="ARIAL" w:hAnsi="ARIAL"/>
          <w:sz w:val="18"/>
        </w:rPr>
        <w:t xml:space="preserve">Prior to Fortrea being established as an independent, publicly traded company, our NEOs were subject to the Labcorp Bonus Plan (“LBP”). The program, which was designed and approved by the Labcorp CHCC, represents Labcorp’s performance projections through Spin. The LBP covers the majority of Labcorp executives and management eligible for bonuses, including the applicable Fortrea NEOs and other eligible Fortrea employees. The LBP is designed to compensate Labcorp executives for achieving annual goals that further Labcorp’s strategy and create stockholder value.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32</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Bonus awards for the applicable Fortrea NEOs under the LBP were based on two performance factors: </w:t>
      </w:r>
    </w:p>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125"/>
        <w:gridCol w:w="60"/>
        <w:gridCol w:w="66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80" w:type="dxa"/>
            <w:tcBorders/>
            <w:vAlign w:val="center"/>
          </w:tcPr>
          <w:p>
            <w:pPr>
              <w:pStyle w:val="TableContents"/>
              <w:bidi w:val="0"/>
              <w:spacing w:before="0" w:after="0"/>
              <w:jc w:val="left"/>
              <w:rPr>
                <w:rFonts w:ascii="ARIAL" w:hAnsi="ARIAL"/>
                <w:sz w:val="18"/>
              </w:rPr>
            </w:pPr>
            <w:r>
              <w:rPr>
                <w:rFonts w:ascii="ARIAL" w:hAnsi="ARIAL"/>
                <w:sz w:val="18"/>
              </w:rPr>
              <w:t xml:space="preserve">a Business Performance Factor, which is based on Labcorp financial metrics; and </w:t>
            </w:r>
          </w:p>
        </w:tc>
      </w:tr>
    </w:tbl>
    <w:p>
      <w:pPr>
        <w:pStyle w:val="TextBody"/>
        <w:bidi w:val="0"/>
        <w:spacing w:before="0" w:after="0"/>
        <w:jc w:val="left"/>
        <w:rPr/>
      </w:pPr>
      <w:r>
        <w:rPr/>
        <w:t> </w:t>
      </w:r>
    </w:p>
    <w:tbl>
      <w:tblPr>
        <w:tblW w:w="4165" w:type="dxa"/>
        <w:jc w:val="left"/>
        <w:tblInd w:w="0" w:type="dxa"/>
        <w:tblLayout w:type="fixed"/>
        <w:tblCellMar>
          <w:top w:w="0" w:type="dxa"/>
          <w:left w:w="0" w:type="dxa"/>
          <w:bottom w:w="0" w:type="dxa"/>
          <w:right w:w="0" w:type="dxa"/>
        </w:tblCellMar>
      </w:tblPr>
      <w:tblGrid>
        <w:gridCol w:w="125"/>
        <w:gridCol w:w="60"/>
        <w:gridCol w:w="398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80" w:type="dxa"/>
            <w:tcBorders/>
            <w:vAlign w:val="center"/>
          </w:tcPr>
          <w:p>
            <w:pPr>
              <w:pStyle w:val="TableContents"/>
              <w:bidi w:val="0"/>
              <w:spacing w:before="0" w:after="0"/>
              <w:jc w:val="left"/>
              <w:rPr>
                <w:rFonts w:ascii="ARIAL" w:hAnsi="ARIAL"/>
                <w:sz w:val="18"/>
              </w:rPr>
            </w:pPr>
            <w:r>
              <w:rPr>
                <w:rFonts w:ascii="ARIAL" w:hAnsi="ARIAL"/>
                <w:sz w:val="18"/>
              </w:rPr>
              <w:t xml:space="preserve">the executive’s Individual Performance Modifier. </w:t>
            </w:r>
          </w:p>
        </w:tc>
      </w:tr>
    </w:tbl>
    <w:p>
      <w:pPr>
        <w:pStyle w:val="TextBody"/>
        <w:bidi w:val="0"/>
        <w:spacing w:before="160" w:after="0"/>
        <w:jc w:val="left"/>
        <w:rPr>
          <w:rFonts w:ascii="ARIAL" w:hAnsi="ARIAL"/>
          <w:sz w:val="18"/>
        </w:rPr>
      </w:pPr>
      <w:r>
        <w:rPr>
          <w:rFonts w:ascii="ARIAL" w:hAnsi="ARIAL"/>
          <w:sz w:val="18"/>
        </w:rPr>
        <w:t xml:space="preserve">Ms. McConnell’s Business Performance Factor was based entirely on enterprise financial metrics while Mr. Morais’ Business Performance Factor was based on a combination of enterprise, business segment, and business unit metrics. Under the initial metrics used to determine funding, the Labcorp CHCC approved a projected funding of the LBP to be $17 million for the first half of 2023, the time period prior to Spin. This LBP amount was designated for employee participants who went to Fortrea in the Spin. </w:t>
      </w:r>
    </w:p>
    <w:p>
      <w:pPr>
        <w:pStyle w:val="TextBody"/>
        <w:bidi w:val="0"/>
        <w:spacing w:before="360" w:after="0"/>
        <w:jc w:val="left"/>
        <w:rPr>
          <w:rFonts w:ascii="ARIAL" w:hAnsi="ARIAL"/>
          <w:sz w:val="20"/>
        </w:rPr>
      </w:pPr>
      <w:r>
        <w:rPr>
          <w:rFonts w:ascii="ARIAL" w:hAnsi="ARIAL"/>
          <w:b/>
          <w:sz w:val="20"/>
        </w:rPr>
        <w:t>Labcorp Bonus Plan: Treatment at time of Spin</w:t>
      </w:r>
      <w:r>
        <w:rPr>
          <w:rFonts w:ascii="ARIAL" w:hAnsi="ARIAL"/>
          <w:sz w:val="20"/>
        </w:rPr>
        <w:t xml:space="preserve"> </w:t>
      </w:r>
    </w:p>
    <w:p>
      <w:pPr>
        <w:pStyle w:val="TextBody"/>
        <w:bidi w:val="0"/>
        <w:spacing w:before="80" w:after="0"/>
        <w:jc w:val="left"/>
        <w:rPr>
          <w:rFonts w:ascii="ARIAL" w:hAnsi="ARIAL"/>
          <w:sz w:val="18"/>
        </w:rPr>
      </w:pPr>
      <w:r>
        <w:rPr>
          <w:rFonts w:ascii="ARIAL" w:hAnsi="ARIAL"/>
          <w:sz w:val="18"/>
        </w:rPr>
        <w:t xml:space="preserve">In connection with the Spin, the Labcorp CHCC approved a projected LBP performance factor that was applied to the bonus target, on a prorated basis as of June 30, 2023. The total amount of bonuses for all eligible Fortrea employees was aggregated on an individual basis and provided to Fortrea as an accrued liability to be allocated to eligible participants in line with the normal annual bonus performance measurement period, ending December 31, 2023, and payment schedule. Labcorp funded the LBP for bonus eligible participants that transitioned from Labcorp to Fortrea at $17 million, and the Fortrea MDCC applied a 61.07% business performance factor across all participants. </w:t>
      </w:r>
    </w:p>
    <w:p>
      <w:pPr>
        <w:pStyle w:val="TextBody"/>
        <w:bidi w:val="0"/>
        <w:spacing w:before="120" w:after="0"/>
        <w:jc w:val="left"/>
        <w:rPr>
          <w:rFonts w:ascii="ARIAL" w:hAnsi="ARIAL"/>
          <w:sz w:val="18"/>
        </w:rPr>
      </w:pPr>
      <w:r>
        <w:rPr>
          <w:rFonts w:ascii="ARIAL" w:hAnsi="ARIAL"/>
          <w:sz w:val="18"/>
        </w:rPr>
        <w:t xml:space="preserve">For Ms. McConnell and Mr. Morais, the following table describes how the final payout associated with the LBP was determined: </w:t>
      </w:r>
    </w:p>
    <w:p>
      <w:pPr>
        <w:pStyle w:val="TextBody"/>
        <w:bidi w:val="0"/>
        <w:spacing w:before="0" w:after="0"/>
        <w:jc w:val="left"/>
        <w:rPr/>
      </w:pPr>
      <w:r>
        <w:rPr/>
        <w:t> </w:t>
      </w:r>
    </w:p>
    <w:tbl>
      <w:tblPr>
        <w:tblW w:w="11325" w:type="dxa"/>
        <w:jc w:val="left"/>
        <w:tblInd w:w="0" w:type="dxa"/>
        <w:tblLayout w:type="fixed"/>
        <w:tblCellMar>
          <w:top w:w="0" w:type="dxa"/>
          <w:left w:w="0" w:type="dxa"/>
          <w:bottom w:w="0" w:type="dxa"/>
          <w:right w:w="0" w:type="dxa"/>
        </w:tblCellMar>
      </w:tblPr>
      <w:tblGrid>
        <w:gridCol w:w="920"/>
        <w:gridCol w:w="120"/>
        <w:gridCol w:w="1475"/>
        <w:gridCol w:w="120"/>
        <w:gridCol w:w="346"/>
        <w:gridCol w:w="1504"/>
        <w:gridCol w:w="275"/>
        <w:gridCol w:w="60"/>
        <w:gridCol w:w="200"/>
        <w:gridCol w:w="1875"/>
        <w:gridCol w:w="275"/>
        <w:gridCol w:w="60"/>
        <w:gridCol w:w="311"/>
        <w:gridCol w:w="1974"/>
        <w:gridCol w:w="275"/>
        <w:gridCol w:w="60"/>
        <w:gridCol w:w="239"/>
        <w:gridCol w:w="1161"/>
        <w:gridCol w:w="75"/>
      </w:tblGrid>
      <w:tr>
        <w:trPr/>
        <w:tc>
          <w:tcPr>
            <w:tcW w:w="9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20" w:type="dxa"/>
            <w:tcBorders/>
            <w:shd w:fill="0BC11C" w:val="clear"/>
            <w:vAlign w:val="center"/>
          </w:tcPr>
          <w:p>
            <w:pPr>
              <w:pStyle w:val="TableContents"/>
              <w:bidi w:val="0"/>
              <w:spacing w:before="0" w:after="283"/>
              <w:jc w:val="left"/>
              <w:rPr>
                <w:sz w:val="4"/>
                <w:szCs w:val="4"/>
              </w:rPr>
            </w:pPr>
            <w:r>
              <w:rPr>
                <w:sz w:val="4"/>
                <w:szCs w:val="4"/>
              </w:rPr>
            </w:r>
          </w:p>
        </w:tc>
        <w:tc>
          <w:tcPr>
            <w:tcW w:w="1595" w:type="dxa"/>
            <w:gridSpan w:val="2"/>
            <w:tcBorders/>
            <w:shd w:fill="0BC11C" w:val="clear"/>
            <w:vAlign w:val="center"/>
          </w:tcPr>
          <w:p>
            <w:pPr>
              <w:pStyle w:val="TableContents"/>
              <w:bidi w:val="0"/>
              <w:spacing w:before="0" w:after="283"/>
              <w:jc w:val="left"/>
              <w:rPr>
                <w:sz w:val="4"/>
                <w:szCs w:val="4"/>
              </w:rPr>
            </w:pPr>
            <w:r>
              <w:rPr>
                <w:sz w:val="4"/>
                <w:szCs w:val="4"/>
              </w:rPr>
            </w:r>
          </w:p>
        </w:tc>
        <w:tc>
          <w:tcPr>
            <w:tcW w:w="2245" w:type="dxa"/>
            <w:gridSpan w:val="4"/>
            <w:tcBorders/>
            <w:shd w:fill="0BC11C" w:val="clear"/>
            <w:vAlign w:val="center"/>
          </w:tcPr>
          <w:p>
            <w:pPr>
              <w:pStyle w:val="TableContents"/>
              <w:bidi w:val="0"/>
              <w:spacing w:before="0" w:after="283"/>
              <w:jc w:val="left"/>
              <w:rPr>
                <w:sz w:val="4"/>
                <w:szCs w:val="4"/>
              </w:rPr>
            </w:pPr>
            <w:r>
              <w:rPr>
                <w:sz w:val="4"/>
                <w:szCs w:val="4"/>
              </w:rPr>
            </w:r>
          </w:p>
        </w:tc>
        <w:tc>
          <w:tcPr>
            <w:tcW w:w="2410" w:type="dxa"/>
            <w:gridSpan w:val="4"/>
            <w:tcBorders/>
            <w:shd w:fill="0BC11C" w:val="clear"/>
            <w:vAlign w:val="center"/>
          </w:tcPr>
          <w:p>
            <w:pPr>
              <w:pStyle w:val="TableContents"/>
              <w:bidi w:val="0"/>
              <w:spacing w:before="0" w:after="283"/>
              <w:jc w:val="left"/>
              <w:rPr>
                <w:sz w:val="4"/>
                <w:szCs w:val="4"/>
              </w:rPr>
            </w:pPr>
            <w:r>
              <w:rPr>
                <w:sz w:val="4"/>
                <w:szCs w:val="4"/>
              </w:rPr>
            </w:r>
          </w:p>
        </w:tc>
        <w:tc>
          <w:tcPr>
            <w:tcW w:w="2620" w:type="dxa"/>
            <w:gridSpan w:val="4"/>
            <w:tcBorders/>
            <w:shd w:fill="0BC11C" w:val="clear"/>
            <w:vAlign w:val="center"/>
          </w:tcPr>
          <w:p>
            <w:pPr>
              <w:pStyle w:val="TableContents"/>
              <w:bidi w:val="0"/>
              <w:spacing w:before="0" w:after="283"/>
              <w:jc w:val="left"/>
              <w:rPr>
                <w:sz w:val="4"/>
                <w:szCs w:val="4"/>
              </w:rPr>
            </w:pPr>
            <w:r>
              <w:rPr>
                <w:sz w:val="4"/>
                <w:szCs w:val="4"/>
              </w:rPr>
            </w:r>
          </w:p>
        </w:tc>
        <w:tc>
          <w:tcPr>
            <w:tcW w:w="1535" w:type="dxa"/>
            <w:gridSpan w:val="4"/>
            <w:tcBorders/>
            <w:shd w:fill="0BC11C" w:val="clear"/>
            <w:vAlign w:val="center"/>
          </w:tcPr>
          <w:p>
            <w:pPr>
              <w:pStyle w:val="TableContents"/>
              <w:bidi w:val="0"/>
              <w:spacing w:before="0" w:after="283"/>
              <w:jc w:val="left"/>
              <w:rPr>
                <w:sz w:val="4"/>
                <w:szCs w:val="4"/>
              </w:rPr>
            </w:pPr>
            <w:r>
              <w:rPr>
                <w:sz w:val="4"/>
                <w:szCs w:val="4"/>
              </w:rPr>
            </w:r>
          </w:p>
        </w:tc>
      </w:tr>
      <w:tr>
        <w:trPr/>
        <w:tc>
          <w:tcPr>
            <w:tcW w:w="920" w:type="dxa"/>
            <w:tcBorders/>
            <w:shd w:fill="0BC11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Executive</w:t>
            </w:r>
          </w:p>
        </w:tc>
        <w:tc>
          <w:tcPr>
            <w:tcW w:w="120" w:type="dxa"/>
            <w:tcBorders/>
            <w:shd w:fill="0BC11C" w:val="clear"/>
            <w:vAlign w:val="center"/>
          </w:tcPr>
          <w:p>
            <w:pPr>
              <w:pStyle w:val="TableContents"/>
              <w:bidi w:val="0"/>
              <w:spacing w:before="0" w:after="283"/>
              <w:jc w:val="left"/>
              <w:rPr/>
            </w:pPr>
            <w:r>
              <w:rPr/>
              <w:t>  </w:t>
            </w:r>
          </w:p>
        </w:tc>
        <w:tc>
          <w:tcPr>
            <w:tcW w:w="1475" w:type="dxa"/>
            <w:tcBorders/>
            <w:shd w:fill="0BC11C" w:val="clear"/>
            <w:vAlign w:val="center"/>
          </w:tcPr>
          <w:p>
            <w:pPr>
              <w:pStyle w:val="TableContents"/>
              <w:bidi w:val="0"/>
              <w:spacing w:before="0" w:after="283"/>
              <w:jc w:val="center"/>
              <w:rPr>
                <w:b/>
                <w:color w:val="FFFFFF"/>
              </w:rPr>
            </w:pPr>
            <w:r>
              <w:rPr>
                <w:b/>
                <w:color w:val="FFFFFF"/>
              </w:rPr>
              <w:t>LBP Prorated</w:t>
              <w:br/>
              <w:t>Base Salary</w:t>
            </w:r>
          </w:p>
        </w:tc>
        <w:tc>
          <w:tcPr>
            <w:tcW w:w="120" w:type="dxa"/>
            <w:tcBorders/>
            <w:shd w:fill="0BC11C" w:val="clear"/>
            <w:vAlign w:val="center"/>
          </w:tcPr>
          <w:p>
            <w:pPr>
              <w:pStyle w:val="TableContents"/>
              <w:bidi w:val="0"/>
              <w:spacing w:before="0" w:after="283"/>
              <w:jc w:val="left"/>
              <w:rPr/>
            </w:pPr>
            <w:r>
              <w:rPr/>
              <w:t>  </w:t>
            </w:r>
          </w:p>
        </w:tc>
        <w:tc>
          <w:tcPr>
            <w:tcW w:w="1850" w:type="dxa"/>
            <w:gridSpan w:val="2"/>
            <w:tcBorders/>
            <w:shd w:fill="0BC11C" w:val="clear"/>
            <w:vAlign w:val="center"/>
          </w:tcPr>
          <w:p>
            <w:pPr>
              <w:pStyle w:val="TableContents"/>
              <w:bidi w:val="0"/>
              <w:spacing w:before="0" w:after="283"/>
              <w:jc w:val="center"/>
              <w:rPr>
                <w:b/>
                <w:color w:val="FFFFFF"/>
              </w:rPr>
            </w:pPr>
            <w:r>
              <w:rPr>
                <w:b/>
                <w:color w:val="FFFFFF"/>
              </w:rPr>
              <w:t>Bonus Target</w:t>
              <w:br/>
              <w:t>(% of Base Salary)</w:t>
            </w:r>
          </w:p>
        </w:tc>
        <w:tc>
          <w:tcPr>
            <w:tcW w:w="275"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2075" w:type="dxa"/>
            <w:gridSpan w:val="2"/>
            <w:tcBorders/>
            <w:shd w:fill="0BC11C" w:val="clear"/>
            <w:vAlign w:val="center"/>
          </w:tcPr>
          <w:p>
            <w:pPr>
              <w:pStyle w:val="TableContents"/>
              <w:bidi w:val="0"/>
              <w:spacing w:before="0" w:after="283"/>
              <w:jc w:val="center"/>
              <w:rPr>
                <w:b/>
                <w:color w:val="FFFFFF"/>
              </w:rPr>
            </w:pPr>
            <w:r>
              <w:rPr>
                <w:b/>
                <w:color w:val="FFFFFF"/>
              </w:rPr>
              <w:t>Fortrea Business</w:t>
              <w:br/>
              <w:t>Performance Factor</w:t>
            </w:r>
          </w:p>
        </w:tc>
        <w:tc>
          <w:tcPr>
            <w:tcW w:w="275"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2285" w:type="dxa"/>
            <w:gridSpan w:val="2"/>
            <w:tcBorders/>
            <w:shd w:fill="0BC11C" w:val="clear"/>
            <w:vAlign w:val="center"/>
          </w:tcPr>
          <w:p>
            <w:pPr>
              <w:pStyle w:val="TableContents"/>
              <w:bidi w:val="0"/>
              <w:spacing w:before="0" w:after="283"/>
              <w:jc w:val="center"/>
              <w:rPr>
                <w:b/>
                <w:color w:val="FFFFFF"/>
              </w:rPr>
            </w:pPr>
            <w:r>
              <w:rPr>
                <w:b/>
                <w:color w:val="FFFFFF"/>
              </w:rPr>
              <w:t>Individual</w:t>
              <w:br/>
              <w:t>Performance Modifier</w:t>
            </w:r>
          </w:p>
        </w:tc>
        <w:tc>
          <w:tcPr>
            <w:tcW w:w="275"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400" w:type="dxa"/>
            <w:gridSpan w:val="2"/>
            <w:tcBorders/>
            <w:shd w:fill="0BC11C" w:val="clear"/>
            <w:vAlign w:val="center"/>
          </w:tcPr>
          <w:p>
            <w:pPr>
              <w:pStyle w:val="TableContents"/>
              <w:bidi w:val="0"/>
              <w:spacing w:before="0" w:after="283"/>
              <w:jc w:val="center"/>
              <w:rPr>
                <w:b/>
                <w:color w:val="FFFFFF"/>
              </w:rPr>
            </w:pPr>
            <w:r>
              <w:rPr>
                <w:b/>
                <w:color w:val="FFFFFF"/>
              </w:rPr>
              <w:t>Actual Bonus</w:t>
              <w:br/>
              <w:t>Payout</w:t>
            </w:r>
          </w:p>
        </w:tc>
        <w:tc>
          <w:tcPr>
            <w:tcW w:w="75" w:type="dxa"/>
            <w:tcBorders/>
            <w:shd w:fill="0BC11C" w:val="clear"/>
            <w:vAlign w:val="center"/>
          </w:tcPr>
          <w:p>
            <w:pPr>
              <w:pStyle w:val="TableContents"/>
              <w:bidi w:val="0"/>
              <w:spacing w:before="0" w:after="283"/>
              <w:jc w:val="left"/>
              <w:rPr/>
            </w:pPr>
            <w:r>
              <w:rPr/>
              <w:t> </w:t>
            </w:r>
          </w:p>
        </w:tc>
      </w:tr>
      <w:tr>
        <w:trPr/>
        <w:tc>
          <w:tcPr>
            <w:tcW w:w="920" w:type="dxa"/>
            <w:tcBorders/>
            <w:shd w:fill="EDEDED" w:val="clear"/>
            <w:vAlign w:val="center"/>
          </w:tcPr>
          <w:p>
            <w:pPr>
              <w:pStyle w:val="TableContents"/>
              <w:bidi w:val="0"/>
              <w:spacing w:before="0" w:after="0"/>
              <w:jc w:val="left"/>
              <w:rPr>
                <w:rFonts w:ascii="ARIAL" w:hAnsi="ARIAL"/>
                <w:sz w:val="18"/>
              </w:rPr>
            </w:pPr>
            <w:r>
              <w:rPr>
                <w:rFonts w:ascii="ARIAL" w:hAnsi="ARIAL"/>
                <w:sz w:val="18"/>
              </w:rPr>
              <w:t>Jill McConnell</w:t>
            </w:r>
          </w:p>
        </w:tc>
        <w:tc>
          <w:tcPr>
            <w:tcW w:w="120" w:type="dxa"/>
            <w:tcBorders/>
            <w:shd w:fill="EDEDED" w:val="clear"/>
            <w:vAlign w:val="center"/>
          </w:tcPr>
          <w:p>
            <w:pPr>
              <w:pStyle w:val="TableContents"/>
              <w:bidi w:val="0"/>
              <w:spacing w:before="0" w:after="283"/>
              <w:jc w:val="left"/>
              <w:rPr/>
            </w:pPr>
            <w:r>
              <w:rPr/>
              <w:t>  </w:t>
            </w:r>
          </w:p>
        </w:tc>
        <w:tc>
          <w:tcPr>
            <w:tcW w:w="1475" w:type="dxa"/>
            <w:tcBorders/>
            <w:shd w:fill="EDEDED" w:val="clear"/>
            <w:vAlign w:val="center"/>
          </w:tcPr>
          <w:p>
            <w:pPr>
              <w:pStyle w:val="TableContents"/>
              <w:bidi w:val="0"/>
              <w:spacing w:before="0" w:after="283"/>
              <w:jc w:val="center"/>
              <w:rPr/>
            </w:pPr>
            <w:r>
              <w:rPr/>
              <w:t>$203,917</w:t>
            </w:r>
          </w:p>
        </w:tc>
        <w:tc>
          <w:tcPr>
            <w:tcW w:w="120" w:type="dxa"/>
            <w:tcBorders/>
            <w:shd w:fill="EDEDED" w:val="clear"/>
            <w:vAlign w:val="center"/>
          </w:tcPr>
          <w:p>
            <w:pPr>
              <w:pStyle w:val="TableContents"/>
              <w:bidi w:val="0"/>
              <w:spacing w:before="0" w:after="283"/>
              <w:jc w:val="left"/>
              <w:rPr/>
            </w:pPr>
            <w:r>
              <w:rPr/>
              <w:t>  </w:t>
            </w:r>
          </w:p>
        </w:tc>
        <w:tc>
          <w:tcPr>
            <w:tcW w:w="346" w:type="dxa"/>
            <w:tcBorders/>
            <w:shd w:fill="EDEDED" w:val="clear"/>
            <w:vAlign w:val="center"/>
          </w:tcPr>
          <w:p>
            <w:pPr>
              <w:pStyle w:val="TableContents"/>
              <w:bidi w:val="0"/>
              <w:spacing w:before="0" w:after="283"/>
              <w:jc w:val="left"/>
              <w:rPr/>
            </w:pPr>
            <w:r>
              <w:rPr/>
              <w:t> </w:t>
            </w:r>
          </w:p>
        </w:tc>
        <w:tc>
          <w:tcPr>
            <w:tcW w:w="1504" w:type="dxa"/>
            <w:tcBorders/>
            <w:shd w:fill="EDEDED" w:val="clear"/>
            <w:vAlign w:val="center"/>
          </w:tcPr>
          <w:p>
            <w:pPr>
              <w:pStyle w:val="TableContents"/>
              <w:bidi w:val="0"/>
              <w:spacing w:before="0" w:after="283"/>
              <w:jc w:val="right"/>
              <w:rPr/>
            </w:pPr>
            <w:r>
              <w:rPr/>
              <w:t>50</w:t>
            </w:r>
          </w:p>
        </w:tc>
        <w:tc>
          <w:tcPr>
            <w:tcW w:w="275"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0" w:type="dxa"/>
            <w:tcBorders/>
            <w:shd w:fill="EDEDED" w:val="clear"/>
            <w:vAlign w:val="center"/>
          </w:tcPr>
          <w:p>
            <w:pPr>
              <w:pStyle w:val="TableContents"/>
              <w:bidi w:val="0"/>
              <w:spacing w:before="0" w:after="283"/>
              <w:jc w:val="left"/>
              <w:rPr/>
            </w:pPr>
            <w:r>
              <w:rPr/>
              <w:t> </w:t>
            </w:r>
          </w:p>
        </w:tc>
        <w:tc>
          <w:tcPr>
            <w:tcW w:w="1875" w:type="dxa"/>
            <w:tcBorders/>
            <w:shd w:fill="EDEDED" w:val="clear"/>
            <w:vAlign w:val="center"/>
          </w:tcPr>
          <w:p>
            <w:pPr>
              <w:pStyle w:val="TableContents"/>
              <w:bidi w:val="0"/>
              <w:spacing w:before="0" w:after="283"/>
              <w:jc w:val="right"/>
              <w:rPr/>
            </w:pPr>
            <w:r>
              <w:rPr/>
              <w:t>61.07</w:t>
            </w:r>
          </w:p>
        </w:tc>
        <w:tc>
          <w:tcPr>
            <w:tcW w:w="275"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311" w:type="dxa"/>
            <w:tcBorders/>
            <w:shd w:fill="EDEDED" w:val="clear"/>
            <w:vAlign w:val="center"/>
          </w:tcPr>
          <w:p>
            <w:pPr>
              <w:pStyle w:val="TableContents"/>
              <w:bidi w:val="0"/>
              <w:spacing w:before="0" w:after="283"/>
              <w:jc w:val="left"/>
              <w:rPr/>
            </w:pPr>
            <w:r>
              <w:rPr/>
              <w:t> </w:t>
            </w:r>
          </w:p>
        </w:tc>
        <w:tc>
          <w:tcPr>
            <w:tcW w:w="1974" w:type="dxa"/>
            <w:tcBorders/>
            <w:shd w:fill="EDEDED" w:val="clear"/>
            <w:vAlign w:val="center"/>
          </w:tcPr>
          <w:p>
            <w:pPr>
              <w:pStyle w:val="TableContents"/>
              <w:bidi w:val="0"/>
              <w:spacing w:before="0" w:after="283"/>
              <w:jc w:val="right"/>
              <w:rPr/>
            </w:pPr>
            <w:r>
              <w:rPr/>
              <w:t>100</w:t>
            </w:r>
          </w:p>
        </w:tc>
        <w:tc>
          <w:tcPr>
            <w:tcW w:w="275"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9" w:type="dxa"/>
            <w:tcBorders/>
            <w:shd w:fill="EDEDED" w:val="clear"/>
            <w:vAlign w:val="center"/>
          </w:tcPr>
          <w:p>
            <w:pPr>
              <w:pStyle w:val="TableContents"/>
              <w:bidi w:val="0"/>
              <w:spacing w:before="0" w:after="283"/>
              <w:jc w:val="left"/>
              <w:rPr/>
            </w:pPr>
            <w:r>
              <w:rPr/>
              <w:t>$</w:t>
            </w:r>
          </w:p>
        </w:tc>
        <w:tc>
          <w:tcPr>
            <w:tcW w:w="1161" w:type="dxa"/>
            <w:tcBorders/>
            <w:shd w:fill="EDEDED" w:val="clear"/>
            <w:vAlign w:val="center"/>
          </w:tcPr>
          <w:p>
            <w:pPr>
              <w:pStyle w:val="TableContents"/>
              <w:bidi w:val="0"/>
              <w:spacing w:before="0" w:after="283"/>
              <w:jc w:val="right"/>
              <w:rPr/>
            </w:pPr>
            <w:r>
              <w:rPr/>
              <w:t>62,266</w:t>
            </w:r>
          </w:p>
        </w:tc>
        <w:tc>
          <w:tcPr>
            <w:tcW w:w="75" w:type="dxa"/>
            <w:tcBorders/>
            <w:shd w:fill="EDEDED" w:val="clear"/>
            <w:vAlign w:val="center"/>
          </w:tcPr>
          <w:p>
            <w:pPr>
              <w:pStyle w:val="TableContents"/>
              <w:bidi w:val="0"/>
              <w:spacing w:before="0" w:after="283"/>
              <w:jc w:val="left"/>
              <w:rPr/>
            </w:pPr>
            <w:r>
              <w:rPr/>
              <w:t> </w:t>
            </w:r>
          </w:p>
        </w:tc>
      </w:tr>
      <w:tr>
        <w:trPr/>
        <w:tc>
          <w:tcPr>
            <w:tcW w:w="920" w:type="dxa"/>
            <w:tcBorders/>
            <w:vAlign w:val="center"/>
          </w:tcPr>
          <w:p>
            <w:pPr>
              <w:pStyle w:val="TableContents"/>
              <w:bidi w:val="0"/>
              <w:spacing w:before="0" w:after="0"/>
              <w:jc w:val="left"/>
              <w:rPr>
                <w:rFonts w:ascii="ARIAL" w:hAnsi="ARIAL"/>
                <w:sz w:val="18"/>
              </w:rPr>
            </w:pPr>
            <w:r>
              <w:rPr>
                <w:rFonts w:ascii="ARIAL" w:hAnsi="ARIAL"/>
                <w:sz w:val="18"/>
              </w:rPr>
              <w:t>Mark Morais</w:t>
            </w:r>
          </w:p>
        </w:tc>
        <w:tc>
          <w:tcPr>
            <w:tcW w:w="12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283"/>
              <w:jc w:val="center"/>
              <w:rPr/>
            </w:pPr>
            <w:r>
              <w:rPr/>
              <w:t>$205,199</w:t>
            </w:r>
          </w:p>
        </w:tc>
        <w:tc>
          <w:tcPr>
            <w:tcW w:w="120"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1504" w:type="dxa"/>
            <w:tcBorders/>
            <w:vAlign w:val="center"/>
          </w:tcPr>
          <w:p>
            <w:pPr>
              <w:pStyle w:val="TableContents"/>
              <w:bidi w:val="0"/>
              <w:spacing w:before="0" w:after="283"/>
              <w:jc w:val="right"/>
              <w:rPr/>
            </w:pPr>
            <w:r>
              <w:rPr/>
              <w:t>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c>
          <w:tcPr>
            <w:tcW w:w="1875" w:type="dxa"/>
            <w:tcBorders/>
            <w:vAlign w:val="center"/>
          </w:tcPr>
          <w:p>
            <w:pPr>
              <w:pStyle w:val="TableContents"/>
              <w:bidi w:val="0"/>
              <w:spacing w:before="0" w:after="283"/>
              <w:jc w:val="right"/>
              <w:rPr/>
            </w:pPr>
            <w:r>
              <w:rPr/>
              <w:t>61.07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1" w:type="dxa"/>
            <w:tcBorders/>
            <w:vAlign w:val="center"/>
          </w:tcPr>
          <w:p>
            <w:pPr>
              <w:pStyle w:val="TableContents"/>
              <w:bidi w:val="0"/>
              <w:spacing w:before="0" w:after="283"/>
              <w:jc w:val="left"/>
              <w:rPr/>
            </w:pPr>
            <w:r>
              <w:rPr/>
              <w:t> </w:t>
            </w:r>
          </w:p>
        </w:tc>
        <w:tc>
          <w:tcPr>
            <w:tcW w:w="1974" w:type="dxa"/>
            <w:tcBorders/>
            <w:vAlign w:val="center"/>
          </w:tcPr>
          <w:p>
            <w:pPr>
              <w:pStyle w:val="TableContents"/>
              <w:bidi w:val="0"/>
              <w:spacing w:before="0" w:after="283"/>
              <w:jc w:val="right"/>
              <w:rPr/>
            </w:pPr>
            <w:r>
              <w:rPr/>
              <w:t>100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w:t>
            </w:r>
          </w:p>
        </w:tc>
        <w:tc>
          <w:tcPr>
            <w:tcW w:w="1161" w:type="dxa"/>
            <w:tcBorders/>
            <w:vAlign w:val="center"/>
          </w:tcPr>
          <w:p>
            <w:pPr>
              <w:pStyle w:val="TableContents"/>
              <w:bidi w:val="0"/>
              <w:spacing w:before="0" w:after="283"/>
              <w:jc w:val="right"/>
              <w:rPr/>
            </w:pPr>
            <w:r>
              <w:rPr/>
              <w:t>62,658</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ARIAL" w:hAnsi="ARIAL"/>
          <w:sz w:val="20"/>
        </w:rPr>
      </w:pPr>
      <w:r>
        <w:rPr>
          <w:rFonts w:ascii="ARIAL" w:hAnsi="ARIAL"/>
          <w:b/>
          <w:sz w:val="20"/>
        </w:rPr>
        <w:t>Fortrea Bonus Plan: July 1, 2023 to December 31, 2023 Bonus Plan Design and Performance</w:t>
      </w:r>
      <w:r>
        <w:rPr>
          <w:rFonts w:ascii="ARIAL" w:hAnsi="ARIAL"/>
          <w:sz w:val="20"/>
        </w:rPr>
        <w:t xml:space="preserve"> </w:t>
      </w:r>
    </w:p>
    <w:p>
      <w:pPr>
        <w:pStyle w:val="TextBody"/>
        <w:bidi w:val="0"/>
        <w:spacing w:before="80" w:after="0"/>
        <w:jc w:val="left"/>
        <w:rPr>
          <w:rFonts w:ascii="ARIAL" w:hAnsi="ARIAL"/>
          <w:sz w:val="18"/>
        </w:rPr>
      </w:pPr>
      <w:r>
        <w:rPr>
          <w:rFonts w:ascii="ARIAL" w:hAnsi="ARIAL"/>
          <w:sz w:val="18"/>
        </w:rPr>
        <w:t xml:space="preserve">Effective July 1, 2023, Labcorp increased the target payout, as a percent of base salary, for Ms. McConnell and Mr. Morais to 85% from their pre-Spin target of 50%. After the Spin, the Fortrea MDCC evaluated the bonus target percentages and determined not to make any changes to the bonus target percentages for our NEOs. The following factors were considered by the Fortrea MDCC in evaluating bonus target payout decisions: </w:t>
      </w:r>
    </w:p>
    <w:p>
      <w:pPr>
        <w:pStyle w:val="TextBody"/>
        <w:bidi w:val="0"/>
        <w:spacing w:before="0" w:after="0"/>
        <w:jc w:val="left"/>
        <w:rPr/>
      </w:pPr>
      <w:r>
        <w:rPr/>
        <w:t> </w:t>
      </w:r>
    </w:p>
    <w:tbl>
      <w:tblPr>
        <w:tblW w:w="7810" w:type="dxa"/>
        <w:jc w:val="left"/>
        <w:tblInd w:w="0" w:type="dxa"/>
        <w:tblLayout w:type="fixed"/>
        <w:tblCellMar>
          <w:top w:w="0" w:type="dxa"/>
          <w:left w:w="0" w:type="dxa"/>
          <w:bottom w:w="0" w:type="dxa"/>
          <w:right w:w="0" w:type="dxa"/>
        </w:tblCellMar>
      </w:tblPr>
      <w:tblGrid>
        <w:gridCol w:w="125"/>
        <w:gridCol w:w="60"/>
        <w:gridCol w:w="762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ARIAL" w:hAnsi="ARIAL"/>
                <w:sz w:val="18"/>
              </w:rPr>
            </w:pPr>
            <w:r>
              <w:rPr>
                <w:rFonts w:ascii="ARIAL" w:hAnsi="ARIAL"/>
                <w:sz w:val="18"/>
              </w:rPr>
              <w:t xml:space="preserve">Individual attributes of each NEO – such as responsibilities, skills, leadership and experience </w:t>
            </w:r>
          </w:p>
        </w:tc>
      </w:tr>
    </w:tbl>
    <w:p>
      <w:pPr>
        <w:pStyle w:val="TextBody"/>
        <w:bidi w:val="0"/>
        <w:spacing w:before="0" w:after="0"/>
        <w:jc w:val="left"/>
        <w:rPr/>
      </w:pPr>
      <w:r>
        <w:rPr/>
        <w:t> </w:t>
      </w:r>
    </w:p>
    <w:tbl>
      <w:tblPr>
        <w:tblW w:w="6025" w:type="dxa"/>
        <w:jc w:val="left"/>
        <w:tblInd w:w="0" w:type="dxa"/>
        <w:tblLayout w:type="fixed"/>
        <w:tblCellMar>
          <w:top w:w="0" w:type="dxa"/>
          <w:left w:w="0" w:type="dxa"/>
          <w:bottom w:w="0" w:type="dxa"/>
          <w:right w:w="0" w:type="dxa"/>
        </w:tblCellMar>
      </w:tblPr>
      <w:tblGrid>
        <w:gridCol w:w="125"/>
        <w:gridCol w:w="60"/>
        <w:gridCol w:w="584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ARIAL" w:hAnsi="ARIAL"/>
                <w:sz w:val="18"/>
              </w:rPr>
            </w:pPr>
            <w:r>
              <w:rPr>
                <w:rFonts w:ascii="ARIAL" w:hAnsi="ARIAL"/>
                <w:sz w:val="18"/>
              </w:rPr>
              <w:t xml:space="preserve">The executive officer’s expected ongoing contributions to the Company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125"/>
        <w:gridCol w:w="60"/>
        <w:gridCol w:w="569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90" w:type="dxa"/>
            <w:tcBorders/>
            <w:vAlign w:val="center"/>
          </w:tcPr>
          <w:p>
            <w:pPr>
              <w:pStyle w:val="TableContents"/>
              <w:bidi w:val="0"/>
              <w:spacing w:before="0" w:after="0"/>
              <w:jc w:val="left"/>
              <w:rPr>
                <w:rFonts w:ascii="ARIAL" w:hAnsi="ARIAL"/>
                <w:sz w:val="18"/>
              </w:rPr>
            </w:pPr>
            <w:r>
              <w:rPr>
                <w:rFonts w:ascii="ARIAL" w:hAnsi="ARIAL"/>
                <w:sz w:val="18"/>
              </w:rPr>
              <w:t xml:space="preserve">Overall market competitiveness of the executive officer’s target bonus </w:t>
            </w:r>
          </w:p>
        </w:tc>
      </w:tr>
    </w:tbl>
    <w:p>
      <w:pPr>
        <w:pStyle w:val="TextBody"/>
        <w:bidi w:val="0"/>
        <w:spacing w:before="160" w:after="0"/>
        <w:jc w:val="left"/>
        <w:rPr>
          <w:rFonts w:ascii="ARIAL" w:hAnsi="ARIAL"/>
          <w:sz w:val="18"/>
        </w:rPr>
      </w:pPr>
      <w:r>
        <w:rPr>
          <w:rFonts w:ascii="ARIAL" w:hAnsi="ARIAL"/>
          <w:sz w:val="18"/>
        </w:rPr>
        <w:t xml:space="preserve">After the Spin, the Fortrea MDCC established a post-Spin bonus plan under the Omnibus Incentive Plan called the Fortrea Bonus Plan (“FBP”). The performance criteria for the FBP’s sole metric, Adjusted EBITDA, was established based on expectations of Fortrea’s performance for the second half of the Company’s 2023 fiscal year. The design of the FBP was such that the resulting Adjusted EBITDA performance would have been applied to the prorated base salary and bonus target of the applicable NEOs. Because we did not meet the target level of second half 2023 Adjusted EBITDA under the FBP, there was no payment under the FBP. When factoring the bonus earned under both the LBP and the FBP, the overall payout was approximately 20% of target for Ms. McConnell and Mr. Morais (after adjusting for higher salaries and target bonuses). </w:t>
      </w:r>
    </w:p>
    <w:p>
      <w:pPr>
        <w:pStyle w:val="TextBody"/>
        <w:bidi w:val="0"/>
        <w:spacing w:before="360" w:after="0"/>
        <w:jc w:val="left"/>
        <w:rPr>
          <w:rFonts w:ascii="ARIAL" w:hAnsi="ARIAL"/>
          <w:sz w:val="20"/>
        </w:rPr>
      </w:pPr>
      <w:r>
        <w:rPr>
          <w:rFonts w:ascii="ARIAL" w:hAnsi="ARIAL"/>
          <w:b/>
          <w:sz w:val="20"/>
        </w:rPr>
        <w:t>Labcorp and Fortrea Bonus Arrangements with respect to Mr. Pike</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Under Mr. Pike’s employment agreement, which was entered into with Labcorp on January 5, 2023, Mr. Pike was entitled to a guaranteed bonus payment of no less than 100% of his 2023 base salary, or $1,100,000.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33</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Cash Awards </w:t>
      </w:r>
    </w:p>
    <w:p>
      <w:pPr>
        <w:pStyle w:val="TextBody"/>
        <w:bidi w:val="0"/>
        <w:spacing w:before="160" w:after="0"/>
        <w:jc w:val="left"/>
        <w:rPr>
          <w:rFonts w:ascii="ARIAL" w:hAnsi="ARIAL"/>
          <w:sz w:val="18"/>
        </w:rPr>
      </w:pPr>
      <w:r>
        <w:rPr>
          <w:rFonts w:ascii="ARIAL" w:hAnsi="ARIAL"/>
          <w:sz w:val="18"/>
        </w:rPr>
        <w:t xml:space="preserve">Labcorp awarded each of Ms. McConnell and Mr. Morais a $200,000 cash bonus in order to incentivize them to work through and past the Spin. The cash award was paid in two installments, the first 30 days following the Spin and the second on the six-month anniversary of the Spin. </w:t>
      </w:r>
    </w:p>
    <w:p>
      <w:pPr>
        <w:pStyle w:val="TextBody"/>
        <w:bidi w:val="0"/>
        <w:spacing w:before="360" w:after="0"/>
        <w:jc w:val="left"/>
        <w:rPr>
          <w:rFonts w:ascii="ARIAL" w:hAnsi="ARIAL"/>
          <w:i/>
          <w:sz w:val="20"/>
          <w:u w:val="single"/>
        </w:rPr>
      </w:pPr>
      <w:r>
        <w:rPr>
          <w:rFonts w:ascii="ARIAL" w:hAnsi="ARIAL"/>
          <w:i/>
          <w:sz w:val="20"/>
          <w:u w:val="single"/>
        </w:rPr>
        <w:t xml:space="preserve">Long-Term Equity Incentive Compensation and Conversion of Prior Awards </w:t>
      </w:r>
    </w:p>
    <w:p>
      <w:pPr>
        <w:pStyle w:val="TextBody"/>
        <w:bidi w:val="0"/>
        <w:spacing w:before="160" w:after="0"/>
        <w:jc w:val="left"/>
        <w:rPr>
          <w:rFonts w:ascii="ARIAL" w:hAnsi="ARIAL"/>
          <w:sz w:val="18"/>
        </w:rPr>
      </w:pPr>
      <w:r>
        <w:rPr>
          <w:rFonts w:ascii="ARIAL" w:hAnsi="ARIAL"/>
          <w:sz w:val="18"/>
        </w:rPr>
        <w:t xml:space="preserve">Our long-term incentive plan is intended to motivate the attainment of our long-term goals and provide direct alignment to the experience of stockholders through the link to key financial measures and stock price performance. In 2023, awards were granted as a combination of Performance Share Awards (“PSAs”), RSUs and stock options, balancing complementary priorities of financial performance, stockholder value creation, alignment of interests and executive retention. </w:t>
      </w:r>
    </w:p>
    <w:p>
      <w:pPr>
        <w:pStyle w:val="TextBody"/>
        <w:bidi w:val="0"/>
        <w:spacing w:before="360" w:after="0"/>
        <w:jc w:val="left"/>
        <w:rPr>
          <w:rFonts w:ascii="ARIAL" w:hAnsi="ARIAL"/>
          <w:b/>
          <w:sz w:val="20"/>
        </w:rPr>
      </w:pPr>
      <w:r>
        <w:rPr>
          <w:rFonts w:ascii="ARIAL" w:hAnsi="ARIAL"/>
          <w:b/>
          <w:sz w:val="20"/>
        </w:rPr>
        <w:t xml:space="preserve">January 2023 Long-Term Incentive Award in Connection to Mr. Pike Commencing Employment </w:t>
      </w:r>
    </w:p>
    <w:p>
      <w:pPr>
        <w:pStyle w:val="TextBody"/>
        <w:bidi w:val="0"/>
        <w:spacing w:before="80" w:after="0"/>
        <w:jc w:val="left"/>
        <w:rPr>
          <w:rFonts w:ascii="ARIAL" w:hAnsi="ARIAL"/>
          <w:sz w:val="18"/>
        </w:rPr>
      </w:pPr>
      <w:r>
        <w:rPr>
          <w:rFonts w:ascii="ARIAL" w:hAnsi="ARIAL"/>
          <w:sz w:val="18"/>
        </w:rPr>
        <w:t xml:space="preserve">In connection with Mr. Pike’s employment agreement with Labcorp, upon the commencement of Mr. Pike’s employment at Labcorp, he was awarded an RSU award valued at $4,000,000. This award vests in three equal installments on the first, second and third anniversary of the grant date. See below in the section entitled “August 2023 Long-Term Incentive Award in Connection to Mr. Pike’s Employment Agreement” for information regarding additional equity awards that were made post-Spin as required pursuant to Mr. Pike’s employment agreement. </w:t>
      </w:r>
    </w:p>
    <w:p>
      <w:pPr>
        <w:pStyle w:val="TextBody"/>
        <w:bidi w:val="0"/>
        <w:spacing w:before="160" w:after="0"/>
        <w:jc w:val="left"/>
        <w:rPr>
          <w:rFonts w:ascii="ARIAL" w:hAnsi="ARIAL"/>
          <w:sz w:val="18"/>
        </w:rPr>
      </w:pPr>
      <w:r>
        <w:rPr>
          <w:rFonts w:ascii="ARIAL" w:hAnsi="ARIAL"/>
          <w:sz w:val="18"/>
        </w:rPr>
        <w:t xml:space="preserve">At time of Spin, this award was converted to Fortrea equity per the below discussion “Conversion of Labcorp Long-Term Incentive Awards (approved by Labcorp CHCC).” </w:t>
      </w:r>
    </w:p>
    <w:p>
      <w:pPr>
        <w:pStyle w:val="TextBody"/>
        <w:bidi w:val="0"/>
        <w:spacing w:before="360" w:after="0"/>
        <w:jc w:val="left"/>
        <w:rPr>
          <w:rFonts w:ascii="ARIAL" w:hAnsi="ARIAL"/>
          <w:b/>
          <w:sz w:val="20"/>
        </w:rPr>
      </w:pPr>
      <w:r>
        <w:rPr>
          <w:rFonts w:ascii="ARIAL" w:hAnsi="ARIAL"/>
          <w:b/>
          <w:sz w:val="20"/>
        </w:rPr>
        <w:t xml:space="preserve">February 2023 Long-Term Incentive Awards (approved by Labcorp CHCC) </w:t>
      </w:r>
    </w:p>
    <w:p>
      <w:pPr>
        <w:pStyle w:val="TextBody"/>
        <w:bidi w:val="0"/>
        <w:spacing w:before="80" w:after="0"/>
        <w:jc w:val="left"/>
        <w:rPr>
          <w:rFonts w:ascii="ARIAL" w:hAnsi="ARIAL"/>
          <w:sz w:val="18"/>
        </w:rPr>
      </w:pPr>
      <w:r>
        <w:rPr>
          <w:rFonts w:ascii="ARIAL" w:hAnsi="ARIAL"/>
          <w:sz w:val="18"/>
        </w:rPr>
        <w:t xml:space="preserve">The design and values of the annual long-term incentive awards granted in February 2023 were established and approved by the Labcorp CHCC prior to the Spin and were associated with the roles and responsibilities that the applicable NEOs held at the time of grant. For Ms. McConnell and Mr. Morais, this means that the February 2023 long-term incentive award values reflected the roles that each of them held at Labcorp at the time of grant and did not reflect the subsequently approved 2023 long-term incentive target values for their roles at Fortrea, which commenced July 1, 2023. </w:t>
      </w:r>
    </w:p>
    <w:p>
      <w:pPr>
        <w:pStyle w:val="TextBody"/>
        <w:bidi w:val="0"/>
        <w:spacing w:before="160" w:after="0"/>
        <w:jc w:val="left"/>
        <w:rPr>
          <w:rFonts w:ascii="ARIAL" w:hAnsi="ARIAL"/>
          <w:sz w:val="18"/>
        </w:rPr>
      </w:pPr>
      <w:r>
        <w:rPr>
          <w:rFonts w:ascii="ARIAL" w:hAnsi="ARIAL"/>
          <w:sz w:val="18"/>
        </w:rPr>
        <w:t xml:space="preserve">Ms. McConnell and Mr. Morais’ awards were granted as a combination of PSAs (60%) and RSUs (40%) </w:t>
      </w:r>
    </w:p>
    <w:p>
      <w:pPr>
        <w:pStyle w:val="TextBody"/>
        <w:bidi w:val="0"/>
        <w:spacing w:before="0" w:after="0"/>
        <w:jc w:val="left"/>
        <w:rPr/>
      </w:pPr>
      <w:r>
        <w:rPr/>
        <w:t> </w:t>
      </w:r>
    </w:p>
    <w:tbl>
      <w:tblPr>
        <w:tblW w:w="6634" w:type="dxa"/>
        <w:jc w:val="left"/>
        <w:tblInd w:w="0" w:type="dxa"/>
        <w:tblLayout w:type="fixed"/>
        <w:tblCellMar>
          <w:top w:w="0" w:type="dxa"/>
          <w:left w:w="0" w:type="dxa"/>
          <w:bottom w:w="0" w:type="dxa"/>
          <w:right w:w="0" w:type="dxa"/>
        </w:tblCellMar>
      </w:tblPr>
      <w:tblGrid>
        <w:gridCol w:w="1527"/>
        <w:gridCol w:w="154"/>
        <w:gridCol w:w="4953"/>
      </w:tblGrid>
      <w:tr>
        <w:trPr/>
        <w:tc>
          <w:tcPr>
            <w:tcW w:w="15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4953" w:type="dxa"/>
            <w:tcBorders/>
            <w:vAlign w:val="center"/>
          </w:tcPr>
          <w:p>
            <w:pPr>
              <w:pStyle w:val="TableContents"/>
              <w:bidi w:val="0"/>
              <w:spacing w:before="0" w:after="283"/>
              <w:jc w:val="left"/>
              <w:rPr>
                <w:sz w:val="4"/>
                <w:szCs w:val="4"/>
              </w:rPr>
            </w:pPr>
            <w:r>
              <w:rPr>
                <w:sz w:val="4"/>
                <w:szCs w:val="4"/>
              </w:rPr>
            </w:r>
          </w:p>
        </w:tc>
      </w:tr>
      <w:tr>
        <w:trPr/>
        <w:tc>
          <w:tcPr>
            <w:tcW w:w="1527" w:type="dxa"/>
            <w:tcBorders>
              <w:top w:val="single" w:sz="6" w:space="0" w:color="000000"/>
              <w:left w:val="single" w:sz="6" w:space="0" w:color="000000"/>
              <w:right w:val="single" w:sz="6" w:space="0" w:color="000000"/>
            </w:tcBorders>
            <w:shd w:fill="0BC11C" w:val="clear"/>
            <w:tcMar>
              <w:top w:w="28" w:type="dxa"/>
              <w:left w:w="160" w:type="dxa"/>
              <w:right w:w="28" w:type="dxa"/>
            </w:tcMar>
            <w:vAlign w:val="center"/>
          </w:tcPr>
          <w:p>
            <w:pPr>
              <w:pStyle w:val="TableContents"/>
              <w:bidi w:val="0"/>
              <w:spacing w:before="0" w:after="283"/>
              <w:jc w:val="left"/>
              <w:rPr/>
            </w:pPr>
            <w:r>
              <w:rPr/>
              <w:t> </w:t>
            </w:r>
          </w:p>
        </w:tc>
        <w:tc>
          <w:tcPr>
            <w:tcW w:w="5107" w:type="dxa"/>
            <w:gridSpan w:val="2"/>
            <w:tcBorders>
              <w:top w:val="single" w:sz="6" w:space="0" w:color="000000"/>
              <w:right w:val="single" w:sz="6" w:space="0" w:color="000000"/>
            </w:tcBorders>
            <w:shd w:fill="0BC11C" w:val="clear"/>
            <w:tcMar>
              <w:top w:w="28" w:type="dxa"/>
              <w:right w:w="28" w:type="dxa"/>
            </w:tcMar>
            <w:vAlign w:val="center"/>
          </w:tcPr>
          <w:p>
            <w:pPr>
              <w:pStyle w:val="TableContents"/>
              <w:bidi w:val="0"/>
              <w:spacing w:before="0" w:after="283"/>
              <w:jc w:val="left"/>
              <w:rPr/>
            </w:pPr>
            <w:r>
              <w:rPr/>
              <w:t> </w:t>
            </w:r>
          </w:p>
        </w:tc>
      </w:tr>
      <w:tr>
        <w:trPr/>
        <w:tc>
          <w:tcPr>
            <w:tcW w:w="1527" w:type="dxa"/>
            <w:tcBorders>
              <w:left w:val="single" w:sz="6" w:space="0" w:color="000000"/>
              <w:bottom w:val="single" w:sz="6" w:space="0" w:color="000000"/>
              <w:right w:val="single" w:sz="6" w:space="0" w:color="000000"/>
            </w:tcBorders>
            <w:shd w:fill="0BC11C" w:val="clear"/>
            <w:tcMar>
              <w:left w:w="160" w:type="dxa"/>
              <w:bottom w:w="120" w:type="dxa"/>
              <w:right w:w="28"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Executive</w:t>
            </w:r>
          </w:p>
        </w:tc>
        <w:tc>
          <w:tcPr>
            <w:tcW w:w="154"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4953" w:type="dxa"/>
            <w:tcBorders>
              <w:bottom w:val="single" w:sz="6" w:space="0" w:color="000000"/>
              <w:right w:val="single" w:sz="6" w:space="0" w:color="000000"/>
            </w:tcBorders>
            <w:shd w:fill="0BC11C" w:val="clear"/>
            <w:tcMar>
              <w:bottom w:w="120" w:type="dxa"/>
              <w:right w:w="40" w:type="dxa"/>
            </w:tcMar>
            <w:vAlign w:val="center"/>
          </w:tcPr>
          <w:p>
            <w:pPr>
              <w:pStyle w:val="TableContents"/>
              <w:bidi w:val="0"/>
              <w:spacing w:before="0" w:after="283"/>
              <w:jc w:val="right"/>
              <w:rPr>
                <w:b/>
                <w:color w:val="FFFFFF"/>
              </w:rPr>
            </w:pPr>
            <w:r>
              <w:rPr>
                <w:b/>
                <w:color w:val="FFFFFF"/>
              </w:rPr>
              <w:t>February 2023 Target Award Value1</w:t>
            </w:r>
          </w:p>
        </w:tc>
      </w:tr>
      <w:tr>
        <w:trPr/>
        <w:tc>
          <w:tcPr>
            <w:tcW w:w="1527"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Jill McConnell</w:t>
            </w:r>
          </w:p>
        </w:tc>
        <w:tc>
          <w:tcPr>
            <w:tcW w:w="154" w:type="dxa"/>
            <w:tcBorders>
              <w:bottom w:val="single" w:sz="6" w:space="0" w:color="000000"/>
            </w:tcBorders>
            <w:tcMar>
              <w:bottom w:w="28" w:type="dxa"/>
            </w:tcMar>
            <w:vAlign w:val="center"/>
          </w:tcPr>
          <w:p>
            <w:pPr>
              <w:pStyle w:val="TableContents"/>
              <w:bidi w:val="0"/>
              <w:spacing w:before="0" w:after="283"/>
              <w:jc w:val="left"/>
              <w:rPr/>
            </w:pPr>
            <w:r>
              <w:rPr/>
              <w:t>  </w:t>
            </w:r>
          </w:p>
        </w:tc>
        <w:tc>
          <w:tcPr>
            <w:tcW w:w="4953"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right"/>
              <w:rPr/>
            </w:pPr>
            <w:r>
              <w:rPr/>
              <w:t>$450,000</w:t>
            </w:r>
          </w:p>
        </w:tc>
      </w:tr>
      <w:tr>
        <w:trPr/>
        <w:tc>
          <w:tcPr>
            <w:tcW w:w="1527"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Mark Morais</w:t>
            </w:r>
          </w:p>
        </w:tc>
        <w:tc>
          <w:tcPr>
            <w:tcW w:w="154" w:type="dxa"/>
            <w:tcBorders>
              <w:bottom w:val="single" w:sz="6" w:space="0" w:color="000000"/>
            </w:tcBorders>
            <w:tcMar>
              <w:bottom w:w="28" w:type="dxa"/>
            </w:tcMar>
            <w:vAlign w:val="center"/>
          </w:tcPr>
          <w:p>
            <w:pPr>
              <w:pStyle w:val="TableContents"/>
              <w:bidi w:val="0"/>
              <w:spacing w:before="0" w:after="283"/>
              <w:jc w:val="left"/>
              <w:rPr/>
            </w:pPr>
            <w:r>
              <w:rPr/>
              <w:t>  </w:t>
            </w:r>
          </w:p>
        </w:tc>
        <w:tc>
          <w:tcPr>
            <w:tcW w:w="4953"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right"/>
              <w:rPr/>
            </w:pPr>
            <w:r>
              <w:rPr/>
              <w:t>$600,000</w:t>
            </w:r>
          </w:p>
        </w:tc>
      </w:tr>
      <w:tr>
        <w:trPr/>
        <w:tc>
          <w:tcPr>
            <w:tcW w:w="6634" w:type="dxa"/>
            <w:gridSpan w:val="3"/>
            <w:tcBorders>
              <w:left w:val="single" w:sz="6" w:space="0" w:color="000000"/>
              <w:bottom w:val="single" w:sz="6" w:space="0" w:color="000000"/>
              <w:right w:val="single" w:sz="6" w:space="0" w:color="000000"/>
            </w:tcBorders>
            <w:tcMar>
              <w:left w:w="160" w:type="dxa"/>
              <w:bottom w:w="28" w:type="dxa"/>
              <w:right w:w="40" w:type="dxa"/>
            </w:tcMar>
            <w:vAlign w:val="center"/>
          </w:tcPr>
          <w:p>
            <w:pPr>
              <w:pStyle w:val="TableContents"/>
              <w:bidi w:val="0"/>
              <w:spacing w:before="0" w:after="0"/>
              <w:jc w:val="left"/>
              <w:rPr>
                <w:rFonts w:ascii="ARIAL" w:hAnsi="ARIAL"/>
                <w:sz w:val="18"/>
              </w:rPr>
            </w:pPr>
            <w:r>
              <w:rPr>
                <w:rFonts w:ascii="ARIAL" w:hAnsi="ARIAL"/>
                <w:sz w:val="18"/>
              </w:rPr>
              <w:t>(1)  The value of granted PSAs assumes 100% of target performance is achieved</w:t>
            </w:r>
          </w:p>
        </w:tc>
      </w:tr>
    </w:tbl>
    <w:p>
      <w:pPr>
        <w:pStyle w:val="TextBody"/>
        <w:bidi w:val="0"/>
        <w:spacing w:before="160" w:after="0"/>
        <w:jc w:val="left"/>
        <w:rPr>
          <w:rFonts w:ascii="ARIAL" w:hAnsi="ARIAL"/>
          <w:sz w:val="18"/>
        </w:rPr>
      </w:pPr>
      <w:r>
        <w:rPr>
          <w:rFonts w:ascii="ARIAL" w:hAnsi="ARIAL"/>
          <w:sz w:val="18"/>
        </w:rPr>
        <w:t xml:space="preserve">At the time of grant, awards were subject to the following conditions: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5"/>
        <w:gridCol w:w="120"/>
        <w:gridCol w:w="9480"/>
      </w:tblGrid>
      <w:tr>
        <w:trPr/>
        <w:tc>
          <w:tcPr>
            <w:tcW w:w="6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480" w:type="dxa"/>
            <w:tcBorders/>
            <w:vAlign w:val="center"/>
          </w:tcPr>
          <w:p>
            <w:pPr>
              <w:pStyle w:val="TableContents"/>
              <w:bidi w:val="0"/>
              <w:spacing w:before="0" w:after="283"/>
              <w:jc w:val="left"/>
              <w:rPr>
                <w:sz w:val="4"/>
                <w:szCs w:val="4"/>
              </w:rPr>
            </w:pPr>
            <w:r>
              <w:rPr>
                <w:sz w:val="4"/>
                <w:szCs w:val="4"/>
              </w:rPr>
            </w:r>
          </w:p>
        </w:tc>
      </w:tr>
      <w:tr>
        <w:trPr/>
        <w:tc>
          <w:tcPr>
            <w:tcW w:w="605" w:type="dxa"/>
            <w:tcBorders>
              <w:top w:val="single" w:sz="6" w:space="0" w:color="000000"/>
              <w:left w:val="single" w:sz="6" w:space="0" w:color="000000"/>
              <w:right w:val="single" w:sz="6" w:space="0" w:color="000000"/>
            </w:tcBorders>
            <w:shd w:fill="0BC11C" w:val="clear"/>
            <w:tcMar>
              <w:top w:w="28" w:type="dxa"/>
              <w:left w:w="160" w:type="dxa"/>
              <w:right w:w="28" w:type="dxa"/>
            </w:tcMar>
            <w:vAlign w:val="center"/>
          </w:tcPr>
          <w:p>
            <w:pPr>
              <w:pStyle w:val="TableContents"/>
              <w:bidi w:val="0"/>
              <w:spacing w:before="0" w:after="283"/>
              <w:jc w:val="left"/>
              <w:rPr/>
            </w:pPr>
            <w:r>
              <w:rPr/>
              <w:t> </w:t>
            </w:r>
          </w:p>
        </w:tc>
        <w:tc>
          <w:tcPr>
            <w:tcW w:w="9600" w:type="dxa"/>
            <w:gridSpan w:val="2"/>
            <w:tcBorders>
              <w:top w:val="single" w:sz="6" w:space="0" w:color="000000"/>
              <w:right w:val="single" w:sz="6" w:space="0" w:color="000000"/>
            </w:tcBorders>
            <w:shd w:fill="0BC11C" w:val="clear"/>
            <w:tcMar>
              <w:top w:w="28" w:type="dxa"/>
              <w:right w:w="28" w:type="dxa"/>
            </w:tcMar>
            <w:vAlign w:val="center"/>
          </w:tcPr>
          <w:p>
            <w:pPr>
              <w:pStyle w:val="TableContents"/>
              <w:bidi w:val="0"/>
              <w:spacing w:before="0" w:after="283"/>
              <w:jc w:val="left"/>
              <w:rPr/>
            </w:pPr>
            <w:r>
              <w:rPr/>
              <w:t> </w:t>
            </w:r>
          </w:p>
        </w:tc>
      </w:tr>
      <w:tr>
        <w:trPr/>
        <w:tc>
          <w:tcPr>
            <w:tcW w:w="605" w:type="dxa"/>
            <w:tcBorders>
              <w:left w:val="single" w:sz="6" w:space="0" w:color="000000"/>
              <w:bottom w:val="single" w:sz="6" w:space="0" w:color="000000"/>
              <w:right w:val="single" w:sz="6" w:space="0" w:color="000000"/>
            </w:tcBorders>
            <w:shd w:fill="0BC11C" w:val="clear"/>
            <w:tcMar>
              <w:left w:w="160" w:type="dxa"/>
              <w:bottom w:w="80" w:type="dxa"/>
              <w:right w:w="28"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Vehicle</w:t>
            </w:r>
          </w:p>
        </w:tc>
        <w:tc>
          <w:tcPr>
            <w:tcW w:w="12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9480" w:type="dxa"/>
            <w:tcBorders>
              <w:bottom w:val="single" w:sz="6" w:space="0" w:color="000000"/>
              <w:right w:val="single" w:sz="6" w:space="0" w:color="000000"/>
            </w:tcBorders>
            <w:shd w:fill="0BC11C" w:val="clear"/>
            <w:tcMar>
              <w:bottom w:w="80" w:type="dxa"/>
              <w:right w:w="40" w:type="dxa"/>
            </w:tcMar>
            <w:vAlign w:val="center"/>
          </w:tcPr>
          <w:p>
            <w:pPr>
              <w:pStyle w:val="TableContents"/>
              <w:bidi w:val="0"/>
              <w:spacing w:before="0" w:after="283"/>
              <w:jc w:val="left"/>
              <w:rPr>
                <w:b/>
                <w:color w:val="FFFFFF"/>
              </w:rPr>
            </w:pPr>
            <w:r>
              <w:rPr>
                <w:b/>
                <w:color w:val="FFFFFF"/>
              </w:rPr>
              <w:t>Key Features</w:t>
            </w:r>
          </w:p>
        </w:tc>
      </w:tr>
      <w:tr>
        <w:trPr/>
        <w:tc>
          <w:tcPr>
            <w:tcW w:w="605" w:type="dxa"/>
            <w:tcBorders>
              <w:left w:val="single" w:sz="6" w:space="0" w:color="000000"/>
              <w:bottom w:val="single" w:sz="6" w:space="0" w:color="000000"/>
              <w:right w:val="single" w:sz="6" w:space="0" w:color="000000"/>
            </w:tcBorders>
            <w:tcMar>
              <w:left w:w="160" w:type="dxa"/>
              <w:bottom w:w="80" w:type="dxa"/>
              <w:right w:w="28" w:type="dxa"/>
            </w:tcMar>
            <w:vAlign w:val="center"/>
          </w:tcPr>
          <w:p>
            <w:pPr>
              <w:pStyle w:val="TableContents"/>
              <w:bidi w:val="0"/>
              <w:spacing w:before="0" w:after="0"/>
              <w:jc w:val="left"/>
              <w:rPr>
                <w:rFonts w:ascii="ARIAL" w:hAnsi="ARIAL"/>
                <w:sz w:val="18"/>
              </w:rPr>
            </w:pPr>
            <w:r>
              <w:rPr>
                <w:rFonts w:ascii="ARIAL" w:hAnsi="ARIAL"/>
                <w:sz w:val="18"/>
              </w:rPr>
              <w:t>PSAs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80" w:type="dxa"/>
            <w:tcBorders>
              <w:bottom w:val="single" w:sz="6" w:space="0" w:color="000000"/>
              <w:right w:val="single" w:sz="6" w:space="0" w:color="000000"/>
            </w:tcBorders>
            <w:tcMar>
              <w:bottom w:w="80" w:type="dxa"/>
              <w:right w:w="40" w:type="dxa"/>
            </w:tcMar>
            <w:vAlign w:val="center"/>
          </w:tcPr>
          <w:p>
            <w:pPr>
              <w:pStyle w:val="TableContents"/>
              <w:bidi w:val="0"/>
              <w:spacing w:before="0" w:after="0"/>
              <w:jc w:val="left"/>
              <w:rPr/>
            </w:pPr>
            <w:r>
              <w:rPr>
                <w:color w:val="0BC11C"/>
              </w:rPr>
              <w:t>•</w:t>
            </w:r>
            <w:r>
              <w:rPr/>
              <w:t>   </w:t>
            </w:r>
            <w:r>
              <w:rPr>
                <w:rFonts w:ascii="ARIAL" w:hAnsi="ARIAL"/>
                <w:sz w:val="18"/>
              </w:rPr>
              <w:t>Awards vest subject to performance goals based on Labcorp’s three-year EPS growth (70%) and three-year Revenue growth (30%) with the final payout being modified by Labcorp’s relative Total Stockholder Return in comparison to peers by +/- 25%</w:t>
            </w:r>
          </w:p>
          <w:p>
            <w:pPr>
              <w:pStyle w:val="TableContents"/>
              <w:bidi w:val="0"/>
              <w:spacing w:before="0" w:after="0"/>
              <w:jc w:val="left"/>
              <w:rPr/>
            </w:pPr>
            <w:r>
              <w:rPr>
                <w:color w:val="0BC11C"/>
              </w:rPr>
              <w:t>•</w:t>
            </w:r>
            <w:r>
              <w:rPr/>
              <w:t>   </w:t>
            </w:r>
            <w:r>
              <w:rPr>
                <w:rFonts w:ascii="ARIAL" w:hAnsi="ARIAL"/>
                <w:sz w:val="18"/>
              </w:rPr>
              <w:t>For achievement of goals at or above maximum, awards could vest up to 200% of target; threshold performance would result in vesting of 50% of target with no payout below threshold performance</w:t>
            </w:r>
          </w:p>
          <w:p>
            <w:pPr>
              <w:pStyle w:val="TableContents"/>
              <w:bidi w:val="0"/>
              <w:spacing w:before="0" w:after="20"/>
              <w:jc w:val="left"/>
              <w:rPr/>
            </w:pPr>
            <w:r>
              <w:rPr>
                <w:color w:val="0BC11C"/>
              </w:rPr>
              <w:t>•</w:t>
            </w:r>
            <w:r>
              <w:rPr/>
              <w:t>   </w:t>
            </w:r>
            <w:r>
              <w:rPr>
                <w:rFonts w:ascii="ARIAL" w:hAnsi="ARIAL"/>
                <w:sz w:val="18"/>
              </w:rPr>
              <w:t>Dividend equivalents accrue and are paid on awards in cash following the final performance and payout determination</w:t>
            </w:r>
          </w:p>
        </w:tc>
      </w:tr>
      <w:tr>
        <w:trPr/>
        <w:tc>
          <w:tcPr>
            <w:tcW w:w="605" w:type="dxa"/>
            <w:tcBorders>
              <w:left w:val="single" w:sz="6" w:space="0" w:color="000000"/>
              <w:bottom w:val="single" w:sz="6" w:space="0" w:color="000000"/>
              <w:right w:val="single" w:sz="6" w:space="0" w:color="000000"/>
            </w:tcBorders>
            <w:tcMar>
              <w:left w:w="160" w:type="dxa"/>
              <w:bottom w:w="80" w:type="dxa"/>
              <w:right w:w="28" w:type="dxa"/>
            </w:tcMar>
            <w:vAlign w:val="center"/>
          </w:tcPr>
          <w:p>
            <w:pPr>
              <w:pStyle w:val="TableContents"/>
              <w:bidi w:val="0"/>
              <w:spacing w:before="0" w:after="0"/>
              <w:jc w:val="left"/>
              <w:rPr>
                <w:rFonts w:ascii="ARIAL" w:hAnsi="ARIAL"/>
                <w:sz w:val="18"/>
              </w:rPr>
            </w:pPr>
            <w:r>
              <w:rPr>
                <w:rFonts w:ascii="ARIAL" w:hAnsi="ARIAL"/>
                <w:sz w:val="18"/>
              </w:rPr>
              <w:t>RSUs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480" w:type="dxa"/>
            <w:tcBorders>
              <w:bottom w:val="single" w:sz="6" w:space="0" w:color="000000"/>
              <w:right w:val="single" w:sz="6" w:space="0" w:color="000000"/>
            </w:tcBorders>
            <w:tcMar>
              <w:bottom w:w="80" w:type="dxa"/>
              <w:right w:w="40" w:type="dxa"/>
            </w:tcMar>
            <w:vAlign w:val="center"/>
          </w:tcPr>
          <w:p>
            <w:pPr>
              <w:pStyle w:val="TableContents"/>
              <w:bidi w:val="0"/>
              <w:spacing w:before="0" w:after="0"/>
              <w:jc w:val="left"/>
              <w:rPr/>
            </w:pPr>
            <w:r>
              <w:rPr>
                <w:color w:val="0BC11C"/>
              </w:rPr>
              <w:t>•</w:t>
            </w:r>
            <w:r>
              <w:rPr/>
              <w:t>   </w:t>
            </w:r>
            <w:r>
              <w:rPr>
                <w:rFonts w:ascii="ARIAL" w:hAnsi="ARIAL"/>
                <w:sz w:val="18"/>
              </w:rPr>
              <w:t>Awards vest in equal tranches on the first, second and third anniversary of the date of grant</w:t>
            </w:r>
          </w:p>
          <w:p>
            <w:pPr>
              <w:pStyle w:val="TableContents"/>
              <w:bidi w:val="0"/>
              <w:spacing w:before="0" w:after="20"/>
              <w:jc w:val="left"/>
              <w:rPr/>
            </w:pPr>
            <w:r>
              <w:rPr>
                <w:color w:val="0BC11C"/>
              </w:rPr>
              <w:t>•</w:t>
            </w:r>
            <w:r>
              <w:rPr/>
              <w:t>   </w:t>
            </w:r>
            <w:r>
              <w:rPr>
                <w:rFonts w:ascii="ARIAL" w:hAnsi="ARIAL"/>
                <w:sz w:val="18"/>
              </w:rPr>
              <w:t>Dividend equivalents accrue on outstanding awards, and are only paid in cash at the time of vesting</w:t>
            </w:r>
          </w:p>
        </w:tc>
      </w:tr>
    </w:tbl>
    <w:p>
      <w:pPr>
        <w:pStyle w:val="TextBody"/>
        <w:bidi w:val="0"/>
        <w:spacing w:before="160" w:after="0"/>
        <w:jc w:val="left"/>
        <w:rPr>
          <w:rFonts w:ascii="ARIAL" w:hAnsi="ARIAL"/>
          <w:sz w:val="18"/>
        </w:rPr>
      </w:pPr>
      <w:r>
        <w:rPr>
          <w:rFonts w:ascii="ARIAL" w:hAnsi="ARIAL"/>
          <w:sz w:val="18"/>
        </w:rPr>
        <w:t xml:space="preserve">In connection with Spin, unvested Labcorp PSAs and RSUs, including those made in 2023, were converted into Fortrea PSAs and RSUs as summarized below.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34</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Conversion of Labcorp Long-Term Incentive Awards (approved by Labcorp CHCC) </w:t>
      </w:r>
    </w:p>
    <w:p>
      <w:pPr>
        <w:pStyle w:val="TextBody"/>
        <w:bidi w:val="0"/>
        <w:spacing w:before="80" w:after="0"/>
        <w:jc w:val="left"/>
        <w:rPr>
          <w:rFonts w:ascii="ARIAL" w:hAnsi="ARIAL"/>
          <w:sz w:val="18"/>
        </w:rPr>
      </w:pPr>
      <w:r>
        <w:rPr>
          <w:rFonts w:ascii="ARIAL" w:hAnsi="ARIAL"/>
          <w:sz w:val="18"/>
        </w:rPr>
        <w:t xml:space="preserve">Prior to the Spin, the Labcorp CHCC established an approved methodology for converting unvested Labcorp long-term incentive awards into Fortrea long-term incentive awards. This was done to fairly preserve value by mitigating any impact in stock price volatility that may be experienced for Labcorp and Fortrea common stock before and after Spin. The methodology was applied consistently for all unvested Labcorp long-term incentive awards held by Fortrea employees. The Equity Adjustment Ratio was calculated by dividing Labcorp’s pre-Spin 10-trading day average stock price by Fortrea’s post-Spin 10-trading day average stock price. The resulting calculation is as follows: </w:t>
      </w:r>
    </w:p>
    <w:p>
      <w:pPr>
        <w:pStyle w:val="TextBody"/>
        <w:bidi w:val="0"/>
        <w:spacing w:before="160" w:after="0"/>
        <w:jc w:val="center"/>
        <w:rPr>
          <w:rFonts w:ascii="ARIAL" w:hAnsi="ARIAL"/>
          <w:sz w:val="18"/>
        </w:rPr>
      </w:pPr>
      <w:r>
        <w:rPr>
          <w:rFonts w:ascii="ARIAL" w:hAnsi="ARIAL"/>
          <w:sz w:val="18"/>
        </w:rPr>
        <w:t xml:space="preserve">Labcorp’s Pre-Spin 10-trading day average stock price = $235.171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center"/>
        <w:rPr>
          <w:rFonts w:ascii="ARIAL" w:hAnsi="ARIAL"/>
          <w:sz w:val="18"/>
        </w:rPr>
      </w:pPr>
      <w:r>
        <w:rPr>
          <w:rFonts w:ascii="ARIAL" w:hAnsi="ARIAL"/>
          <w:sz w:val="18"/>
        </w:rPr>
        <w:t xml:space="preserve">Fortrea’s Post-Spin 10-trading day average stock price = $33.054 </w:t>
      </w:r>
    </w:p>
    <w:p>
      <w:pPr>
        <w:pStyle w:val="TextBody"/>
        <w:bidi w:val="0"/>
        <w:spacing w:before="0" w:after="0"/>
        <w:jc w:val="center"/>
        <w:rPr>
          <w:rFonts w:ascii="ARIAL" w:hAnsi="ARIAL"/>
          <w:sz w:val="18"/>
        </w:rPr>
      </w:pPr>
      <w:r>
        <w:rPr>
          <w:rFonts w:ascii="ARIAL" w:hAnsi="ARIAL"/>
          <w:sz w:val="18"/>
        </w:rPr>
        <w:t xml:space="preserve">= </w:t>
      </w:r>
    </w:p>
    <w:p>
      <w:pPr>
        <w:pStyle w:val="TextBody"/>
        <w:bidi w:val="0"/>
        <w:spacing w:before="0" w:after="0"/>
        <w:jc w:val="center"/>
        <w:rPr>
          <w:rFonts w:ascii="ARIAL" w:hAnsi="ARIAL"/>
          <w:sz w:val="18"/>
        </w:rPr>
      </w:pPr>
      <w:r>
        <w:rPr>
          <w:rFonts w:ascii="ARIAL" w:hAnsi="ARIAL"/>
          <w:sz w:val="18"/>
        </w:rPr>
        <w:t xml:space="preserve">Equity Adjustment Ratio = 7.1148 </w:t>
      </w:r>
    </w:p>
    <w:p>
      <w:pPr>
        <w:pStyle w:val="TextBody"/>
        <w:bidi w:val="0"/>
        <w:spacing w:before="160" w:after="0"/>
        <w:jc w:val="left"/>
        <w:rPr>
          <w:rFonts w:ascii="ARIAL" w:hAnsi="ARIAL"/>
          <w:sz w:val="18"/>
        </w:rPr>
      </w:pPr>
      <w:r>
        <w:rPr>
          <w:rFonts w:ascii="ARIAL" w:hAnsi="ARIAL"/>
          <w:sz w:val="18"/>
        </w:rPr>
        <w:t xml:space="preserve">The Equity Adjustment Ratio was applied to all unvested RSUs held by Fortrea employees. All original award terms and vesting schedules for the RSUs were maintained with no acceleration. </w:t>
      </w:r>
    </w:p>
    <w:p>
      <w:pPr>
        <w:pStyle w:val="TextBody"/>
        <w:bidi w:val="0"/>
        <w:spacing w:before="160" w:after="0"/>
        <w:jc w:val="left"/>
        <w:rPr>
          <w:rFonts w:ascii="ARIAL" w:hAnsi="ARIAL"/>
          <w:sz w:val="18"/>
        </w:rPr>
      </w:pPr>
      <w:r>
        <w:rPr>
          <w:rFonts w:ascii="ARIAL" w:hAnsi="ARIAL"/>
          <w:sz w:val="18"/>
        </w:rPr>
        <w:t xml:space="preserve">Unvested PSAs were converted depending on how much of the three-year performance period had elapsed at the time of Spin, with the value preserved either on an actual or target basis as follows: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70"/>
        <w:gridCol w:w="120"/>
        <w:gridCol w:w="901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15" w:type="dxa"/>
            <w:tcBorders/>
            <w:vAlign w:val="center"/>
          </w:tcPr>
          <w:p>
            <w:pPr>
              <w:pStyle w:val="TableContents"/>
              <w:bidi w:val="0"/>
              <w:spacing w:before="0" w:after="283"/>
              <w:jc w:val="left"/>
              <w:rPr>
                <w:sz w:val="4"/>
                <w:szCs w:val="4"/>
              </w:rPr>
            </w:pPr>
            <w:r>
              <w:rPr>
                <w:sz w:val="4"/>
                <w:szCs w:val="4"/>
              </w:rPr>
            </w:r>
          </w:p>
        </w:tc>
      </w:tr>
      <w:tr>
        <w:trPr/>
        <w:tc>
          <w:tcPr>
            <w:tcW w:w="1070" w:type="dxa"/>
            <w:tcBorders>
              <w:top w:val="single" w:sz="6" w:space="0" w:color="000000"/>
              <w:left w:val="single" w:sz="6" w:space="0" w:color="000000"/>
              <w:right w:val="single" w:sz="6" w:space="0" w:color="000000"/>
            </w:tcBorders>
            <w:shd w:fill="0BC11C" w:val="clear"/>
            <w:tcMar>
              <w:top w:w="28" w:type="dxa"/>
              <w:left w:w="160" w:type="dxa"/>
              <w:right w:w="28" w:type="dxa"/>
            </w:tcMar>
            <w:vAlign w:val="center"/>
          </w:tcPr>
          <w:p>
            <w:pPr>
              <w:pStyle w:val="TableContents"/>
              <w:bidi w:val="0"/>
              <w:spacing w:before="0" w:after="283"/>
              <w:jc w:val="left"/>
              <w:rPr/>
            </w:pPr>
            <w:r>
              <w:rPr/>
              <w:t> </w:t>
            </w:r>
          </w:p>
        </w:tc>
        <w:tc>
          <w:tcPr>
            <w:tcW w:w="9135" w:type="dxa"/>
            <w:gridSpan w:val="2"/>
            <w:tcBorders>
              <w:top w:val="single" w:sz="6" w:space="0" w:color="000000"/>
              <w:right w:val="single" w:sz="6" w:space="0" w:color="000000"/>
            </w:tcBorders>
            <w:shd w:fill="0BC11C" w:val="clear"/>
            <w:tcMar>
              <w:top w:w="28" w:type="dxa"/>
              <w:right w:w="28" w:type="dxa"/>
            </w:tcMar>
            <w:vAlign w:val="center"/>
          </w:tcPr>
          <w:p>
            <w:pPr>
              <w:pStyle w:val="TableContents"/>
              <w:bidi w:val="0"/>
              <w:spacing w:before="0" w:after="283"/>
              <w:jc w:val="left"/>
              <w:rPr/>
            </w:pPr>
            <w:r>
              <w:rPr/>
              <w:t> </w:t>
            </w:r>
          </w:p>
        </w:tc>
      </w:tr>
      <w:tr>
        <w:trPr/>
        <w:tc>
          <w:tcPr>
            <w:tcW w:w="1070" w:type="dxa"/>
            <w:tcBorders>
              <w:left w:val="single" w:sz="6" w:space="0" w:color="000000"/>
              <w:bottom w:val="single" w:sz="6" w:space="0" w:color="000000"/>
              <w:right w:val="single" w:sz="6" w:space="0" w:color="000000"/>
            </w:tcBorders>
            <w:shd w:fill="0BC11C" w:val="clear"/>
            <w:tcMar>
              <w:left w:w="160" w:type="dxa"/>
              <w:bottom w:w="80" w:type="dxa"/>
              <w:right w:w="28"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PSA Cycle</w:t>
            </w:r>
          </w:p>
        </w:tc>
        <w:tc>
          <w:tcPr>
            <w:tcW w:w="12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9015" w:type="dxa"/>
            <w:tcBorders>
              <w:bottom w:val="single" w:sz="6" w:space="0" w:color="000000"/>
              <w:right w:val="single" w:sz="6" w:space="0" w:color="000000"/>
            </w:tcBorders>
            <w:shd w:fill="0BC11C" w:val="clear"/>
            <w:tcMar>
              <w:bottom w:w="80" w:type="dxa"/>
              <w:right w:w="40" w:type="dxa"/>
            </w:tcMar>
            <w:vAlign w:val="center"/>
          </w:tcPr>
          <w:p>
            <w:pPr>
              <w:pStyle w:val="TableContents"/>
              <w:bidi w:val="0"/>
              <w:spacing w:before="0" w:after="283"/>
              <w:jc w:val="left"/>
              <w:rPr>
                <w:b/>
                <w:color w:val="FFFFFF"/>
              </w:rPr>
            </w:pPr>
            <w:r>
              <w:rPr>
                <w:b/>
                <w:color w:val="FFFFFF"/>
              </w:rPr>
              <w:t>Treatment</w:t>
            </w:r>
          </w:p>
        </w:tc>
      </w:tr>
      <w:tr>
        <w:trPr/>
        <w:tc>
          <w:tcPr>
            <w:tcW w:w="1070" w:type="dxa"/>
            <w:tcBorders>
              <w:left w:val="single" w:sz="6" w:space="0" w:color="000000"/>
              <w:bottom w:val="single" w:sz="6" w:space="0" w:color="000000"/>
              <w:right w:val="single" w:sz="6" w:space="0" w:color="000000"/>
            </w:tcBorders>
            <w:tcMar>
              <w:left w:w="160" w:type="dxa"/>
              <w:bottom w:w="80" w:type="dxa"/>
              <w:right w:w="28" w:type="dxa"/>
            </w:tcMar>
            <w:vAlign w:val="center"/>
          </w:tcPr>
          <w:p>
            <w:pPr>
              <w:pStyle w:val="TableContents"/>
              <w:bidi w:val="0"/>
              <w:spacing w:before="0" w:after="0"/>
              <w:jc w:val="left"/>
              <w:rPr>
                <w:rFonts w:ascii="ARIAL" w:hAnsi="ARIAL"/>
                <w:sz w:val="18"/>
              </w:rPr>
            </w:pPr>
            <w:r>
              <w:rPr>
                <w:rFonts w:ascii="ARIAL" w:hAnsi="ARIAL"/>
                <w:sz w:val="18"/>
              </w:rPr>
              <w:t>2021 – 2023</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015" w:type="dxa"/>
            <w:tcBorders>
              <w:bottom w:val="single" w:sz="6" w:space="0" w:color="000000"/>
              <w:right w:val="single" w:sz="6" w:space="0" w:color="000000"/>
            </w:tcBorders>
            <w:tcMar>
              <w:bottom w:w="80" w:type="dxa"/>
              <w:right w:w="40" w:type="dxa"/>
            </w:tcMar>
            <w:vAlign w:val="center"/>
          </w:tcPr>
          <w:p>
            <w:pPr>
              <w:pStyle w:val="TableContents"/>
              <w:bidi w:val="0"/>
              <w:spacing w:before="0" w:after="0"/>
              <w:jc w:val="left"/>
              <w:rPr/>
            </w:pPr>
            <w:r>
              <w:rPr>
                <w:color w:val="0BC11C"/>
              </w:rPr>
              <w:t>•</w:t>
            </w:r>
            <w:r>
              <w:rPr/>
              <w:t>   </w:t>
            </w:r>
            <w:r>
              <w:rPr>
                <w:rFonts w:ascii="ARIAL" w:hAnsi="ARIAL"/>
                <w:sz w:val="18"/>
              </w:rPr>
              <w:t>Converted to RSUs based on Labcorp performance of 30 months (out of 36-month performance measurement period) utilizing the stated Equity Adjustment Ratio</w:t>
            </w:r>
          </w:p>
          <w:p>
            <w:pPr>
              <w:pStyle w:val="TableContents"/>
              <w:bidi w:val="0"/>
              <w:spacing w:before="0" w:after="0"/>
              <w:jc w:val="left"/>
              <w:rPr/>
            </w:pPr>
            <w:r>
              <w:rPr>
                <w:color w:val="0BC11C"/>
              </w:rPr>
              <w:t>•</w:t>
            </w:r>
            <w:r>
              <w:rPr/>
              <w:t>   </w:t>
            </w:r>
            <w:r>
              <w:rPr>
                <w:rFonts w:ascii="ARIAL" w:hAnsi="ARIAL"/>
                <w:sz w:val="18"/>
              </w:rPr>
              <w:t>At time of Spin, the Labcorp CHCC considered Labcorp’s performance in connection with the previously approved cumulative EPS growth, cumulative Revenue and relative Total Stockholder return through June 30, 2023. The Labcorp CHCC approved a combined payout factor of 200% of target, reflecting performance through June 30, 2023</w:t>
            </w:r>
          </w:p>
          <w:p>
            <w:pPr>
              <w:pStyle w:val="TableContents"/>
              <w:bidi w:val="0"/>
              <w:spacing w:before="0" w:after="0"/>
              <w:jc w:val="left"/>
              <w:rPr/>
            </w:pPr>
            <w:r>
              <w:rPr>
                <w:color w:val="0BC11C"/>
              </w:rPr>
              <w:t>•</w:t>
            </w:r>
            <w:r>
              <w:rPr/>
              <w:t>   </w:t>
            </w:r>
            <w:r>
              <w:rPr>
                <w:rFonts w:ascii="ARIAL" w:hAnsi="ARIAL"/>
                <w:sz w:val="18"/>
              </w:rPr>
              <w:t>For example, 100 outstanding 2021 Labcorp PSAs were measured at 200% payout, resulting in an actual payout of 200 PSAs. These 200 Labcorp PSAs were then converted Fortrea RSUs: 200 x 7.1148 = 1,423 Fortrea RSUs</w:t>
            </w:r>
          </w:p>
          <w:p>
            <w:pPr>
              <w:pStyle w:val="TableContents"/>
              <w:bidi w:val="0"/>
              <w:spacing w:before="0" w:after="20"/>
              <w:jc w:val="left"/>
              <w:rPr/>
            </w:pPr>
            <w:r>
              <w:rPr>
                <w:color w:val="0BC11C"/>
              </w:rPr>
              <w:t>•</w:t>
            </w:r>
            <w:r>
              <w:rPr/>
              <w:t>   </w:t>
            </w:r>
            <w:r>
              <w:rPr>
                <w:rFonts w:ascii="ARIAL" w:hAnsi="ARIAL"/>
                <w:sz w:val="18"/>
              </w:rPr>
              <w:t>Awards continued to be subject to the original three-year vesting period</w:t>
            </w:r>
          </w:p>
        </w:tc>
      </w:tr>
      <w:tr>
        <w:trPr/>
        <w:tc>
          <w:tcPr>
            <w:tcW w:w="1070" w:type="dxa"/>
            <w:tcBorders>
              <w:left w:val="single" w:sz="6" w:space="0" w:color="000000"/>
              <w:bottom w:val="single" w:sz="6" w:space="0" w:color="000000"/>
              <w:right w:val="single" w:sz="6" w:space="0" w:color="000000"/>
            </w:tcBorders>
            <w:tcMar>
              <w:left w:w="160" w:type="dxa"/>
              <w:bottom w:w="80" w:type="dxa"/>
              <w:right w:w="28" w:type="dxa"/>
            </w:tcMar>
            <w:vAlign w:val="center"/>
          </w:tcPr>
          <w:p>
            <w:pPr>
              <w:pStyle w:val="TableContents"/>
              <w:bidi w:val="0"/>
              <w:spacing w:before="0" w:after="0"/>
              <w:jc w:val="left"/>
              <w:rPr>
                <w:rFonts w:ascii="ARIAL" w:hAnsi="ARIAL"/>
                <w:sz w:val="18"/>
              </w:rPr>
            </w:pPr>
            <w:r>
              <w:rPr>
                <w:rFonts w:ascii="ARIAL" w:hAnsi="ARIAL"/>
                <w:sz w:val="18"/>
              </w:rPr>
              <w:t>2022 – 2024</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015" w:type="dxa"/>
            <w:tcBorders>
              <w:bottom w:val="single" w:sz="6" w:space="0" w:color="000000"/>
              <w:right w:val="single" w:sz="6" w:space="0" w:color="000000"/>
            </w:tcBorders>
            <w:tcMar>
              <w:bottom w:w="80" w:type="dxa"/>
              <w:right w:w="40" w:type="dxa"/>
            </w:tcMar>
            <w:vAlign w:val="center"/>
          </w:tcPr>
          <w:p>
            <w:pPr>
              <w:pStyle w:val="TableContents"/>
              <w:bidi w:val="0"/>
              <w:spacing w:before="0" w:after="0"/>
              <w:jc w:val="left"/>
              <w:rPr/>
            </w:pPr>
            <w:r>
              <w:rPr>
                <w:color w:val="0BC11C"/>
              </w:rPr>
              <w:t>•</w:t>
            </w:r>
            <w:r>
              <w:rPr/>
              <w:t>   </w:t>
            </w:r>
            <w:r>
              <w:rPr>
                <w:rFonts w:ascii="ARIAL" w:hAnsi="ARIAL"/>
                <w:sz w:val="18"/>
              </w:rPr>
              <w:t>50% of the awards were converted to RSUs based on Labcorp performance of 18 months (out of 36-month performance measurement period) utilizing the stated Equity Adjustment Ratio</w:t>
            </w:r>
          </w:p>
          <w:p>
            <w:pPr>
              <w:pStyle w:val="TableContents"/>
              <w:bidi w:val="0"/>
              <w:spacing w:before="0" w:after="0"/>
              <w:jc w:val="left"/>
              <w:rPr/>
            </w:pPr>
            <w:r>
              <w:rPr>
                <w:color w:val="0BC11C"/>
              </w:rPr>
              <w:t>•</w:t>
            </w:r>
            <w:r>
              <w:rPr/>
              <w:t>   </w:t>
            </w:r>
            <w:r>
              <w:rPr>
                <w:rFonts w:ascii="ARIAL" w:hAnsi="ARIAL"/>
                <w:sz w:val="18"/>
              </w:rPr>
              <w:t>The other 50% of the awards were converted to Fortrea PSAs using the stated Equity Adjustment Ratio</w:t>
            </w:r>
          </w:p>
          <w:p>
            <w:pPr>
              <w:pStyle w:val="TableContents"/>
              <w:bidi w:val="0"/>
              <w:spacing w:before="0" w:after="0"/>
              <w:jc w:val="left"/>
              <w:rPr/>
            </w:pPr>
            <w:r>
              <w:rPr>
                <w:color w:val="0BC11C"/>
              </w:rPr>
              <w:t>•</w:t>
            </w:r>
            <w:r>
              <w:rPr/>
              <w:t>   </w:t>
            </w:r>
            <w:r>
              <w:rPr>
                <w:rFonts w:ascii="ARIAL" w:hAnsi="ARIAL"/>
                <w:sz w:val="18"/>
              </w:rPr>
              <w:t>For those converted to RSUs at time of Spin, the Labcorp CHCC considered Labcorp’s performance in connection with the previously approved cumulative EPS growth, cumulative Revenue and relative Total Stockholder return through June 30, 2023. The Labcorp CHCC approved a combined payout factor of 58.3% of target, reflecting performance through June 30, 2023</w:t>
            </w:r>
          </w:p>
          <w:p>
            <w:pPr>
              <w:pStyle w:val="TableContents"/>
              <w:bidi w:val="0"/>
              <w:spacing w:before="0" w:after="0"/>
              <w:jc w:val="left"/>
              <w:rPr/>
            </w:pPr>
            <w:r>
              <w:rPr>
                <w:color w:val="0BC11C"/>
              </w:rPr>
              <w:t>•</w:t>
            </w:r>
            <w:r>
              <w:rPr/>
              <w:t>   </w:t>
            </w:r>
            <w:r>
              <w:rPr>
                <w:rFonts w:ascii="ARIAL" w:hAnsi="ARIAL"/>
                <w:sz w:val="18"/>
              </w:rPr>
              <w:t>For example, 50% of 100 outstanding 2022 Labcorp PSAs were measured at 58.3% payout, resulting in an actual payout of 29 PSAs. These 29 Labcorp PSAs were then converted Fortrea RSUs: 29 x 7.1148 = 206 Fortrea RSUs. The other 50% of the outstanding 2022 PSAs were converted to Fortrea PSAs: 50 x 7.1148 = 355 Fortrea PSAs</w:t>
            </w:r>
          </w:p>
          <w:p>
            <w:pPr>
              <w:pStyle w:val="TableContents"/>
              <w:bidi w:val="0"/>
              <w:spacing w:before="0" w:after="20"/>
              <w:jc w:val="left"/>
              <w:rPr/>
            </w:pPr>
            <w:r>
              <w:rPr>
                <w:color w:val="0BC11C"/>
              </w:rPr>
              <w:t>•</w:t>
            </w:r>
            <w:r>
              <w:rPr/>
              <w:t>   </w:t>
            </w:r>
            <w:r>
              <w:rPr>
                <w:rFonts w:ascii="ARIAL" w:hAnsi="ARIAL"/>
                <w:sz w:val="18"/>
              </w:rPr>
              <w:t>Awards continued to be subject to the original three-year vesting period</w:t>
            </w:r>
          </w:p>
        </w:tc>
      </w:tr>
      <w:tr>
        <w:trPr/>
        <w:tc>
          <w:tcPr>
            <w:tcW w:w="1070" w:type="dxa"/>
            <w:tcBorders>
              <w:left w:val="single" w:sz="6" w:space="0" w:color="000000"/>
              <w:bottom w:val="single" w:sz="6" w:space="0" w:color="000000"/>
              <w:right w:val="single" w:sz="6" w:space="0" w:color="000000"/>
            </w:tcBorders>
            <w:tcMar>
              <w:left w:w="160" w:type="dxa"/>
              <w:bottom w:w="80" w:type="dxa"/>
              <w:right w:w="28" w:type="dxa"/>
            </w:tcMar>
            <w:vAlign w:val="center"/>
          </w:tcPr>
          <w:p>
            <w:pPr>
              <w:pStyle w:val="TableContents"/>
              <w:bidi w:val="0"/>
              <w:spacing w:before="0" w:after="0"/>
              <w:jc w:val="left"/>
              <w:rPr>
                <w:rFonts w:ascii="ARIAL" w:hAnsi="ARIAL"/>
                <w:sz w:val="18"/>
              </w:rPr>
            </w:pPr>
            <w:r>
              <w:rPr>
                <w:rFonts w:ascii="ARIAL" w:hAnsi="ARIAL"/>
                <w:sz w:val="18"/>
              </w:rPr>
              <w:t>2023 – 2025</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9015" w:type="dxa"/>
            <w:tcBorders>
              <w:bottom w:val="single" w:sz="6" w:space="0" w:color="000000"/>
              <w:right w:val="single" w:sz="6" w:space="0" w:color="000000"/>
            </w:tcBorders>
            <w:tcMar>
              <w:bottom w:w="80" w:type="dxa"/>
              <w:right w:w="40" w:type="dxa"/>
            </w:tcMar>
            <w:vAlign w:val="center"/>
          </w:tcPr>
          <w:p>
            <w:pPr>
              <w:pStyle w:val="TableContents"/>
              <w:bidi w:val="0"/>
              <w:spacing w:before="0" w:after="0"/>
              <w:jc w:val="left"/>
              <w:rPr/>
            </w:pPr>
            <w:r>
              <w:rPr>
                <w:color w:val="0BC11C"/>
              </w:rPr>
              <w:t>•</w:t>
            </w:r>
            <w:r>
              <w:rPr/>
              <w:t>   </w:t>
            </w:r>
            <w:r>
              <w:rPr>
                <w:rFonts w:ascii="ARIAL" w:hAnsi="ARIAL"/>
                <w:sz w:val="18"/>
              </w:rPr>
              <w:t>Converted into Fortrea PSAs based on the target number of shares</w:t>
            </w:r>
          </w:p>
          <w:p>
            <w:pPr>
              <w:pStyle w:val="TableContents"/>
              <w:bidi w:val="0"/>
              <w:spacing w:before="0" w:after="0"/>
              <w:jc w:val="left"/>
              <w:rPr/>
            </w:pPr>
            <w:r>
              <w:rPr>
                <w:color w:val="0BC11C"/>
              </w:rPr>
              <w:t>•</w:t>
            </w:r>
            <w:r>
              <w:rPr/>
              <w:t>   </w:t>
            </w:r>
            <w:r>
              <w:rPr>
                <w:rFonts w:ascii="ARIAL" w:hAnsi="ARIAL"/>
                <w:sz w:val="18"/>
              </w:rPr>
              <w:t>For example, 100% of 100 outstanding 2023 Labcorp PSAs were converted to Fortrea PSAs: 100 x 7.1148 = 711 Fortrea PSAs</w:t>
            </w:r>
          </w:p>
          <w:p>
            <w:pPr>
              <w:pStyle w:val="TableContents"/>
              <w:bidi w:val="0"/>
              <w:spacing w:before="0" w:after="20"/>
              <w:jc w:val="left"/>
              <w:rPr/>
            </w:pPr>
            <w:r>
              <w:rPr>
                <w:color w:val="0BC11C"/>
              </w:rPr>
              <w:t>•</w:t>
            </w:r>
            <w:r>
              <w:rPr/>
              <w:t>   </w:t>
            </w:r>
            <w:r>
              <w:rPr>
                <w:rFonts w:ascii="ARIAL" w:hAnsi="ARIAL"/>
                <w:sz w:val="18"/>
              </w:rPr>
              <w:t>Awards continue to be subject to the original three-year vesting period</w:t>
            </w:r>
          </w:p>
        </w:tc>
      </w:tr>
    </w:tbl>
    <w:p>
      <w:pPr>
        <w:pStyle w:val="TextBody"/>
        <w:bidi w:val="0"/>
        <w:spacing w:before="160" w:after="0"/>
        <w:jc w:val="left"/>
        <w:rPr>
          <w:rFonts w:ascii="ARIAL" w:hAnsi="ARIAL"/>
          <w:sz w:val="18"/>
        </w:rPr>
      </w:pPr>
      <w:r>
        <w:rPr>
          <w:rFonts w:ascii="ARIAL" w:hAnsi="ARIAL"/>
          <w:sz w:val="18"/>
        </w:rPr>
        <w:t xml:space="preserve">Any newly converted Fortrea PSAs, are subject to Fortrea-specific performance metrics as determined by the Fortrea MDCC. Both the 2022 and 2023 outstanding converted PSAs utilize revenue (50% weight) and Adjusted EBITDA (50% weight) for the remaining portion of the performance measurement period.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35</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Engagement Awards (approved by Labcorp) </w:t>
      </w:r>
    </w:p>
    <w:p>
      <w:pPr>
        <w:pStyle w:val="TextBody"/>
        <w:bidi w:val="0"/>
        <w:spacing w:before="160" w:after="0"/>
        <w:jc w:val="left"/>
        <w:rPr>
          <w:rFonts w:ascii="ARIAL" w:hAnsi="ARIAL"/>
          <w:sz w:val="18"/>
        </w:rPr>
      </w:pPr>
      <w:r>
        <w:rPr>
          <w:rFonts w:ascii="ARIAL" w:hAnsi="ARIAL"/>
          <w:sz w:val="18"/>
        </w:rPr>
        <w:t xml:space="preserve">Prior to the Spin, in June 2023, Labcorp approved “Engagement Awards” to certain key employees who were critical to the continued success of the business and separation, including Ms. McConnell and Mr. Morais. Engagement awards were granted in the form of RSUs with vesting occurring in equal installments on the first, second and third anniversary of the grant date. The amounts described in the table below represent the targeted value: </w:t>
      </w:r>
    </w:p>
    <w:p>
      <w:pPr>
        <w:pStyle w:val="TextBody"/>
        <w:bidi w:val="0"/>
        <w:spacing w:before="0" w:after="0"/>
        <w:jc w:val="left"/>
        <w:rPr/>
      </w:pPr>
      <w:r>
        <w:rPr/>
        <w:t> </w:t>
      </w:r>
    </w:p>
    <w:tbl>
      <w:tblPr>
        <w:tblW w:w="5155" w:type="dxa"/>
        <w:jc w:val="left"/>
        <w:tblInd w:w="0" w:type="dxa"/>
        <w:tblLayout w:type="fixed"/>
        <w:tblCellMar>
          <w:top w:w="0" w:type="dxa"/>
          <w:left w:w="0" w:type="dxa"/>
          <w:bottom w:w="0" w:type="dxa"/>
          <w:right w:w="0" w:type="dxa"/>
        </w:tblCellMar>
      </w:tblPr>
      <w:tblGrid>
        <w:gridCol w:w="1190"/>
        <w:gridCol w:w="120"/>
        <w:gridCol w:w="3845"/>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845" w:type="dxa"/>
            <w:tcBorders/>
            <w:vAlign w:val="center"/>
          </w:tcPr>
          <w:p>
            <w:pPr>
              <w:pStyle w:val="TableContents"/>
              <w:bidi w:val="0"/>
              <w:spacing w:before="0" w:after="283"/>
              <w:jc w:val="left"/>
              <w:rPr>
                <w:sz w:val="4"/>
                <w:szCs w:val="4"/>
              </w:rPr>
            </w:pPr>
            <w:r>
              <w:rPr>
                <w:sz w:val="4"/>
                <w:szCs w:val="4"/>
              </w:rPr>
            </w:r>
          </w:p>
        </w:tc>
      </w:tr>
      <w:tr>
        <w:trPr/>
        <w:tc>
          <w:tcPr>
            <w:tcW w:w="1190" w:type="dxa"/>
            <w:tcBorders>
              <w:top w:val="single" w:sz="6" w:space="0" w:color="000000"/>
              <w:left w:val="single" w:sz="6" w:space="0" w:color="000000"/>
              <w:right w:val="single" w:sz="6" w:space="0" w:color="000000"/>
            </w:tcBorders>
            <w:shd w:fill="0BC11C" w:val="clear"/>
            <w:tcMar>
              <w:top w:w="28" w:type="dxa"/>
              <w:left w:w="160" w:type="dxa"/>
              <w:right w:w="28" w:type="dxa"/>
            </w:tcMar>
            <w:vAlign w:val="center"/>
          </w:tcPr>
          <w:p>
            <w:pPr>
              <w:pStyle w:val="TableContents"/>
              <w:bidi w:val="0"/>
              <w:spacing w:before="0" w:after="283"/>
              <w:jc w:val="left"/>
              <w:rPr/>
            </w:pPr>
            <w:r>
              <w:rPr/>
              <w:t> </w:t>
            </w:r>
          </w:p>
        </w:tc>
        <w:tc>
          <w:tcPr>
            <w:tcW w:w="3965" w:type="dxa"/>
            <w:gridSpan w:val="2"/>
            <w:tcBorders>
              <w:top w:val="single" w:sz="6" w:space="0" w:color="000000"/>
              <w:right w:val="single" w:sz="6" w:space="0" w:color="000000"/>
            </w:tcBorders>
            <w:shd w:fill="0BC11C" w:val="clear"/>
            <w:tcMar>
              <w:top w:w="28" w:type="dxa"/>
              <w:right w:w="28" w:type="dxa"/>
            </w:tcMar>
            <w:vAlign w:val="center"/>
          </w:tcPr>
          <w:p>
            <w:pPr>
              <w:pStyle w:val="TableContents"/>
              <w:bidi w:val="0"/>
              <w:spacing w:before="0" w:after="283"/>
              <w:jc w:val="left"/>
              <w:rPr/>
            </w:pPr>
            <w:r>
              <w:rPr/>
              <w:t> </w:t>
            </w:r>
          </w:p>
        </w:tc>
      </w:tr>
      <w:tr>
        <w:trPr/>
        <w:tc>
          <w:tcPr>
            <w:tcW w:w="1190" w:type="dxa"/>
            <w:tcBorders>
              <w:left w:val="single" w:sz="6" w:space="0" w:color="000000"/>
              <w:bottom w:val="single" w:sz="6" w:space="0" w:color="000000"/>
              <w:right w:val="single" w:sz="6" w:space="0" w:color="000000"/>
            </w:tcBorders>
            <w:shd w:fill="0BC11C" w:val="clear"/>
            <w:tcMar>
              <w:left w:w="160" w:type="dxa"/>
              <w:bottom w:w="120" w:type="dxa"/>
              <w:right w:w="28"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Executive</w:t>
            </w:r>
          </w:p>
        </w:tc>
        <w:tc>
          <w:tcPr>
            <w:tcW w:w="12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3845" w:type="dxa"/>
            <w:tcBorders>
              <w:bottom w:val="single" w:sz="6" w:space="0" w:color="000000"/>
              <w:right w:val="single" w:sz="6" w:space="0" w:color="000000"/>
            </w:tcBorders>
            <w:shd w:fill="0BC11C" w:val="clear"/>
            <w:tcMar>
              <w:bottom w:w="120" w:type="dxa"/>
              <w:right w:w="40" w:type="dxa"/>
            </w:tcMar>
            <w:vAlign w:val="center"/>
          </w:tcPr>
          <w:p>
            <w:pPr>
              <w:pStyle w:val="TableContents"/>
              <w:bidi w:val="0"/>
              <w:spacing w:before="0" w:after="283"/>
              <w:jc w:val="right"/>
              <w:rPr>
                <w:b/>
                <w:color w:val="FFFFFF"/>
              </w:rPr>
            </w:pPr>
            <w:r>
              <w:rPr>
                <w:b/>
                <w:color w:val="FFFFFF"/>
              </w:rPr>
              <w:t>June 2023 Engagement Award Value</w:t>
            </w:r>
          </w:p>
        </w:tc>
      </w:tr>
      <w:tr>
        <w:trPr/>
        <w:tc>
          <w:tcPr>
            <w:tcW w:w="1190"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Jill McConnell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8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right"/>
              <w:rPr/>
            </w:pPr>
            <w:r>
              <w:rPr/>
              <w:t>$1,000,000</w:t>
            </w:r>
          </w:p>
        </w:tc>
      </w:tr>
      <w:tr>
        <w:trPr/>
        <w:tc>
          <w:tcPr>
            <w:tcW w:w="1190"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Mark Morais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384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right"/>
              <w:rPr/>
            </w:pPr>
            <w:r>
              <w:rPr/>
              <w:t>$1,000,000</w:t>
            </w:r>
          </w:p>
        </w:tc>
      </w:tr>
    </w:tbl>
    <w:p>
      <w:pPr>
        <w:pStyle w:val="TextBody"/>
        <w:bidi w:val="0"/>
        <w:spacing w:before="360" w:after="0"/>
        <w:jc w:val="left"/>
        <w:rPr>
          <w:rFonts w:ascii="ARIAL" w:hAnsi="ARIAL"/>
          <w:b/>
          <w:sz w:val="20"/>
        </w:rPr>
      </w:pPr>
      <w:r>
        <w:rPr>
          <w:rFonts w:ascii="ARIAL" w:hAnsi="ARIAL"/>
          <w:b/>
          <w:sz w:val="20"/>
        </w:rPr>
        <w:t xml:space="preserve">August 2023 Long-term Incentive Awards (approved by Fortrea MDCC) </w:t>
      </w:r>
    </w:p>
    <w:p>
      <w:pPr>
        <w:pStyle w:val="TextBody"/>
        <w:bidi w:val="0"/>
        <w:spacing w:before="160" w:after="0"/>
        <w:jc w:val="left"/>
        <w:rPr>
          <w:rFonts w:ascii="ARIAL" w:hAnsi="ARIAL"/>
          <w:sz w:val="18"/>
        </w:rPr>
      </w:pPr>
      <w:r>
        <w:rPr>
          <w:rFonts w:ascii="ARIAL" w:hAnsi="ARIAL"/>
          <w:sz w:val="18"/>
        </w:rPr>
        <w:t xml:space="preserve">As a result of the Spin, Ms. McConnell and Mr. Morais received a portion of their long-term incentive grant in February 2023. Given this grant did not consider each of Ms. McConnell or Mr. Morais’ roles and responsibilities for the entire 2023 year, the Fortrea MDCC approved an incremental long-term incentive grant in August 2023 to provide both competitive total compensation for 2023 as well as additional retentive power through equity to Ms. McConnell and Mr. Morais. These awards were granted in the form of RSUs with vesting occurring in equal installments on the first, second and third anniversary of the grant date. The amounts described in the table below represent the targeted value: </w:t>
      </w:r>
    </w:p>
    <w:p>
      <w:pPr>
        <w:pStyle w:val="TextBody"/>
        <w:bidi w:val="0"/>
        <w:spacing w:before="0" w:after="0"/>
        <w:jc w:val="left"/>
        <w:rPr/>
      </w:pPr>
      <w:r>
        <w:rPr/>
        <w:t> </w:t>
      </w:r>
    </w:p>
    <w:tbl>
      <w:tblPr>
        <w:tblW w:w="4060" w:type="dxa"/>
        <w:jc w:val="left"/>
        <w:tblInd w:w="0" w:type="dxa"/>
        <w:tblLayout w:type="fixed"/>
        <w:tblCellMar>
          <w:top w:w="0" w:type="dxa"/>
          <w:left w:w="0" w:type="dxa"/>
          <w:bottom w:w="0" w:type="dxa"/>
          <w:right w:w="0" w:type="dxa"/>
        </w:tblCellMar>
      </w:tblPr>
      <w:tblGrid>
        <w:gridCol w:w="1190"/>
        <w:gridCol w:w="120"/>
        <w:gridCol w:w="2750"/>
      </w:tblGrid>
      <w:tr>
        <w:trPr/>
        <w:tc>
          <w:tcPr>
            <w:tcW w:w="1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50" w:type="dxa"/>
            <w:tcBorders/>
            <w:vAlign w:val="center"/>
          </w:tcPr>
          <w:p>
            <w:pPr>
              <w:pStyle w:val="TableContents"/>
              <w:bidi w:val="0"/>
              <w:spacing w:before="0" w:after="283"/>
              <w:jc w:val="left"/>
              <w:rPr>
                <w:sz w:val="4"/>
                <w:szCs w:val="4"/>
              </w:rPr>
            </w:pPr>
            <w:r>
              <w:rPr>
                <w:sz w:val="4"/>
                <w:szCs w:val="4"/>
              </w:rPr>
            </w:r>
          </w:p>
        </w:tc>
      </w:tr>
      <w:tr>
        <w:trPr/>
        <w:tc>
          <w:tcPr>
            <w:tcW w:w="1190" w:type="dxa"/>
            <w:tcBorders>
              <w:top w:val="single" w:sz="6" w:space="0" w:color="000000"/>
              <w:left w:val="single" w:sz="6" w:space="0" w:color="000000"/>
              <w:right w:val="single" w:sz="6" w:space="0" w:color="000000"/>
            </w:tcBorders>
            <w:shd w:fill="0BC11C" w:val="clear"/>
            <w:tcMar>
              <w:top w:w="28" w:type="dxa"/>
              <w:left w:w="160" w:type="dxa"/>
              <w:right w:w="28" w:type="dxa"/>
            </w:tcMar>
            <w:vAlign w:val="center"/>
          </w:tcPr>
          <w:p>
            <w:pPr>
              <w:pStyle w:val="TableContents"/>
              <w:bidi w:val="0"/>
              <w:spacing w:before="0" w:after="283"/>
              <w:jc w:val="left"/>
              <w:rPr/>
            </w:pPr>
            <w:r>
              <w:rPr/>
              <w:t> </w:t>
            </w:r>
          </w:p>
        </w:tc>
        <w:tc>
          <w:tcPr>
            <w:tcW w:w="2870" w:type="dxa"/>
            <w:gridSpan w:val="2"/>
            <w:tcBorders>
              <w:top w:val="single" w:sz="6" w:space="0" w:color="000000"/>
              <w:right w:val="single" w:sz="6" w:space="0" w:color="000000"/>
            </w:tcBorders>
            <w:shd w:fill="0BC11C" w:val="clear"/>
            <w:tcMar>
              <w:top w:w="28" w:type="dxa"/>
              <w:right w:w="28" w:type="dxa"/>
            </w:tcMar>
            <w:vAlign w:val="center"/>
          </w:tcPr>
          <w:p>
            <w:pPr>
              <w:pStyle w:val="TableContents"/>
              <w:bidi w:val="0"/>
              <w:spacing w:before="0" w:after="283"/>
              <w:jc w:val="left"/>
              <w:rPr/>
            </w:pPr>
            <w:r>
              <w:rPr/>
              <w:t> </w:t>
            </w:r>
          </w:p>
        </w:tc>
      </w:tr>
      <w:tr>
        <w:trPr/>
        <w:tc>
          <w:tcPr>
            <w:tcW w:w="1190" w:type="dxa"/>
            <w:tcBorders>
              <w:left w:val="single" w:sz="6" w:space="0" w:color="000000"/>
              <w:bottom w:val="single" w:sz="6" w:space="0" w:color="000000"/>
              <w:right w:val="single" w:sz="6" w:space="0" w:color="000000"/>
            </w:tcBorders>
            <w:shd w:fill="0BC11C" w:val="clear"/>
            <w:tcMar>
              <w:left w:w="160" w:type="dxa"/>
              <w:bottom w:w="120" w:type="dxa"/>
              <w:right w:w="28" w:type="dxa"/>
            </w:tcMar>
            <w:vAlign w:val="center"/>
          </w:tcPr>
          <w:p>
            <w:pPr>
              <w:pStyle w:val="TableContents"/>
              <w:bidi w:val="0"/>
              <w:spacing w:before="0" w:after="0"/>
              <w:jc w:val="left"/>
              <w:rPr>
                <w:rFonts w:ascii="ARIAL" w:hAnsi="ARIAL"/>
                <w:b/>
                <w:color w:val="FFFFFF"/>
                <w:sz w:val="16"/>
              </w:rPr>
            </w:pPr>
            <w:r>
              <w:rPr>
                <w:rFonts w:ascii="ARIAL" w:hAnsi="ARIAL"/>
                <w:b/>
                <w:color w:val="FFFFFF"/>
                <w:sz w:val="16"/>
              </w:rPr>
              <w:t>Executive</w:t>
            </w:r>
          </w:p>
        </w:tc>
        <w:tc>
          <w:tcPr>
            <w:tcW w:w="12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2750" w:type="dxa"/>
            <w:tcBorders>
              <w:bottom w:val="single" w:sz="6" w:space="0" w:color="000000"/>
              <w:right w:val="single" w:sz="6" w:space="0" w:color="000000"/>
            </w:tcBorders>
            <w:shd w:fill="0BC11C" w:val="clear"/>
            <w:tcMar>
              <w:bottom w:w="120" w:type="dxa"/>
              <w:right w:w="40" w:type="dxa"/>
            </w:tcMar>
            <w:vAlign w:val="center"/>
          </w:tcPr>
          <w:p>
            <w:pPr>
              <w:pStyle w:val="TableContents"/>
              <w:bidi w:val="0"/>
              <w:spacing w:before="0" w:after="283"/>
              <w:jc w:val="right"/>
              <w:rPr>
                <w:b/>
                <w:color w:val="FFFFFF"/>
              </w:rPr>
            </w:pPr>
            <w:r>
              <w:rPr>
                <w:b/>
                <w:color w:val="FFFFFF"/>
              </w:rPr>
              <w:t>August 2023 Award Value</w:t>
            </w:r>
          </w:p>
        </w:tc>
      </w:tr>
      <w:tr>
        <w:trPr/>
        <w:tc>
          <w:tcPr>
            <w:tcW w:w="1190"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Jill McConnell</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750"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right"/>
              <w:rPr/>
            </w:pPr>
            <w:r>
              <w:rPr/>
              <w:t>$900,000</w:t>
            </w:r>
          </w:p>
        </w:tc>
      </w:tr>
      <w:tr>
        <w:trPr/>
        <w:tc>
          <w:tcPr>
            <w:tcW w:w="1190"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sz w:val="18"/>
              </w:rPr>
            </w:pPr>
            <w:r>
              <w:rPr>
                <w:rFonts w:ascii="ARIAL" w:hAnsi="ARIAL"/>
                <w:sz w:val="18"/>
              </w:rPr>
              <w:t>Mark Morais</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2750"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right"/>
              <w:rPr/>
            </w:pPr>
            <w:r>
              <w:rPr/>
              <w:t>$900,000</w:t>
            </w:r>
          </w:p>
        </w:tc>
      </w:tr>
    </w:tbl>
    <w:p>
      <w:pPr>
        <w:pStyle w:val="TextBody"/>
        <w:bidi w:val="0"/>
        <w:spacing w:before="360" w:after="0"/>
        <w:jc w:val="left"/>
        <w:rPr>
          <w:rFonts w:ascii="ARIAL" w:hAnsi="ARIAL"/>
          <w:b/>
          <w:sz w:val="20"/>
        </w:rPr>
      </w:pPr>
      <w:r>
        <w:rPr>
          <w:rFonts w:ascii="ARIAL" w:hAnsi="ARIAL"/>
          <w:b/>
          <w:sz w:val="20"/>
        </w:rPr>
        <w:t xml:space="preserve">August 2023 Long-Term Incentive Award in Connection to Mr. Pike’s Employment Agreement </w:t>
      </w:r>
    </w:p>
    <w:p>
      <w:pPr>
        <w:pStyle w:val="TextBody"/>
        <w:bidi w:val="0"/>
        <w:spacing w:before="80" w:after="0"/>
        <w:jc w:val="left"/>
        <w:rPr>
          <w:rFonts w:ascii="ARIAL" w:hAnsi="ARIAL"/>
          <w:sz w:val="18"/>
        </w:rPr>
      </w:pPr>
      <w:r>
        <w:rPr>
          <w:rFonts w:ascii="ARIAL" w:hAnsi="ARIAL"/>
          <w:sz w:val="18"/>
        </w:rPr>
        <w:t xml:space="preserve">In connection with Mr. Pike’s employment agreement between Labcorp and Mr. Pike, following completion of the Spin and after ratification and modification of the split of equity between RSUs and options by the Fortrea Board, Mr. Pike received Fortrea equity awards with an aggregate grant date value of $20,000,000 (the “Initial Fortrea Equity Grant”) on August 17, 2023. These awards were composed of 50% RSUs and 50% stock options, and in each case will vest equally in three installments with the first two installments occurring on the first and second anniversary of the grant date, respectively, and the third occurring on January 9, 2026. Following the expiration of the initial term of the employment agreement the Fortrea Board will determine any additional equity awards, provided that the first equity award following the expiration of the initial term of the employment agreement will have an aggregate target grant date fair value of approximately $8,000,000 (subject to rounding). </w:t>
      </w:r>
    </w:p>
    <w:p>
      <w:pPr>
        <w:pStyle w:val="TextBody"/>
        <w:bidi w:val="0"/>
        <w:spacing w:before="360" w:after="0"/>
        <w:jc w:val="left"/>
        <w:rPr>
          <w:rFonts w:ascii="ARIAL" w:hAnsi="ARIAL"/>
          <w:b/>
          <w:i/>
          <w:sz w:val="20"/>
        </w:rPr>
      </w:pPr>
      <w:r>
        <w:rPr>
          <w:rFonts w:ascii="ARIAL" w:hAnsi="ARIAL"/>
          <w:b/>
          <w:i/>
          <w:sz w:val="20"/>
        </w:rPr>
        <w:t xml:space="preserve">Retirement Plans, Deferred Compensation Plan Perquisites: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Retirement Plans:</w:t>
            </w:r>
            <w:r>
              <w:rPr>
                <w:rFonts w:ascii="ARIAL" w:hAnsi="ARIAL"/>
                <w:sz w:val="18"/>
              </w:rPr>
              <w:t xml:space="preserve"> Our NEOs were eligible to participate in both Labcorp and Fortrea’s 401(k) plan, which are defined contribution retirement savings plans. Participation in the plan is available to substantially all eligible US-based employees, including executives.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Deferred compensation Plan:</w:t>
            </w:r>
            <w:r>
              <w:rPr>
                <w:rFonts w:ascii="ARIAL" w:hAnsi="ARIAL"/>
                <w:sz w:val="18"/>
              </w:rPr>
              <w:t xml:space="preserve"> At the end of 2021, Labcorp froze both the Laboratory Corporation of America Holdings Deferred Compensation Plan and the Covance Deferred Compensation Plan and established a new plan, the Laboratory Corporation of America Holdings Nonqualified Deferred Compensation Plan (“Labcorp NQDC Plan”), effective January 1, 2022. Fortrea adopted the Fortrea Inc. Nonqualified Deferred Compensation Plan (“Fortrea NQDC Plan”) and assumed the obligations and liabilities associated with Company participants in the Labcorp NQDC Plan. The Fortrea NQDC Plan allows participants to defer up to 50% of their base salary and up to 90% of their annual incentive or bonus. The Fortrea NQDC Plan provides for similar investment options as our 401(k) plan. The Fortrea NQDC Plan does not provide any match on employee contributions. The Fortrea NQDC Plan accounts are paid based on the participant’s selection at the time of the deferral, subject to the requirements of Section 409A of the Internal Revenue Code and may be paid in a lump sum, or a series of annual installments. Participants may elect to receive these distributions upon separation from service or upon the occurrence of one or more specified dates. All Fortrea NQDC Plan accounts are considered unfunded general contractual obligations and are subject to the claims of our general, unsecured creditors.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36</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5"/>
        <w:gridCol w:w="60"/>
        <w:gridCol w:w="10020"/>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0"/>
              <w:jc w:val="left"/>
              <w:rPr>
                <w:rFonts w:ascii="ARIAL" w:hAnsi="ARIAL"/>
                <w:sz w:val="18"/>
              </w:rPr>
            </w:pPr>
            <w:r>
              <w:rPr>
                <w:rFonts w:ascii="ARIAL" w:hAnsi="ARIAL"/>
                <w:b/>
                <w:sz w:val="18"/>
              </w:rPr>
              <w:t>Perquisites:</w:t>
            </w:r>
            <w:r>
              <w:rPr>
                <w:rFonts w:ascii="ARIAL" w:hAnsi="ARIAL"/>
                <w:sz w:val="18"/>
              </w:rPr>
              <w:t xml:space="preserve"> Our NEOs were eligible to receive a reimbursement for financial and tax planning services, long-term disability, and a wellness exam in 2023, all of which were determined by Fortrea to be appropriate benefits that help ensure that Fortrea executives maintain appropriate fiscal and physical health, which contributes to stable executive leadership for Fortrea. Fortrea believes that the perquisites it provides are appropriate and beneficial to Fortrea. The maximum reimbursement allowed is $20,000 for financial and tax planning services and $1,500 for the wellness exam. Enhanced long-term disability is made available to all employees as a voluntary benefit, and in the case of the NEOs is paid for by the Company. </w:t>
            </w:r>
          </w:p>
        </w:tc>
      </w:tr>
    </w:tbl>
    <w:p>
      <w:pPr>
        <w:pStyle w:val="TextBody"/>
        <w:bidi w:val="0"/>
        <w:spacing w:before="360" w:after="0"/>
        <w:jc w:val="left"/>
        <w:rPr>
          <w:rFonts w:ascii="ARIAL" w:hAnsi="ARIAL"/>
          <w:b/>
          <w:i/>
          <w:sz w:val="20"/>
        </w:rPr>
      </w:pPr>
      <w:r>
        <w:rPr>
          <w:rFonts w:ascii="ARIAL" w:hAnsi="ARIAL"/>
          <w:b/>
          <w:i/>
          <w:sz w:val="20"/>
        </w:rPr>
        <w:t xml:space="preserve">No Tax Gross-Ups </w:t>
      </w:r>
    </w:p>
    <w:p>
      <w:pPr>
        <w:pStyle w:val="TextBody"/>
        <w:bidi w:val="0"/>
        <w:spacing w:before="80" w:after="0"/>
        <w:jc w:val="left"/>
        <w:rPr>
          <w:rFonts w:ascii="ARIAL" w:hAnsi="ARIAL"/>
          <w:sz w:val="18"/>
        </w:rPr>
      </w:pPr>
      <w:r>
        <w:rPr>
          <w:rFonts w:ascii="ARIAL" w:hAnsi="ARIAL"/>
          <w:sz w:val="18"/>
        </w:rPr>
        <w:t xml:space="preserve">We do not make gross-up payments to cover our NEOs’ personal income taxes that may pertain to any of the compensation or perquisites paid or provided by our Company. </w:t>
      </w:r>
    </w:p>
    <w:p>
      <w:pPr>
        <w:pStyle w:val="TextBody"/>
        <w:bidi w:val="0"/>
        <w:spacing w:before="360" w:after="0"/>
        <w:jc w:val="left"/>
        <w:rPr>
          <w:rFonts w:ascii="ARIAL" w:hAnsi="ARIAL"/>
          <w:b/>
          <w:i/>
          <w:sz w:val="20"/>
        </w:rPr>
      </w:pPr>
      <w:r>
        <w:rPr>
          <w:rFonts w:ascii="ARIAL" w:hAnsi="ARIAL"/>
          <w:b/>
          <w:i/>
          <w:sz w:val="20"/>
        </w:rPr>
        <w:t xml:space="preserve">Insider Trading Policy </w:t>
      </w:r>
    </w:p>
    <w:p>
      <w:pPr>
        <w:pStyle w:val="TextBody"/>
        <w:bidi w:val="0"/>
        <w:spacing w:before="80" w:after="0"/>
        <w:jc w:val="left"/>
        <w:rPr>
          <w:rFonts w:ascii="ARIAL" w:hAnsi="ARIAL"/>
          <w:sz w:val="18"/>
        </w:rPr>
      </w:pPr>
      <w:r>
        <w:rPr>
          <w:rFonts w:ascii="ARIAL" w:hAnsi="ARIAL"/>
          <w:sz w:val="18"/>
        </w:rPr>
        <w:t xml:space="preserve">We have adopted an Insider Trading Policy governing the purchase, sale, and/or other dispositions of our securities by directors, officers and employees. The policy is designed to promote compliance with insider trading laws, rules and regulations, and any listing standards applicable to us. </w:t>
      </w:r>
    </w:p>
    <w:p>
      <w:pPr>
        <w:pStyle w:val="TextBody"/>
        <w:bidi w:val="0"/>
        <w:spacing w:before="360" w:after="0"/>
        <w:jc w:val="left"/>
        <w:rPr>
          <w:rFonts w:ascii="ARIAL" w:hAnsi="ARIAL"/>
          <w:b/>
          <w:i/>
          <w:sz w:val="20"/>
        </w:rPr>
      </w:pPr>
      <w:r>
        <w:rPr>
          <w:rFonts w:ascii="ARIAL" w:hAnsi="ARIAL"/>
          <w:b/>
          <w:i/>
          <w:sz w:val="20"/>
        </w:rPr>
        <w:t xml:space="preserve">No Pledging or Hedging Fortrea Securities </w:t>
      </w:r>
    </w:p>
    <w:p>
      <w:pPr>
        <w:pStyle w:val="TextBody"/>
        <w:bidi w:val="0"/>
        <w:spacing w:before="80" w:after="0"/>
        <w:jc w:val="left"/>
        <w:rPr>
          <w:rFonts w:ascii="ARIAL" w:hAnsi="ARIAL"/>
          <w:sz w:val="18"/>
        </w:rPr>
      </w:pPr>
      <w:r>
        <w:rPr>
          <w:rFonts w:ascii="ARIAL" w:hAnsi="ARIAL"/>
          <w:sz w:val="18"/>
        </w:rPr>
        <w:t xml:space="preserve">The Fortrea Holdings Inc. Insider Trading Policy prohibits margin purchases of Fortrea securities. Pledging the Company’s securities as collateral to secure loans is prohibited by this policy. This prohibition means, among other things, that Fortrea employees cannot hold the Company’s securities in a “margin account” (which would allow them to borrow against their holdings to buy securities). The policy also prohibits all hedging transactions involving Fortrea’s securities, including, without limitation, zero-cost collars and forward sale contracts. </w:t>
      </w:r>
    </w:p>
    <w:p>
      <w:pPr>
        <w:pStyle w:val="TextBody"/>
        <w:bidi w:val="0"/>
        <w:spacing w:before="360" w:after="0"/>
        <w:jc w:val="left"/>
        <w:rPr>
          <w:rFonts w:ascii="ARIAL" w:hAnsi="ARIAL"/>
          <w:b/>
          <w:i/>
          <w:sz w:val="20"/>
        </w:rPr>
      </w:pPr>
      <w:r>
        <w:rPr>
          <w:rFonts w:ascii="ARIAL" w:hAnsi="ARIAL"/>
          <w:b/>
          <w:i/>
          <w:sz w:val="20"/>
        </w:rPr>
        <w:t xml:space="preserve">Clawback Policy </w:t>
      </w:r>
    </w:p>
    <w:p>
      <w:pPr>
        <w:pStyle w:val="TextBody"/>
        <w:bidi w:val="0"/>
        <w:spacing w:before="80" w:after="0"/>
        <w:jc w:val="left"/>
        <w:rPr>
          <w:rFonts w:ascii="ARIAL" w:hAnsi="ARIAL"/>
          <w:sz w:val="18"/>
        </w:rPr>
      </w:pPr>
      <w:r>
        <w:rPr>
          <w:rFonts w:ascii="ARIAL" w:hAnsi="ARIAL"/>
          <w:sz w:val="18"/>
        </w:rPr>
        <w:t xml:space="preserve">Following the Spin, the Fortrea MDCC adopted a new clawback policy to comply with the requirements of Section 954 of the Dodd-Frank Act and the related rules and regulations promulgated by the SEC and Nasdaq Listing Standards governing clawbacks and executive compensation (the “Clawback Policy”). Under the Clawback Policy, which applies to any current or former Section 16 officers of the Company, the Company is required to recover any incentive-based compensation received during the applicable period by the covered officers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unless one of the limited exceptions under the Clawback Policy applies. We also adopted a separate, broader misconduct compensation recoupment policy. </w:t>
      </w:r>
    </w:p>
    <w:p>
      <w:pPr>
        <w:pStyle w:val="TextBody"/>
        <w:bidi w:val="0"/>
        <w:spacing w:before="360" w:after="0"/>
        <w:jc w:val="left"/>
        <w:rPr>
          <w:rFonts w:ascii="ARIAL" w:hAnsi="ARIAL"/>
          <w:b/>
          <w:i/>
          <w:sz w:val="20"/>
        </w:rPr>
      </w:pPr>
      <w:r>
        <w:rPr>
          <w:rFonts w:ascii="ARIAL" w:hAnsi="ARIAL"/>
          <w:b/>
          <w:i/>
          <w:sz w:val="20"/>
        </w:rPr>
        <w:t xml:space="preserve">Termination and Change-in-Control Payments </w:t>
      </w:r>
    </w:p>
    <w:p>
      <w:pPr>
        <w:pStyle w:val="TextBody"/>
        <w:bidi w:val="0"/>
        <w:spacing w:before="80" w:after="0"/>
        <w:jc w:val="left"/>
        <w:rPr>
          <w:rFonts w:ascii="ARIAL" w:hAnsi="ARIAL"/>
          <w:sz w:val="18"/>
        </w:rPr>
      </w:pPr>
      <w:r>
        <w:rPr>
          <w:rFonts w:ascii="ARIAL" w:hAnsi="ARIAL"/>
          <w:sz w:val="18"/>
        </w:rPr>
        <w:t xml:space="preserve">Ms. McConnell and Mr. Morais are covered by Fortrea’s Master Senior Executive Severance Plan (the “Executive Severance Plan”) that provides participants with financial protection in circumstances involving a qualifying termination. For additional information on the termination benefits under the Executive Severance Plan, see “Potential Payments Upon Termination or Change in Control.” In addition, the Omnibus Incentive Plan provides that if awards are assumed or substituted in connection with a change in control, only a qualifying termination event will result in accelerated vesting (i.e., “double trigger”). The plan does not provide for any tax gross-ups. Fortrea believes these provisions are consistent with current market practice. </w:t>
      </w:r>
    </w:p>
    <w:p>
      <w:pPr>
        <w:pStyle w:val="TextBody"/>
        <w:bidi w:val="0"/>
        <w:spacing w:before="360" w:after="0"/>
        <w:jc w:val="left"/>
        <w:rPr>
          <w:rFonts w:ascii="ARIAL" w:hAnsi="ARIAL"/>
          <w:b/>
          <w:i/>
          <w:sz w:val="20"/>
        </w:rPr>
      </w:pPr>
      <w:r>
        <w:rPr>
          <w:rFonts w:ascii="ARIAL" w:hAnsi="ARIAL"/>
          <w:b/>
          <w:i/>
          <w:sz w:val="20"/>
        </w:rPr>
        <w:t xml:space="preserve">Stock Ownership Guidelines </w:t>
      </w:r>
    </w:p>
    <w:p>
      <w:pPr>
        <w:pStyle w:val="TextBody"/>
        <w:bidi w:val="0"/>
        <w:spacing w:before="80" w:after="0"/>
        <w:jc w:val="left"/>
        <w:rPr>
          <w:rFonts w:ascii="ARIAL" w:hAnsi="ARIAL"/>
          <w:sz w:val="18"/>
        </w:rPr>
      </w:pPr>
      <w:r>
        <w:rPr>
          <w:rFonts w:ascii="ARIAL" w:hAnsi="ARIAL"/>
          <w:sz w:val="18"/>
        </w:rPr>
        <w:t xml:space="preserve">The Fortrea Board believes that requiring executive management to maintain a significant personal level of stock ownership ensures that each executive officer is financially aligned with the interests of Fortrea’s stockholders. The required level of stock ownership will be adjusted if the executive’s position changes and the new position has a different ownership requirement. An executive is required to maintain this level of stock ownership throughout his or her tenure with Fortrea until near retirement, as explained below. The ownership requirements for each position are: </w:t>
      </w:r>
    </w:p>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125"/>
        <w:gridCol w:w="60"/>
        <w:gridCol w:w="489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0"/>
              <w:jc w:val="left"/>
              <w:rPr>
                <w:rFonts w:ascii="ARIAL" w:hAnsi="ARIAL"/>
                <w:sz w:val="18"/>
              </w:rPr>
            </w:pPr>
            <w:r>
              <w:rPr>
                <w:rFonts w:ascii="ARIAL" w:hAnsi="ARIAL"/>
                <w:sz w:val="18"/>
              </w:rPr>
              <w:t xml:space="preserve">Chief Executive Officer:       6x annual base salary </w:t>
            </w:r>
          </w:p>
        </w:tc>
      </w:tr>
    </w:tbl>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125"/>
        <w:gridCol w:w="60"/>
        <w:gridCol w:w="4865"/>
      </w:tblGrid>
      <w:tr>
        <w:trPr/>
        <w:tc>
          <w:tcPr>
            <w:tcW w:w="12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65" w:type="dxa"/>
            <w:tcBorders/>
            <w:vAlign w:val="center"/>
          </w:tcPr>
          <w:p>
            <w:pPr>
              <w:pStyle w:val="TableContents"/>
              <w:bidi w:val="0"/>
              <w:spacing w:before="0" w:after="0"/>
              <w:jc w:val="left"/>
              <w:rPr>
                <w:rFonts w:ascii="ARIAL" w:hAnsi="ARIAL"/>
                <w:sz w:val="18"/>
              </w:rPr>
            </w:pPr>
            <w:r>
              <w:rPr>
                <w:rFonts w:ascii="ARIAL" w:hAnsi="ARIAL"/>
                <w:sz w:val="18"/>
              </w:rPr>
              <w:t xml:space="preserve">Other NEOs:             3x annual base salary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37</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Until the required level of ownership is met, an executive is required to hold 50 percent of any shares of Fortrea Common Stock acquired upon the lapse of restrictions on any stock grant and upon the exercise of stock options, net of taxes and shares used to pay the exercise price. If an executive fails to meet or show progress towards satisfying these requirements, the Fortrea MDCC may reduce future equity grants or other incentive compensation for that executive. </w:t>
      </w:r>
    </w:p>
    <w:p>
      <w:pPr>
        <w:pStyle w:val="TextBody"/>
        <w:bidi w:val="0"/>
        <w:spacing w:before="360" w:after="0"/>
        <w:jc w:val="left"/>
        <w:rPr>
          <w:rFonts w:ascii="ARIAL" w:hAnsi="ARIAL"/>
          <w:b/>
          <w:sz w:val="20"/>
        </w:rPr>
      </w:pPr>
      <w:r>
        <w:rPr>
          <w:rFonts w:ascii="ARIAL" w:hAnsi="ARIAL"/>
          <w:b/>
          <w:sz w:val="20"/>
        </w:rPr>
        <w:t xml:space="preserve">Definition of Non-GAAP Financial Measure </w:t>
      </w:r>
    </w:p>
    <w:p>
      <w:pPr>
        <w:pStyle w:val="TextBody"/>
        <w:bidi w:val="0"/>
        <w:spacing w:before="80" w:after="0"/>
        <w:jc w:val="left"/>
        <w:rPr>
          <w:rFonts w:ascii="ARIAL" w:hAnsi="ARIAL"/>
          <w:sz w:val="18"/>
        </w:rPr>
      </w:pPr>
      <w:r>
        <w:rPr>
          <w:rFonts w:ascii="ARIAL" w:hAnsi="ARIAL"/>
          <w:sz w:val="18"/>
        </w:rPr>
        <w:t xml:space="preserve">With respect to the references in this CD&amp;A to Adjusted EBITDA, this is a non-GAAP financial measure used to supplement our financial statements, which are based on GAAP. See Appendix A attached to this proxy statement for a reconciliation of Adjusted EBITDA against net income, which is a GAAP financial measure, along with cautionary information regarding the use of non-GAAP measures. </w:t>
      </w:r>
    </w:p>
    <w:p>
      <w:pPr>
        <w:pStyle w:val="TextBody"/>
        <w:bidi w:val="0"/>
        <w:spacing w:before="360" w:after="0"/>
        <w:jc w:val="left"/>
        <w:rPr>
          <w:rFonts w:ascii="ARIAL" w:hAnsi="ARIAL"/>
          <w:b/>
          <w:sz w:val="18"/>
        </w:rPr>
      </w:pPr>
      <w:r>
        <w:rPr>
          <w:rFonts w:ascii="ARIAL" w:hAnsi="ARIAL"/>
          <w:b/>
          <w:sz w:val="18"/>
        </w:rPr>
        <w:t xml:space="preserve">Compensation Risk Assessment </w:t>
      </w:r>
    </w:p>
    <w:p>
      <w:pPr>
        <w:pStyle w:val="TextBody"/>
        <w:bidi w:val="0"/>
        <w:spacing w:before="80" w:after="0"/>
        <w:jc w:val="left"/>
        <w:rPr>
          <w:rFonts w:ascii="ARIAL" w:hAnsi="ARIAL"/>
          <w:sz w:val="18"/>
        </w:rPr>
      </w:pPr>
      <w:r>
        <w:rPr>
          <w:rFonts w:ascii="ARIAL" w:hAnsi="ARIAL"/>
          <w:sz w:val="18"/>
        </w:rPr>
        <w:t xml:space="preserve">The Fortrea MDCC, with assistance from Pay Governance, reviewed our compensation programs with regard to risk management. In 2023, Pay Governance conducted an independent risk assessment of Fortrea’s programs. The Fortrea MDCC reviewed this analysis and determined that there are no practices or policies that are likely to lead to excessive risk-taking or have a material adverse effect on the Company. The Fortrea MDCC concluded that there is an appropriate balance between short-term and long-term compensation that incentivizes our executives to act in a manner that does not encourage excessive risk-taking. </w:t>
      </w:r>
    </w:p>
    <w:p>
      <w:pPr>
        <w:pStyle w:val="TextBody"/>
        <w:bidi w:val="0"/>
        <w:spacing w:before="360" w:after="0"/>
        <w:jc w:val="left"/>
        <w:rPr>
          <w:rFonts w:ascii="ARIAL" w:hAnsi="ARIAL"/>
          <w:b/>
          <w:sz w:val="18"/>
        </w:rPr>
      </w:pPr>
      <w:r>
        <w:rPr>
          <w:rFonts w:ascii="ARIAL" w:hAnsi="ARIAL"/>
          <w:b/>
          <w:sz w:val="18"/>
        </w:rPr>
        <w:t xml:space="preserve">Compensation Committee Report </w:t>
      </w:r>
    </w:p>
    <w:p>
      <w:pPr>
        <w:pStyle w:val="TextBody"/>
        <w:bidi w:val="0"/>
        <w:spacing w:before="160" w:after="0"/>
        <w:jc w:val="left"/>
        <w:rPr>
          <w:rFonts w:ascii="ARIAL" w:hAnsi="ARIAL"/>
          <w:sz w:val="18"/>
        </w:rPr>
      </w:pPr>
      <w:r>
        <w:rPr>
          <w:rFonts w:ascii="ARIAL" w:hAnsi="ARIAL"/>
          <w:sz w:val="18"/>
        </w:rPr>
        <w:t xml:space="preserve">We, the Management Development and Compensation Committee of the Board of Directors, met with management to review and discuss the Compensation Discussion and Analysis set forth above, and based upon the review and discussions, we recommended to the Board that the Compensation Discussion and Analysis be included in the Annual Report on Form 10-K and this proxy statement. This report is provided by the following independent directors, who comprise the committee. </w:t>
      </w:r>
    </w:p>
    <w:p>
      <w:pPr>
        <w:pStyle w:val="TextBody"/>
        <w:bidi w:val="0"/>
        <w:spacing w:before="0" w:after="0"/>
        <w:jc w:val="left"/>
        <w:rPr/>
      </w:pPr>
      <w:r>
        <w:rPr/>
        <w:t> </w:t>
      </w:r>
    </w:p>
    <w:tbl>
      <w:tblPr>
        <w:tblW w:w="5675" w:type="dxa"/>
        <w:jc w:val="left"/>
        <w:tblInd w:w="0" w:type="dxa"/>
        <w:tblLayout w:type="fixed"/>
        <w:tblCellMar>
          <w:top w:w="0" w:type="dxa"/>
          <w:left w:w="0" w:type="dxa"/>
          <w:bottom w:w="0" w:type="dxa"/>
          <w:right w:w="0" w:type="dxa"/>
        </w:tblCellMar>
      </w:tblPr>
      <w:tblGrid>
        <w:gridCol w:w="5675"/>
      </w:tblGrid>
      <w:tr>
        <w:trPr/>
        <w:tc>
          <w:tcPr>
            <w:tcW w:w="5675" w:type="dxa"/>
            <w:tcBorders/>
            <w:vAlign w:val="center"/>
          </w:tcPr>
          <w:p>
            <w:pPr>
              <w:pStyle w:val="TableContents"/>
              <w:bidi w:val="0"/>
              <w:spacing w:before="0" w:after="283"/>
              <w:jc w:val="left"/>
              <w:rPr>
                <w:sz w:val="4"/>
                <w:szCs w:val="4"/>
              </w:rPr>
            </w:pPr>
            <w:r>
              <w:rPr>
                <w:sz w:val="4"/>
                <w:szCs w:val="4"/>
              </w:rPr>
            </w:r>
          </w:p>
        </w:tc>
      </w:tr>
      <w:tr>
        <w:trPr/>
        <w:tc>
          <w:tcPr>
            <w:tcW w:w="5675" w:type="dxa"/>
            <w:tcBorders/>
            <w:vAlign w:val="center"/>
          </w:tcPr>
          <w:p>
            <w:pPr>
              <w:pStyle w:val="TableContents"/>
              <w:bidi w:val="0"/>
              <w:spacing w:before="0" w:after="283"/>
              <w:jc w:val="left"/>
              <w:rPr>
                <w:b/>
                <w:i/>
              </w:rPr>
            </w:pPr>
            <w:r>
              <w:rPr>
                <w:b/>
                <w:i/>
              </w:rPr>
              <w:t>Management Development and Compensation Committee</w:t>
            </w:r>
          </w:p>
        </w:tc>
      </w:tr>
      <w:tr>
        <w:trPr/>
        <w:tc>
          <w:tcPr>
            <w:tcW w:w="5675" w:type="dxa"/>
            <w:tcBorders/>
            <w:vAlign w:val="center"/>
          </w:tcPr>
          <w:p>
            <w:pPr>
              <w:pStyle w:val="TableContents"/>
              <w:bidi w:val="0"/>
              <w:spacing w:before="0" w:after="283"/>
              <w:jc w:val="left"/>
              <w:rPr/>
            </w:pPr>
            <w:r>
              <w:rPr/>
              <w:t>R. Andrew Eckert (Chair)</w:t>
            </w:r>
          </w:p>
        </w:tc>
      </w:tr>
      <w:tr>
        <w:trPr/>
        <w:tc>
          <w:tcPr>
            <w:tcW w:w="5675" w:type="dxa"/>
            <w:tcBorders/>
            <w:vAlign w:val="center"/>
          </w:tcPr>
          <w:p>
            <w:pPr>
              <w:pStyle w:val="TableContents"/>
              <w:bidi w:val="0"/>
              <w:spacing w:before="0" w:after="283"/>
              <w:jc w:val="left"/>
              <w:rPr/>
            </w:pPr>
            <w:r>
              <w:rPr/>
              <w:t>Betty Larson</w:t>
            </w:r>
          </w:p>
        </w:tc>
      </w:tr>
      <w:tr>
        <w:trPr/>
        <w:tc>
          <w:tcPr>
            <w:tcW w:w="5675" w:type="dxa"/>
            <w:tcBorders/>
            <w:vAlign w:val="center"/>
          </w:tcPr>
          <w:p>
            <w:pPr>
              <w:pStyle w:val="TableContents"/>
              <w:bidi w:val="0"/>
              <w:spacing w:before="0" w:after="283"/>
              <w:jc w:val="left"/>
              <w:rPr/>
            </w:pPr>
            <w:r>
              <w:rPr/>
              <w:t>Edward Pesicka</w:t>
            </w:r>
          </w:p>
        </w:tc>
      </w:tr>
      <w:tr>
        <w:trPr/>
        <w:tc>
          <w:tcPr>
            <w:tcW w:w="5675" w:type="dxa"/>
            <w:tcBorders/>
            <w:vAlign w:val="center"/>
          </w:tcPr>
          <w:p>
            <w:pPr>
              <w:pStyle w:val="TableContents"/>
              <w:bidi w:val="0"/>
              <w:spacing w:before="0" w:after="283"/>
              <w:jc w:val="left"/>
              <w:rPr/>
            </w:pPr>
            <w:r>
              <w:rPr/>
              <w:t>David Smith</w:t>
            </w:r>
          </w:p>
        </w:tc>
      </w:tr>
    </w:tbl>
    <w:p>
      <w:pPr>
        <w:pStyle w:val="TextBody"/>
        <w:bidi w:val="0"/>
        <w:spacing w:before="160" w:after="0"/>
        <w:jc w:val="left"/>
        <w:rPr>
          <w:rFonts w:ascii="ARIAL" w:hAnsi="ARIAL"/>
          <w:sz w:val="18"/>
        </w:rPr>
      </w:pPr>
      <w:r>
        <w:rPr>
          <w:rFonts w:ascii="ARIAL" w:hAnsi="ARIAL"/>
          <w:sz w:val="18"/>
        </w:rPr>
        <w:t xml:space="preserve">This Compensation Committee Report shall not be deemed to be “soliciting material,” or to be “filed” with the Securities and Exchange Commission or subject to Regulation 14A or 14C, or to the liabilities of Section 18 of the Securities Exchange Act of 1934, as amended, except to the extent that Fortrea specifically requests that the information be treated as soliciting material or specifically incorporates it by reference into a document filed under the Securities Act of 1933, as amended, or the Exchange Act.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38</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sz w:val="20"/>
        </w:rPr>
      </w:pPr>
      <w:bookmarkStart w:id="37" w:name="toc814840_33"/>
      <w:bookmarkEnd w:id="37"/>
      <w:r>
        <w:rPr>
          <w:rFonts w:ascii="ARIAL" w:hAnsi="ARIAL"/>
          <w:b/>
          <w:sz w:val="20"/>
        </w:rPr>
        <w:t>Summary Compensation Table</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The following table sets forth the portion of compensation paid to the NEOs that is attributable to services performed during the fiscal years ended December 31, 2023, and 2022. As discussed in this proxy statement, we became an independent public company effective June 30, 2023. The information provided below includes compensation earned by our NEOs for services provided to Labcorp and us prior to the Spin. </w:t>
      </w:r>
    </w:p>
    <w:p>
      <w:pPr>
        <w:pStyle w:val="TextBody"/>
        <w:bidi w:val="0"/>
        <w:spacing w:before="0" w:after="0"/>
        <w:jc w:val="left"/>
        <w:rPr/>
      </w:pPr>
      <w:r>
        <w:rPr/>
        <w:t> </w:t>
      </w:r>
    </w:p>
    <w:tbl>
      <w:tblPr>
        <w:tblW w:w="11440" w:type="dxa"/>
        <w:jc w:val="left"/>
        <w:tblInd w:w="0" w:type="dxa"/>
        <w:tblLayout w:type="fixed"/>
        <w:tblCellMar>
          <w:top w:w="0" w:type="dxa"/>
          <w:left w:w="0" w:type="dxa"/>
          <w:bottom w:w="0" w:type="dxa"/>
          <w:right w:w="0" w:type="dxa"/>
        </w:tblCellMar>
      </w:tblPr>
      <w:tblGrid>
        <w:gridCol w:w="1565"/>
        <w:gridCol w:w="60"/>
        <w:gridCol w:w="60"/>
        <w:gridCol w:w="500"/>
        <w:gridCol w:w="60"/>
        <w:gridCol w:w="60"/>
        <w:gridCol w:w="140"/>
        <w:gridCol w:w="980"/>
        <w:gridCol w:w="60"/>
        <w:gridCol w:w="60"/>
        <w:gridCol w:w="140"/>
        <w:gridCol w:w="800"/>
        <w:gridCol w:w="60"/>
        <w:gridCol w:w="60"/>
        <w:gridCol w:w="140"/>
        <w:gridCol w:w="1100"/>
        <w:gridCol w:w="60"/>
        <w:gridCol w:w="60"/>
        <w:gridCol w:w="140"/>
        <w:gridCol w:w="980"/>
        <w:gridCol w:w="60"/>
        <w:gridCol w:w="60"/>
        <w:gridCol w:w="186"/>
        <w:gridCol w:w="1304"/>
        <w:gridCol w:w="60"/>
        <w:gridCol w:w="60"/>
        <w:gridCol w:w="203"/>
        <w:gridCol w:w="987"/>
        <w:gridCol w:w="60"/>
        <w:gridCol w:w="60"/>
        <w:gridCol w:w="140"/>
        <w:gridCol w:w="1100"/>
        <w:gridCol w:w="75"/>
      </w:tblGrid>
      <w:tr>
        <w:trPr/>
        <w:tc>
          <w:tcPr>
            <w:tcW w:w="15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65" w:type="dxa"/>
            <w:tcBorders/>
            <w:shd w:fill="0BC11C" w:val="clear"/>
            <w:vAlign w:val="center"/>
          </w:tcPr>
          <w:p>
            <w:pPr>
              <w:pStyle w:val="TableContents"/>
              <w:bidi w:val="0"/>
              <w:spacing w:before="0" w:after="283"/>
              <w:jc w:val="left"/>
              <w:rPr>
                <w:sz w:val="4"/>
                <w:szCs w:val="4"/>
              </w:rPr>
            </w:pPr>
            <w:r>
              <w:rPr>
                <w:sz w:val="4"/>
                <w:szCs w:val="4"/>
              </w:rPr>
            </w:r>
          </w:p>
        </w:tc>
        <w:tc>
          <w:tcPr>
            <w:tcW w:w="680" w:type="dxa"/>
            <w:gridSpan w:val="4"/>
            <w:tcBorders/>
            <w:shd w:fill="0BC11C" w:val="clear"/>
            <w:vAlign w:val="center"/>
          </w:tcPr>
          <w:p>
            <w:pPr>
              <w:pStyle w:val="TableContents"/>
              <w:bidi w:val="0"/>
              <w:spacing w:before="0" w:after="283"/>
              <w:jc w:val="left"/>
              <w:rPr>
                <w:sz w:val="4"/>
                <w:szCs w:val="4"/>
              </w:rPr>
            </w:pPr>
            <w:r>
              <w:rPr>
                <w:sz w:val="4"/>
                <w:szCs w:val="4"/>
              </w:rPr>
            </w:r>
          </w:p>
        </w:tc>
        <w:tc>
          <w:tcPr>
            <w:tcW w:w="1240" w:type="dxa"/>
            <w:gridSpan w:val="4"/>
            <w:tcBorders/>
            <w:shd w:fill="0BC11C" w:val="clear"/>
            <w:vAlign w:val="center"/>
          </w:tcPr>
          <w:p>
            <w:pPr>
              <w:pStyle w:val="TableContents"/>
              <w:bidi w:val="0"/>
              <w:spacing w:before="0" w:after="283"/>
              <w:jc w:val="left"/>
              <w:rPr>
                <w:sz w:val="4"/>
                <w:szCs w:val="4"/>
              </w:rPr>
            </w:pPr>
            <w:r>
              <w:rPr>
                <w:sz w:val="4"/>
                <w:szCs w:val="4"/>
              </w:rPr>
            </w:r>
          </w:p>
        </w:tc>
        <w:tc>
          <w:tcPr>
            <w:tcW w:w="1060" w:type="dxa"/>
            <w:gridSpan w:val="4"/>
            <w:tcBorders/>
            <w:shd w:fill="0BC11C" w:val="clear"/>
            <w:vAlign w:val="center"/>
          </w:tcPr>
          <w:p>
            <w:pPr>
              <w:pStyle w:val="TableContents"/>
              <w:bidi w:val="0"/>
              <w:spacing w:before="0" w:after="283"/>
              <w:jc w:val="left"/>
              <w:rPr>
                <w:sz w:val="4"/>
                <w:szCs w:val="4"/>
              </w:rPr>
            </w:pPr>
            <w:r>
              <w:rPr>
                <w:sz w:val="4"/>
                <w:szCs w:val="4"/>
              </w:rPr>
            </w:r>
          </w:p>
        </w:tc>
        <w:tc>
          <w:tcPr>
            <w:tcW w:w="1360" w:type="dxa"/>
            <w:gridSpan w:val="4"/>
            <w:tcBorders/>
            <w:shd w:fill="0BC11C" w:val="clear"/>
            <w:vAlign w:val="center"/>
          </w:tcPr>
          <w:p>
            <w:pPr>
              <w:pStyle w:val="TableContents"/>
              <w:bidi w:val="0"/>
              <w:spacing w:before="0" w:after="283"/>
              <w:jc w:val="left"/>
              <w:rPr>
                <w:sz w:val="4"/>
                <w:szCs w:val="4"/>
              </w:rPr>
            </w:pPr>
            <w:r>
              <w:rPr>
                <w:sz w:val="4"/>
                <w:szCs w:val="4"/>
              </w:rPr>
            </w:r>
          </w:p>
        </w:tc>
        <w:tc>
          <w:tcPr>
            <w:tcW w:w="1240" w:type="dxa"/>
            <w:gridSpan w:val="4"/>
            <w:tcBorders/>
            <w:shd w:fill="0BC11C" w:val="clear"/>
            <w:vAlign w:val="center"/>
          </w:tcPr>
          <w:p>
            <w:pPr>
              <w:pStyle w:val="TableContents"/>
              <w:bidi w:val="0"/>
              <w:spacing w:before="0" w:after="283"/>
              <w:jc w:val="left"/>
              <w:rPr>
                <w:sz w:val="4"/>
                <w:szCs w:val="4"/>
              </w:rPr>
            </w:pPr>
            <w:r>
              <w:rPr>
                <w:sz w:val="4"/>
                <w:szCs w:val="4"/>
              </w:rPr>
            </w:r>
          </w:p>
        </w:tc>
        <w:tc>
          <w:tcPr>
            <w:tcW w:w="1610" w:type="dxa"/>
            <w:gridSpan w:val="4"/>
            <w:tcBorders/>
            <w:shd w:fill="0BC11C" w:val="clear"/>
            <w:vAlign w:val="center"/>
          </w:tcPr>
          <w:p>
            <w:pPr>
              <w:pStyle w:val="TableContents"/>
              <w:bidi w:val="0"/>
              <w:spacing w:before="0" w:after="283"/>
              <w:jc w:val="left"/>
              <w:rPr>
                <w:sz w:val="4"/>
                <w:szCs w:val="4"/>
              </w:rPr>
            </w:pPr>
            <w:r>
              <w:rPr>
                <w:sz w:val="4"/>
                <w:szCs w:val="4"/>
              </w:rPr>
            </w:r>
          </w:p>
        </w:tc>
        <w:tc>
          <w:tcPr>
            <w:tcW w:w="1310" w:type="dxa"/>
            <w:gridSpan w:val="4"/>
            <w:tcBorders/>
            <w:shd w:fill="0BC11C" w:val="clear"/>
            <w:vAlign w:val="center"/>
          </w:tcPr>
          <w:p>
            <w:pPr>
              <w:pStyle w:val="TableContents"/>
              <w:bidi w:val="0"/>
              <w:spacing w:before="0" w:after="283"/>
              <w:jc w:val="left"/>
              <w:rPr>
                <w:sz w:val="4"/>
                <w:szCs w:val="4"/>
              </w:rPr>
            </w:pPr>
            <w:r>
              <w:rPr>
                <w:sz w:val="4"/>
                <w:szCs w:val="4"/>
              </w:rPr>
            </w:r>
          </w:p>
        </w:tc>
        <w:tc>
          <w:tcPr>
            <w:tcW w:w="1375" w:type="dxa"/>
            <w:gridSpan w:val="4"/>
            <w:tcBorders/>
            <w:shd w:fill="0BC11C" w:val="clear"/>
            <w:vAlign w:val="center"/>
          </w:tcPr>
          <w:p>
            <w:pPr>
              <w:pStyle w:val="TableContents"/>
              <w:bidi w:val="0"/>
              <w:spacing w:before="0" w:after="283"/>
              <w:jc w:val="left"/>
              <w:rPr>
                <w:sz w:val="4"/>
                <w:szCs w:val="4"/>
              </w:rPr>
            </w:pPr>
            <w:r>
              <w:rPr>
                <w:sz w:val="4"/>
                <w:szCs w:val="4"/>
              </w:rPr>
            </w:r>
          </w:p>
        </w:tc>
      </w:tr>
      <w:tr>
        <w:trPr/>
        <w:tc>
          <w:tcPr>
            <w:tcW w:w="1565" w:type="dxa"/>
            <w:tcBorders/>
            <w:shd w:fill="0BC11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 and Principal</w:t>
            </w:r>
          </w:p>
          <w:p>
            <w:pPr>
              <w:pStyle w:val="TableContents"/>
              <w:bidi w:val="0"/>
              <w:spacing w:before="0" w:after="20"/>
              <w:jc w:val="left"/>
              <w:rPr>
                <w:rFonts w:ascii="ARIAL" w:hAnsi="ARIAL"/>
                <w:b/>
                <w:color w:val="FFFFFF"/>
                <w:sz w:val="16"/>
              </w:rPr>
            </w:pPr>
            <w:r>
              <w:rPr>
                <w:rFonts w:ascii="ARIAL" w:hAnsi="ARIAL"/>
                <w:b/>
                <w:color w:val="FFFFFF"/>
                <w:sz w:val="16"/>
              </w:rPr>
              <w:t>Position</w:t>
            </w:r>
          </w:p>
        </w:tc>
        <w:tc>
          <w:tcPr>
            <w:tcW w:w="60" w:type="dxa"/>
            <w:tcBorders/>
            <w:shd w:fill="0BC11C" w:val="clear"/>
            <w:vAlign w:val="center"/>
          </w:tcPr>
          <w:p>
            <w:pPr>
              <w:pStyle w:val="TableContents"/>
              <w:bidi w:val="0"/>
              <w:spacing w:before="0" w:after="283"/>
              <w:jc w:val="left"/>
              <w:rPr/>
            </w:pPr>
            <w:r>
              <w:rPr/>
              <w:t> </w:t>
            </w:r>
          </w:p>
        </w:tc>
        <w:tc>
          <w:tcPr>
            <w:tcW w:w="560" w:type="dxa"/>
            <w:gridSpan w:val="2"/>
            <w:tcBorders/>
            <w:shd w:fill="0BC11C" w:val="clear"/>
            <w:vAlign w:val="center"/>
          </w:tcPr>
          <w:p>
            <w:pPr>
              <w:pStyle w:val="TableContents"/>
              <w:bidi w:val="0"/>
              <w:spacing w:before="0" w:after="283"/>
              <w:jc w:val="center"/>
              <w:rPr>
                <w:b/>
                <w:color w:val="FFFFFF"/>
              </w:rPr>
            </w:pPr>
            <w:r>
              <w:rPr>
                <w:b/>
                <w:color w:val="FFFFFF"/>
              </w:rPr>
              <w:t>Year</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120" w:type="dxa"/>
            <w:gridSpan w:val="2"/>
            <w:tcBorders/>
            <w:shd w:fill="0BC11C"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Salary</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940" w:type="dxa"/>
            <w:gridSpan w:val="2"/>
            <w:tcBorders/>
            <w:shd w:fill="0BC11C" w:val="clear"/>
            <w:vAlign w:val="center"/>
          </w:tcPr>
          <w:p>
            <w:pPr>
              <w:pStyle w:val="TableContents"/>
              <w:bidi w:val="0"/>
              <w:spacing w:before="0" w:after="283"/>
              <w:jc w:val="center"/>
              <w:rPr>
                <w:b/>
                <w:color w:val="FFFFFF"/>
              </w:rPr>
            </w:pPr>
            <w:r>
              <w:rPr>
                <w:b/>
                <w:color w:val="FFFFFF"/>
              </w:rPr>
              <w:t>Bonus</w:t>
              <w:br/>
              <w:t>(2)($)</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240" w:type="dxa"/>
            <w:gridSpan w:val="2"/>
            <w:tcBorders/>
            <w:shd w:fill="0BC11C" w:val="clear"/>
            <w:vAlign w:val="center"/>
          </w:tcPr>
          <w:p>
            <w:pPr>
              <w:pStyle w:val="TableContents"/>
              <w:bidi w:val="0"/>
              <w:spacing w:before="0" w:after="283"/>
              <w:jc w:val="center"/>
              <w:rPr>
                <w:b/>
                <w:color w:val="FFFFFF"/>
              </w:rPr>
            </w:pPr>
            <w:r>
              <w:rPr>
                <w:b/>
                <w:color w:val="FFFFFF"/>
              </w:rPr>
              <w:t>Stock</w:t>
              <w:br/>
              <w:t>Awards</w:t>
              <w:br/>
              <w:t>(3)($)</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120" w:type="dxa"/>
            <w:gridSpan w:val="2"/>
            <w:tcBorders/>
            <w:shd w:fill="0BC11C" w:val="clear"/>
            <w:vAlign w:val="center"/>
          </w:tcPr>
          <w:p>
            <w:pPr>
              <w:pStyle w:val="TableContents"/>
              <w:bidi w:val="0"/>
              <w:spacing w:before="0" w:after="283"/>
              <w:jc w:val="center"/>
              <w:rPr>
                <w:b/>
                <w:color w:val="FFFFFF"/>
              </w:rPr>
            </w:pPr>
            <w:r>
              <w:rPr>
                <w:b/>
                <w:color w:val="FFFFFF"/>
              </w:rPr>
              <w:t>Option</w:t>
              <w:br/>
              <w:t>Awards</w:t>
              <w:br/>
              <w:t>(4)($)</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490" w:type="dxa"/>
            <w:gridSpan w:val="2"/>
            <w:tcBorders/>
            <w:shd w:fill="0BC11C" w:val="clear"/>
            <w:vAlign w:val="center"/>
          </w:tcPr>
          <w:p>
            <w:pPr>
              <w:pStyle w:val="TableContents"/>
              <w:bidi w:val="0"/>
              <w:spacing w:before="0" w:after="283"/>
              <w:jc w:val="center"/>
              <w:rPr>
                <w:b/>
                <w:color w:val="FFFFFF"/>
              </w:rPr>
            </w:pPr>
            <w:r>
              <w:rPr>
                <w:b/>
                <w:color w:val="FFFFFF"/>
              </w:rPr>
              <w:t>Non-Equity</w:t>
              <w:br/>
              <w:t>Incentive Plan</w:t>
              <w:br/>
              <w:t>Compensation</w:t>
              <w:br/>
              <w:t>(5)($)</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190" w:type="dxa"/>
            <w:gridSpan w:val="2"/>
            <w:tcBorders/>
            <w:shd w:fill="0BC11C"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All Other</w:t>
              <w:br/>
              <w:t>Compensation</w:t>
            </w:r>
          </w:p>
          <w:p>
            <w:pPr>
              <w:pStyle w:val="TableContents"/>
              <w:bidi w:val="0"/>
              <w:spacing w:before="0" w:after="20"/>
              <w:jc w:val="center"/>
              <w:rPr>
                <w:rFonts w:ascii="ARIAL" w:hAnsi="ARIAL"/>
                <w:b/>
                <w:color w:val="FFFFFF"/>
                <w:sz w:val="16"/>
              </w:rPr>
            </w:pPr>
            <w:r>
              <w:rPr>
                <w:rFonts w:ascii="ARIAL" w:hAnsi="ARIAL"/>
                <w:b/>
                <w:color w:val="FFFFFF"/>
                <w:sz w:val="16"/>
              </w:rPr>
              <w:t>(6)($)</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240" w:type="dxa"/>
            <w:gridSpan w:val="2"/>
            <w:tcBorders/>
            <w:shd w:fill="0BC11C" w:val="clear"/>
            <w:vAlign w:val="center"/>
          </w:tcPr>
          <w:p>
            <w:pPr>
              <w:pStyle w:val="TableContents"/>
              <w:bidi w:val="0"/>
              <w:spacing w:before="0" w:after="283"/>
              <w:jc w:val="center"/>
              <w:rPr>
                <w:b/>
                <w:color w:val="FFFFFF"/>
              </w:rPr>
            </w:pPr>
            <w:r>
              <w:rPr>
                <w:b/>
                <w:color w:val="FFFFFF"/>
              </w:rPr>
              <w:t>Total ($)</w:t>
            </w:r>
          </w:p>
        </w:tc>
        <w:tc>
          <w:tcPr>
            <w:tcW w:w="75" w:type="dxa"/>
            <w:tcBorders/>
            <w:shd w:fill="0BC11C" w:val="clear"/>
            <w:vAlign w:val="center"/>
          </w:tcPr>
          <w:p>
            <w:pPr>
              <w:pStyle w:val="TableContents"/>
              <w:bidi w:val="0"/>
              <w:spacing w:before="0" w:after="283"/>
              <w:jc w:val="left"/>
              <w:rPr/>
            </w:pPr>
            <w:r>
              <w:rPr/>
              <w:t> </w:t>
            </w:r>
          </w:p>
        </w:tc>
      </w:tr>
      <w:tr>
        <w:trPr/>
        <w:tc>
          <w:tcPr>
            <w:tcW w:w="3485" w:type="dxa"/>
            <w:gridSpan w:val="9"/>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r>
      <w:tr>
        <w:trPr/>
        <w:tc>
          <w:tcPr>
            <w:tcW w:w="3425" w:type="dxa"/>
            <w:gridSpan w:val="8"/>
            <w:tcBorders/>
            <w:vAlign w:val="center"/>
          </w:tcPr>
          <w:p>
            <w:pPr>
              <w:pStyle w:val="TableContents"/>
              <w:bidi w:val="0"/>
              <w:spacing w:before="0" w:after="0"/>
              <w:jc w:val="left"/>
              <w:rPr>
                <w:rFonts w:ascii="ARIAL" w:hAnsi="ARIAL"/>
                <w:sz w:val="18"/>
              </w:rPr>
            </w:pPr>
            <w:r>
              <w:rPr>
                <w:rFonts w:ascii="ARIAL" w:hAnsi="ARIAL"/>
                <w:sz w:val="18"/>
              </w:rPr>
              <w:t>Thomas Pike(1)</w:t>
            </w:r>
          </w:p>
          <w:p>
            <w:pPr>
              <w:pStyle w:val="TableContents"/>
              <w:bidi w:val="0"/>
              <w:spacing w:before="0" w:after="20"/>
              <w:jc w:val="left"/>
              <w:rPr>
                <w:rFonts w:ascii="ARIAL" w:hAnsi="ARIAL"/>
                <w:i/>
                <w:sz w:val="18"/>
              </w:rPr>
            </w:pPr>
            <w:r>
              <w:rPr>
                <w:rFonts w:ascii="ARIAL" w:hAnsi="ARIAL"/>
                <w:i/>
                <w:sz w:val="18"/>
              </w:rPr>
              <w:t>Chief Executive Officer</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pPr>
            <w:r>
              <w:rPr/>
              <w:t> </w:t>
            </w:r>
          </w:p>
        </w:tc>
        <w:tc>
          <w:tcPr>
            <w:tcW w:w="130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5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1,078,846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14,128,948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9,999,692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1,100,000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987" w:type="dxa"/>
            <w:tcBorders/>
            <w:vAlign w:val="center"/>
          </w:tcPr>
          <w:p>
            <w:pPr>
              <w:pStyle w:val="TableContents"/>
              <w:bidi w:val="0"/>
              <w:spacing w:before="0" w:after="283"/>
              <w:jc w:val="right"/>
              <w:rPr/>
            </w:pPr>
            <w:r>
              <w:rPr/>
              <w:t>12,909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26,320,395</w:t>
            </w:r>
          </w:p>
        </w:tc>
        <w:tc>
          <w:tcPr>
            <w:tcW w:w="75" w:type="dxa"/>
            <w:tcBorders/>
            <w:vAlign w:val="center"/>
          </w:tcPr>
          <w:p>
            <w:pPr>
              <w:pStyle w:val="TableContents"/>
              <w:bidi w:val="0"/>
              <w:spacing w:before="0" w:after="283"/>
              <w:jc w:val="left"/>
              <w:rPr/>
            </w:pPr>
            <w:r>
              <w:rPr/>
              <w:t> </w:t>
            </w:r>
          </w:p>
        </w:tc>
      </w:tr>
      <w:tr>
        <w:trPr/>
        <w:tc>
          <w:tcPr>
            <w:tcW w:w="4545" w:type="dxa"/>
            <w:gridSpan w:val="13"/>
            <w:tcBorders/>
            <w:shd w:fill="EDEDED" w:val="clear"/>
            <w:vAlign w:val="center"/>
          </w:tcPr>
          <w:p>
            <w:pPr>
              <w:pStyle w:val="TableContents"/>
              <w:bidi w:val="0"/>
              <w:spacing w:before="0" w:after="283"/>
              <w:jc w:val="left"/>
              <w:rPr>
                <w:sz w:val="4"/>
                <w:szCs w:val="4"/>
              </w:rPr>
            </w:pPr>
            <w:r>
              <w:rPr>
                <w:sz w:val="4"/>
                <w:szCs w:val="4"/>
              </w:rPr>
            </w:r>
          </w:p>
        </w:tc>
        <w:tc>
          <w:tcPr>
            <w:tcW w:w="1360" w:type="dxa"/>
            <w:gridSpan w:val="4"/>
            <w:tcBorders/>
            <w:shd w:fill="EDEDED" w:val="clear"/>
            <w:vAlign w:val="center"/>
          </w:tcPr>
          <w:p>
            <w:pPr>
              <w:pStyle w:val="TableContents"/>
              <w:bidi w:val="0"/>
              <w:spacing w:before="0" w:after="283"/>
              <w:jc w:val="left"/>
              <w:rPr>
                <w:sz w:val="4"/>
                <w:szCs w:val="4"/>
              </w:rPr>
            </w:pPr>
            <w:r>
              <w:rPr>
                <w:sz w:val="4"/>
                <w:szCs w:val="4"/>
              </w:rPr>
            </w:r>
          </w:p>
        </w:tc>
        <w:tc>
          <w:tcPr>
            <w:tcW w:w="1240" w:type="dxa"/>
            <w:gridSpan w:val="4"/>
            <w:tcBorders/>
            <w:shd w:fill="EDEDED" w:val="clear"/>
            <w:vAlign w:val="center"/>
          </w:tcPr>
          <w:p>
            <w:pPr>
              <w:pStyle w:val="TableContents"/>
              <w:bidi w:val="0"/>
              <w:spacing w:before="0" w:after="283"/>
              <w:jc w:val="left"/>
              <w:rPr>
                <w:sz w:val="4"/>
                <w:szCs w:val="4"/>
              </w:rPr>
            </w:pPr>
            <w:r>
              <w:rPr>
                <w:sz w:val="4"/>
                <w:szCs w:val="4"/>
              </w:rPr>
            </w:r>
          </w:p>
        </w:tc>
        <w:tc>
          <w:tcPr>
            <w:tcW w:w="1610" w:type="dxa"/>
            <w:gridSpan w:val="4"/>
            <w:tcBorders/>
            <w:shd w:fill="EDEDED" w:val="clear"/>
            <w:vAlign w:val="center"/>
          </w:tcPr>
          <w:p>
            <w:pPr>
              <w:pStyle w:val="TableContents"/>
              <w:bidi w:val="0"/>
              <w:spacing w:before="0" w:after="283"/>
              <w:jc w:val="left"/>
              <w:rPr>
                <w:sz w:val="4"/>
                <w:szCs w:val="4"/>
              </w:rPr>
            </w:pPr>
            <w:r>
              <w:rPr>
                <w:sz w:val="4"/>
                <w:szCs w:val="4"/>
              </w:rPr>
            </w:r>
          </w:p>
        </w:tc>
        <w:tc>
          <w:tcPr>
            <w:tcW w:w="1310" w:type="dxa"/>
            <w:gridSpan w:val="4"/>
            <w:tcBorders/>
            <w:shd w:fill="EDEDED" w:val="clear"/>
            <w:vAlign w:val="center"/>
          </w:tcPr>
          <w:p>
            <w:pPr>
              <w:pStyle w:val="TableContents"/>
              <w:bidi w:val="0"/>
              <w:spacing w:before="0" w:after="283"/>
              <w:jc w:val="left"/>
              <w:rPr>
                <w:sz w:val="4"/>
                <w:szCs w:val="4"/>
              </w:rPr>
            </w:pPr>
            <w:r>
              <w:rPr>
                <w:sz w:val="4"/>
                <w:szCs w:val="4"/>
              </w:rPr>
            </w:r>
          </w:p>
        </w:tc>
        <w:tc>
          <w:tcPr>
            <w:tcW w:w="137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4485" w:type="dxa"/>
            <w:gridSpan w:val="12"/>
            <w:tcBorders/>
            <w:shd w:fill="EDEDED" w:val="clear"/>
            <w:vAlign w:val="center"/>
          </w:tcPr>
          <w:p>
            <w:pPr>
              <w:pStyle w:val="TableContents"/>
              <w:bidi w:val="0"/>
              <w:spacing w:before="0" w:after="0"/>
              <w:jc w:val="left"/>
              <w:rPr>
                <w:rFonts w:ascii="ARIAL" w:hAnsi="ARIAL"/>
                <w:sz w:val="18"/>
              </w:rPr>
            </w:pPr>
            <w:r>
              <w:rPr>
                <w:rFonts w:ascii="ARIAL" w:hAnsi="ARIAL"/>
                <w:sz w:val="18"/>
              </w:rPr>
              <w:t>Jill McConnell</w:t>
            </w:r>
          </w:p>
          <w:p>
            <w:pPr>
              <w:pStyle w:val="TableContents"/>
              <w:bidi w:val="0"/>
              <w:spacing w:before="0" w:after="20"/>
              <w:jc w:val="left"/>
              <w:rPr>
                <w:rFonts w:ascii="ARIAL" w:hAnsi="ARIAL"/>
                <w:i/>
                <w:sz w:val="18"/>
              </w:rPr>
            </w:pPr>
            <w:r>
              <w:rPr>
                <w:rFonts w:ascii="ARIAL" w:hAnsi="ARIAL"/>
                <w:i/>
                <w:sz w:val="18"/>
              </w:rPr>
              <w:t>Chief Financial Officer</w:t>
            </w:r>
          </w:p>
        </w:tc>
        <w:tc>
          <w:tcPr>
            <w:tcW w:w="60" w:type="dxa"/>
            <w:tcBorders/>
            <w:shd w:fill="EDEDED"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0"/>
              <w:jc w:val="left"/>
              <w:rPr/>
            </w:pPr>
            <w:r>
              <w:rPr/>
              <w:t> </w:t>
            </w:r>
          </w:p>
        </w:tc>
        <w:tc>
          <w:tcPr>
            <w:tcW w:w="110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0"/>
              <w:jc w:val="left"/>
              <w:rPr/>
            </w:pPr>
            <w:r>
              <w:rPr/>
              <w:t> </w:t>
            </w:r>
          </w:p>
        </w:tc>
        <w:tc>
          <w:tcPr>
            <w:tcW w:w="98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86" w:type="dxa"/>
            <w:tcBorders/>
            <w:shd w:fill="EDEDED" w:val="clear"/>
            <w:vAlign w:val="center"/>
          </w:tcPr>
          <w:p>
            <w:pPr>
              <w:pStyle w:val="TableContents"/>
              <w:bidi w:val="0"/>
              <w:spacing w:before="0" w:after="0"/>
              <w:jc w:val="left"/>
              <w:rPr/>
            </w:pPr>
            <w:r>
              <w:rPr/>
              <w:t> </w:t>
            </w:r>
          </w:p>
        </w:tc>
        <w:tc>
          <w:tcPr>
            <w:tcW w:w="1304"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3" w:type="dxa"/>
            <w:tcBorders/>
            <w:shd w:fill="EDEDED" w:val="clear"/>
            <w:vAlign w:val="center"/>
          </w:tcPr>
          <w:p>
            <w:pPr>
              <w:pStyle w:val="TableContents"/>
              <w:bidi w:val="0"/>
              <w:spacing w:before="0" w:after="0"/>
              <w:jc w:val="left"/>
              <w:rPr/>
            </w:pPr>
            <w:r>
              <w:rPr/>
              <w:t> </w:t>
            </w:r>
          </w:p>
        </w:tc>
        <w:tc>
          <w:tcPr>
            <w:tcW w:w="987"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0"/>
              <w:jc w:val="left"/>
              <w:rPr/>
            </w:pPr>
            <w:r>
              <w:rPr/>
              <w:t> </w:t>
            </w:r>
          </w:p>
        </w:tc>
        <w:tc>
          <w:tcPr>
            <w:tcW w:w="1100" w:type="dxa"/>
            <w:tcBorders/>
            <w:shd w:fill="EDEDED" w:val="clear"/>
            <w:vAlign w:val="center"/>
          </w:tcPr>
          <w:p>
            <w:pPr>
              <w:pStyle w:val="TableContents"/>
              <w:bidi w:val="0"/>
              <w:spacing w:before="0" w:after="0"/>
              <w:jc w:val="left"/>
              <w:rPr/>
            </w:pPr>
            <w:r>
              <w:rPr/>
              <w:t> </w:t>
            </w:r>
          </w:p>
        </w:tc>
        <w:tc>
          <w:tcPr>
            <w:tcW w:w="75" w:type="dxa"/>
            <w:tcBorders/>
            <w:shd w:fill="EDEDED" w:val="clear"/>
            <w:vAlign w:val="center"/>
          </w:tcPr>
          <w:p>
            <w:pPr>
              <w:pStyle w:val="TableContents"/>
              <w:bidi w:val="0"/>
              <w:spacing w:before="0" w:after="0"/>
              <w:jc w:val="left"/>
              <w:rPr/>
            </w:pPr>
            <w:r>
              <w:rPr/>
              <w:t> </w:t>
            </w:r>
          </w:p>
        </w:tc>
      </w:tr>
      <w:tr>
        <w:trPr/>
        <w:tc>
          <w:tcPr>
            <w:tcW w:w="1565"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500" w:type="dxa"/>
            <w:tcBorders/>
            <w:shd w:fill="EDEDED" w:val="clear"/>
            <w:vAlign w:val="center"/>
          </w:tcPr>
          <w:p>
            <w:pPr>
              <w:pStyle w:val="TableContents"/>
              <w:bidi w:val="0"/>
              <w:spacing w:before="0" w:after="283"/>
              <w:jc w:val="right"/>
              <w:rPr/>
            </w:pPr>
            <w:r>
              <w:rPr/>
              <w:t>2023</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980" w:type="dxa"/>
            <w:tcBorders/>
            <w:shd w:fill="EDEDED" w:val="clear"/>
            <w:vAlign w:val="center"/>
          </w:tcPr>
          <w:p>
            <w:pPr>
              <w:pStyle w:val="TableContents"/>
              <w:bidi w:val="0"/>
              <w:spacing w:before="0" w:after="283"/>
              <w:jc w:val="right"/>
              <w:rPr/>
            </w:pPr>
            <w:r>
              <w:rPr/>
              <w:t>455,607</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800" w:type="dxa"/>
            <w:tcBorders/>
            <w:shd w:fill="EDEDED" w:val="clear"/>
            <w:vAlign w:val="center"/>
          </w:tcPr>
          <w:p>
            <w:pPr>
              <w:pStyle w:val="TableContents"/>
              <w:bidi w:val="0"/>
              <w:spacing w:before="0" w:after="283"/>
              <w:jc w:val="right"/>
              <w:rPr/>
            </w:pPr>
            <w:r>
              <w:rPr/>
              <w:t>200,000</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2,343,409</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980" w:type="dxa"/>
            <w:tcBorders/>
            <w:shd w:fill="EDEDED" w:val="clear"/>
            <w:vAlign w:val="center"/>
          </w:tcPr>
          <w:p>
            <w:pPr>
              <w:pStyle w:val="TableContents"/>
              <w:bidi w:val="0"/>
              <w:spacing w:before="0" w:after="283"/>
              <w:jc w:val="right"/>
              <w:rPr/>
            </w:pPr>
            <w:r>
              <w:rPr/>
              <w:t>0</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86" w:type="dxa"/>
            <w:tcBorders/>
            <w:shd w:fill="EDEDED" w:val="clear"/>
            <w:vAlign w:val="center"/>
          </w:tcPr>
          <w:p>
            <w:pPr>
              <w:pStyle w:val="TableContents"/>
              <w:bidi w:val="0"/>
              <w:spacing w:before="0" w:after="283"/>
              <w:jc w:val="left"/>
              <w:rPr/>
            </w:pPr>
            <w:r>
              <w:rPr/>
              <w:t>$</w:t>
            </w:r>
          </w:p>
        </w:tc>
        <w:tc>
          <w:tcPr>
            <w:tcW w:w="1304" w:type="dxa"/>
            <w:tcBorders/>
            <w:shd w:fill="EDEDED" w:val="clear"/>
            <w:vAlign w:val="center"/>
          </w:tcPr>
          <w:p>
            <w:pPr>
              <w:pStyle w:val="TableContents"/>
              <w:bidi w:val="0"/>
              <w:spacing w:before="0" w:after="283"/>
              <w:jc w:val="right"/>
              <w:rPr/>
            </w:pPr>
            <w:r>
              <w:rPr/>
              <w:t>62,266</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3" w:type="dxa"/>
            <w:tcBorders/>
            <w:shd w:fill="EDEDED" w:val="clear"/>
            <w:vAlign w:val="center"/>
          </w:tcPr>
          <w:p>
            <w:pPr>
              <w:pStyle w:val="TableContents"/>
              <w:bidi w:val="0"/>
              <w:spacing w:before="0" w:after="283"/>
              <w:jc w:val="left"/>
              <w:rPr/>
            </w:pPr>
            <w:r>
              <w:rPr/>
              <w:t>$</w:t>
            </w:r>
          </w:p>
        </w:tc>
        <w:tc>
          <w:tcPr>
            <w:tcW w:w="987" w:type="dxa"/>
            <w:tcBorders/>
            <w:shd w:fill="EDEDED" w:val="clear"/>
            <w:vAlign w:val="center"/>
          </w:tcPr>
          <w:p>
            <w:pPr>
              <w:pStyle w:val="TableContents"/>
              <w:bidi w:val="0"/>
              <w:spacing w:before="0" w:after="283"/>
              <w:jc w:val="right"/>
              <w:rPr/>
            </w:pPr>
            <w:r>
              <w:rPr/>
              <w:t>17,513</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3,078,275</w:t>
            </w:r>
          </w:p>
        </w:tc>
        <w:tc>
          <w:tcPr>
            <w:tcW w:w="75" w:type="dxa"/>
            <w:tcBorders/>
            <w:shd w:fill="EDEDED" w:val="clear"/>
            <w:vAlign w:val="center"/>
          </w:tcPr>
          <w:p>
            <w:pPr>
              <w:pStyle w:val="TableContents"/>
              <w:bidi w:val="0"/>
              <w:spacing w:before="0" w:after="283"/>
              <w:jc w:val="left"/>
              <w:rPr/>
            </w:pPr>
            <w:r>
              <w:rPr/>
              <w:t> </w:t>
            </w:r>
          </w:p>
        </w:tc>
      </w:tr>
      <w:tr>
        <w:trPr/>
        <w:tc>
          <w:tcPr>
            <w:tcW w:w="1565"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500" w:type="dxa"/>
            <w:tcBorders/>
            <w:shd w:fill="EDEDED" w:val="clear"/>
            <w:vAlign w:val="center"/>
          </w:tcPr>
          <w:p>
            <w:pPr>
              <w:pStyle w:val="TableContents"/>
              <w:bidi w:val="0"/>
              <w:spacing w:before="0" w:after="283"/>
              <w:jc w:val="right"/>
              <w:rPr/>
            </w:pPr>
            <w:r>
              <w:rPr/>
              <w:t>2022</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980" w:type="dxa"/>
            <w:tcBorders/>
            <w:shd w:fill="EDEDED" w:val="clear"/>
            <w:vAlign w:val="center"/>
          </w:tcPr>
          <w:p>
            <w:pPr>
              <w:pStyle w:val="TableContents"/>
              <w:bidi w:val="0"/>
              <w:spacing w:before="0" w:after="283"/>
              <w:jc w:val="right"/>
              <w:rPr/>
            </w:pPr>
            <w:r>
              <w:rPr/>
              <w:t>411,215</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800" w:type="dxa"/>
            <w:tcBorders/>
            <w:shd w:fill="EDEDED" w:val="clear"/>
            <w:vAlign w:val="center"/>
          </w:tcPr>
          <w:p>
            <w:pPr>
              <w:pStyle w:val="TableContents"/>
              <w:bidi w:val="0"/>
              <w:spacing w:before="0" w:after="283"/>
              <w:jc w:val="right"/>
              <w:rPr/>
            </w:pPr>
            <w:r>
              <w:rPr/>
              <w:t>0</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460,682</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980" w:type="dxa"/>
            <w:tcBorders/>
            <w:shd w:fill="EDEDED" w:val="clear"/>
            <w:vAlign w:val="center"/>
          </w:tcPr>
          <w:p>
            <w:pPr>
              <w:pStyle w:val="TableContents"/>
              <w:bidi w:val="0"/>
              <w:spacing w:before="0" w:after="283"/>
              <w:jc w:val="right"/>
              <w:rPr/>
            </w:pPr>
            <w:r>
              <w:rPr/>
              <w:t>0</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86" w:type="dxa"/>
            <w:tcBorders/>
            <w:shd w:fill="EDEDED" w:val="clear"/>
            <w:vAlign w:val="center"/>
          </w:tcPr>
          <w:p>
            <w:pPr>
              <w:pStyle w:val="TableContents"/>
              <w:bidi w:val="0"/>
              <w:spacing w:before="0" w:after="283"/>
              <w:jc w:val="left"/>
              <w:rPr/>
            </w:pPr>
            <w:r>
              <w:rPr/>
              <w:t>$</w:t>
            </w:r>
          </w:p>
        </w:tc>
        <w:tc>
          <w:tcPr>
            <w:tcW w:w="1304" w:type="dxa"/>
            <w:tcBorders/>
            <w:shd w:fill="EDEDED" w:val="clear"/>
            <w:vAlign w:val="center"/>
          </w:tcPr>
          <w:p>
            <w:pPr>
              <w:pStyle w:val="TableContents"/>
              <w:bidi w:val="0"/>
              <w:spacing w:before="0" w:after="283"/>
              <w:jc w:val="right"/>
              <w:rPr/>
            </w:pPr>
            <w:r>
              <w:rPr/>
              <w:t>174,355</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3" w:type="dxa"/>
            <w:tcBorders/>
            <w:shd w:fill="EDEDED" w:val="clear"/>
            <w:vAlign w:val="center"/>
          </w:tcPr>
          <w:p>
            <w:pPr>
              <w:pStyle w:val="TableContents"/>
              <w:bidi w:val="0"/>
              <w:spacing w:before="0" w:after="283"/>
              <w:jc w:val="left"/>
              <w:rPr/>
            </w:pPr>
            <w:r>
              <w:rPr/>
              <w:t>$</w:t>
            </w:r>
          </w:p>
        </w:tc>
        <w:tc>
          <w:tcPr>
            <w:tcW w:w="987" w:type="dxa"/>
            <w:tcBorders/>
            <w:shd w:fill="EDEDED" w:val="clear"/>
            <w:vAlign w:val="center"/>
          </w:tcPr>
          <w:p>
            <w:pPr>
              <w:pStyle w:val="TableContents"/>
              <w:bidi w:val="0"/>
              <w:spacing w:before="0" w:after="283"/>
              <w:jc w:val="right"/>
              <w:rPr/>
            </w:pPr>
            <w:r>
              <w:rPr/>
              <w:t>29,557</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1,075,809</w:t>
            </w:r>
          </w:p>
        </w:tc>
        <w:tc>
          <w:tcPr>
            <w:tcW w:w="75" w:type="dxa"/>
            <w:tcBorders/>
            <w:shd w:fill="EDEDED" w:val="clear"/>
            <w:vAlign w:val="center"/>
          </w:tcPr>
          <w:p>
            <w:pPr>
              <w:pStyle w:val="TableContents"/>
              <w:bidi w:val="0"/>
              <w:spacing w:before="0" w:after="283"/>
              <w:jc w:val="left"/>
              <w:rPr/>
            </w:pPr>
            <w:r>
              <w:rPr/>
              <w:t> </w:t>
            </w:r>
          </w:p>
        </w:tc>
      </w:tr>
      <w:tr>
        <w:trPr/>
        <w:tc>
          <w:tcPr>
            <w:tcW w:w="7145" w:type="dxa"/>
            <w:gridSpan w:val="21"/>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r>
      <w:tr>
        <w:trPr/>
        <w:tc>
          <w:tcPr>
            <w:tcW w:w="7085" w:type="dxa"/>
            <w:gridSpan w:val="20"/>
            <w:tcBorders/>
            <w:vAlign w:val="center"/>
          </w:tcPr>
          <w:p>
            <w:pPr>
              <w:pStyle w:val="TableContents"/>
              <w:bidi w:val="0"/>
              <w:spacing w:before="0" w:after="0"/>
              <w:jc w:val="left"/>
              <w:rPr>
                <w:rFonts w:ascii="ARIAL" w:hAnsi="ARIAL"/>
                <w:sz w:val="18"/>
              </w:rPr>
            </w:pPr>
            <w:r>
              <w:rPr>
                <w:rFonts w:ascii="ARIAL" w:hAnsi="ARIAL"/>
                <w:sz w:val="18"/>
              </w:rPr>
              <w:t>Mark Morais</w:t>
            </w:r>
          </w:p>
          <w:p>
            <w:pPr>
              <w:pStyle w:val="TableContents"/>
              <w:bidi w:val="0"/>
              <w:spacing w:before="0" w:after="20"/>
              <w:jc w:val="left"/>
              <w:rPr>
                <w:rFonts w:ascii="ARIAL" w:hAnsi="ARIAL"/>
                <w:i/>
                <w:sz w:val="18"/>
              </w:rPr>
            </w:pPr>
            <w:r>
              <w:rPr>
                <w:rFonts w:ascii="ARIAL" w:hAnsi="ARIAL"/>
                <w:i/>
                <w:sz w:val="18"/>
              </w:rPr>
              <w:t>Chief Operating Officer; President, Clinical Services</w:t>
            </w:r>
          </w:p>
        </w:tc>
        <w:tc>
          <w:tcPr>
            <w:tcW w:w="60" w:type="dxa"/>
            <w:tcBorders/>
            <w:vAlign w:val="center"/>
          </w:tcPr>
          <w:p>
            <w:pPr>
              <w:pStyle w:val="TableContents"/>
              <w:bidi w:val="0"/>
              <w:spacing w:before="0" w:after="0"/>
              <w:jc w:val="left"/>
              <w:rPr/>
            </w:pPr>
            <w:r>
              <w:rPr/>
              <w:t> </w:t>
            </w:r>
          </w:p>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0"/>
              <w:jc w:val="left"/>
              <w:rPr/>
            </w:pPr>
            <w:r>
              <w:rPr/>
              <w:t> </w:t>
            </w:r>
          </w:p>
        </w:tc>
        <w:tc>
          <w:tcPr>
            <w:tcW w:w="130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jc w:val="left"/>
              <w:rPr/>
            </w:pPr>
            <w:r>
              <w:rPr/>
              <w:t> </w:t>
            </w:r>
          </w:p>
        </w:tc>
        <w:tc>
          <w:tcPr>
            <w:tcW w:w="987"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5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456,900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2,497,701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62,658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987" w:type="dxa"/>
            <w:tcBorders/>
            <w:vAlign w:val="center"/>
          </w:tcPr>
          <w:p>
            <w:pPr>
              <w:pStyle w:val="TableContents"/>
              <w:bidi w:val="0"/>
              <w:spacing w:before="0" w:after="283"/>
              <w:jc w:val="right"/>
              <w:rPr/>
            </w:pPr>
            <w:r>
              <w:rPr/>
              <w:t>12,914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3,230,173</w:t>
            </w:r>
          </w:p>
        </w:tc>
        <w:tc>
          <w:tcPr>
            <w:tcW w:w="75" w:type="dxa"/>
            <w:tcBorders/>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0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610" w:type="dxa"/>
            <w:gridSpan w:val="4"/>
            <w:tcBorders/>
            <w:vAlign w:val="center"/>
          </w:tcPr>
          <w:p>
            <w:pPr>
              <w:pStyle w:val="TableContents"/>
              <w:bidi w:val="0"/>
              <w:spacing w:before="0" w:after="283"/>
              <w:jc w:val="left"/>
              <w:rPr>
                <w:sz w:val="4"/>
                <w:szCs w:val="4"/>
              </w:rPr>
            </w:pPr>
            <w:r>
              <w:rPr>
                <w:sz w:val="4"/>
                <w:szCs w:val="4"/>
              </w:rPr>
            </w:r>
          </w:p>
        </w:tc>
        <w:tc>
          <w:tcPr>
            <w:tcW w:w="131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r>
      <w:tr>
        <w:trPr/>
        <w:tc>
          <w:tcPr>
            <w:tcW w:w="156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413,800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358,899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pPr>
            <w:r>
              <w:rPr/>
              <w:t>$</w:t>
            </w:r>
          </w:p>
        </w:tc>
        <w:tc>
          <w:tcPr>
            <w:tcW w:w="1304" w:type="dxa"/>
            <w:tcBorders/>
            <w:vAlign w:val="center"/>
          </w:tcPr>
          <w:p>
            <w:pPr>
              <w:pStyle w:val="TableContents"/>
              <w:bidi w:val="0"/>
              <w:spacing w:before="0" w:after="283"/>
              <w:jc w:val="right"/>
              <w:rPr/>
            </w:pPr>
            <w:r>
              <w:rPr/>
              <w:t>96,111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w:t>
            </w:r>
          </w:p>
        </w:tc>
        <w:tc>
          <w:tcPr>
            <w:tcW w:w="987" w:type="dxa"/>
            <w:tcBorders/>
            <w:vAlign w:val="center"/>
          </w:tcPr>
          <w:p>
            <w:pPr>
              <w:pStyle w:val="TableContents"/>
              <w:bidi w:val="0"/>
              <w:spacing w:before="0" w:after="283"/>
              <w:jc w:val="right"/>
              <w:rPr/>
            </w:pPr>
            <w:r>
              <w:rPr/>
              <w:t>27,541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896,351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left"/>
              <w:rPr>
                <w:rFonts w:ascii="ARIAL" w:hAnsi="ARIAL"/>
                <w:sz w:val="14"/>
              </w:rPr>
            </w:pPr>
            <w:r>
              <w:rPr>
                <w:rFonts w:ascii="ARIAL" w:hAnsi="ARIAL"/>
                <w:sz w:val="14"/>
              </w:rPr>
              <w:t xml:space="preserve">Mr. Pike joined Labcorp in January 2023 as president and chief executive officer of its Drug Development, Clinical Development and Commercialization Services business unit and was appointed Chief Executive Officer of Fortrea effective June 30, 2023. Under the terms of Mr. Pike’s employment agreement, Mr. Pike’s 2023 equity grants are intended to provide an equivalent value of three years of grants and the employment agreement does not contemplate additional equity grants through the remaining initial term of his employment agreement, which ends on December 31, 2025. In accordance with these terms, Mr. Pike did not receive an equity grant in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(2)</w:t>
            </w:r>
          </w:p>
        </w:tc>
        <w:tc>
          <w:tcPr>
            <w:tcW w:w="9928" w:type="dxa"/>
            <w:tcBorders/>
            <w:vAlign w:val="center"/>
          </w:tcPr>
          <w:p>
            <w:pPr>
              <w:pStyle w:val="TableContents"/>
              <w:bidi w:val="0"/>
              <w:spacing w:before="0" w:after="0"/>
              <w:jc w:val="left"/>
              <w:rPr>
                <w:rFonts w:ascii="ARIAL" w:hAnsi="ARIAL"/>
                <w:sz w:val="14"/>
              </w:rPr>
            </w:pPr>
            <w:r>
              <w:rPr>
                <w:rFonts w:ascii="ARIAL" w:hAnsi="ARIAL"/>
                <w:sz w:val="14"/>
              </w:rPr>
              <w:t xml:space="preserve">The amounts shown in the table represent one-time cash bonuses paid to Ms. McConnell and Mr. Morais. 50% was paid within 30 days of the completion of the Spin, and the remaining 50% was paid as of the 6-month anniversary of the Spin.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(3)</w:t>
            </w:r>
          </w:p>
        </w:tc>
        <w:tc>
          <w:tcPr>
            <w:tcW w:w="9953" w:type="dxa"/>
            <w:tcBorders/>
            <w:vAlign w:val="center"/>
          </w:tcPr>
          <w:p>
            <w:pPr>
              <w:pStyle w:val="TableContents"/>
              <w:bidi w:val="0"/>
              <w:spacing w:before="0" w:after="0"/>
              <w:jc w:val="left"/>
              <w:rPr>
                <w:rFonts w:ascii="ARIAL" w:hAnsi="ARIAL"/>
                <w:sz w:val="14"/>
              </w:rPr>
            </w:pPr>
            <w:r>
              <w:rPr>
                <w:rFonts w:ascii="ARIAL" w:hAnsi="ARIAL"/>
                <w:sz w:val="14"/>
              </w:rPr>
              <w:t xml:space="preserve">Amounts represent the aggregate grant date fair value of RSU and PSA awards in the year of grant in accordance with the same standard applied for financial accounting purposes, Financial Accounting Standards Board (“FASB”) Accounting Standards Codification (“ASC”) Topic 718. If valued assuming a maximum payout on the Performance Share program, the value of the 2023 awards would be: Ms. McConnell, $564,224; and Mr. Morais $754,100. See Grants of Plan-Based Awards Table for additional details.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(4)</w:t>
            </w:r>
          </w:p>
        </w:tc>
        <w:tc>
          <w:tcPr>
            <w:tcW w:w="9954" w:type="dxa"/>
            <w:tcBorders/>
            <w:vAlign w:val="center"/>
          </w:tcPr>
          <w:p>
            <w:pPr>
              <w:pStyle w:val="TableContents"/>
              <w:bidi w:val="0"/>
              <w:spacing w:before="0" w:after="0"/>
              <w:jc w:val="left"/>
              <w:rPr>
                <w:rFonts w:ascii="ARIAL" w:hAnsi="ARIAL"/>
                <w:sz w:val="14"/>
              </w:rPr>
            </w:pPr>
            <w:r>
              <w:rPr>
                <w:rFonts w:ascii="ARIAL" w:hAnsi="ARIAL"/>
                <w:sz w:val="14"/>
              </w:rPr>
              <w:t xml:space="preserve">Amounts represent the aggregate grant date fair value of stock options computed in accordance with FASB ASC Topic 718 in the year of grant. A discussion of the assumptions used in calculating these values can be found in Note 14 to the Consolidated Financial Statements in the Company’s Annual Report on Form 10-K for the year ended December 31, 2023. This column does not represent the stock-based compensation expense recognized in the Company’s financial statements for the year ended December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(5)</w:t>
            </w:r>
          </w:p>
        </w:tc>
        <w:tc>
          <w:tcPr>
            <w:tcW w:w="9942" w:type="dxa"/>
            <w:tcBorders/>
            <w:vAlign w:val="center"/>
          </w:tcPr>
          <w:p>
            <w:pPr>
              <w:pStyle w:val="TableContents"/>
              <w:bidi w:val="0"/>
              <w:spacing w:before="0" w:after="0"/>
              <w:jc w:val="left"/>
              <w:rPr>
                <w:rFonts w:ascii="ARIAL" w:hAnsi="ARIAL"/>
                <w:sz w:val="14"/>
              </w:rPr>
            </w:pPr>
            <w:r>
              <w:rPr>
                <w:rFonts w:ascii="ARIAL" w:hAnsi="ARIAL"/>
                <w:sz w:val="14"/>
              </w:rPr>
              <w:t xml:space="preserve">Amounts in this column reflect the amounts earned by Ms. McConnell and Mr. Morais during 2023 pursuant to the LBP prior to the Spin and the FBP following Spin. Per Mr. Pike’s employment agreement, he was entitled to a minimum payout of 100% of his base salary (or $1,100,000) for the resulting combined outcome of the LBP and the FBP.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(6)</w:t>
            </w:r>
          </w:p>
        </w:tc>
        <w:tc>
          <w:tcPr>
            <w:tcW w:w="9960" w:type="dxa"/>
            <w:tcBorders/>
            <w:vAlign w:val="center"/>
          </w:tcPr>
          <w:p>
            <w:pPr>
              <w:pStyle w:val="TableContents"/>
              <w:bidi w:val="0"/>
              <w:spacing w:before="0" w:after="0"/>
              <w:jc w:val="left"/>
              <w:rPr>
                <w:rFonts w:ascii="ARIAL" w:hAnsi="ARIAL"/>
                <w:sz w:val="14"/>
              </w:rPr>
            </w:pPr>
            <w:r>
              <w:rPr>
                <w:rFonts w:ascii="ARIAL" w:hAnsi="ARIAL"/>
                <w:sz w:val="14"/>
              </w:rPr>
              <w:t xml:space="preserve">Amounts shown in this column include Company-paid supplemental long-term disability insurance provided to the executive as well as Fortrea’s company-provided match to the 401(k) on the same basis as provided to U.S.-based employees, inclusive of those contributions made by Labcorp under the plan prior to the Spin. The supplemental long-term disability insurance benefit is considered taxable to the executive and no gross-ups are provided to offset the taxable amount and contributions to qualified defined contribution plans. For 2023, the 401(k) provided a Company match of 100% of the first 5% of the employee’s contribution. Additional details are provided in the table below: </w:t>
            </w:r>
          </w:p>
        </w:tc>
      </w:tr>
    </w:tbl>
    <w:p>
      <w:pPr>
        <w:pStyle w:val="TextBody"/>
        <w:bidi w:val="0"/>
        <w:spacing w:before="0" w:after="0"/>
        <w:jc w:val="left"/>
        <w:rPr/>
      </w:pPr>
      <w:r>
        <w:rPr/>
        <w:t> </w:t>
      </w:r>
    </w:p>
    <w:tbl>
      <w:tblPr>
        <w:tblW w:w="7515" w:type="dxa"/>
        <w:jc w:val="left"/>
        <w:tblInd w:w="0" w:type="dxa"/>
        <w:tblLayout w:type="fixed"/>
        <w:tblCellMar>
          <w:top w:w="0" w:type="dxa"/>
          <w:left w:w="0" w:type="dxa"/>
          <w:bottom w:w="0" w:type="dxa"/>
          <w:right w:w="0" w:type="dxa"/>
        </w:tblCellMar>
      </w:tblPr>
      <w:tblGrid>
        <w:gridCol w:w="875"/>
        <w:gridCol w:w="120"/>
        <w:gridCol w:w="514"/>
        <w:gridCol w:w="2056"/>
        <w:gridCol w:w="60"/>
        <w:gridCol w:w="120"/>
        <w:gridCol w:w="630"/>
        <w:gridCol w:w="3065"/>
        <w:gridCol w:w="75"/>
      </w:tblGrid>
      <w:tr>
        <w:trPr/>
        <w:tc>
          <w:tcPr>
            <w:tcW w:w="8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306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75" w:type="dxa"/>
            <w:tcBorders>
              <w:top w:val="single" w:sz="6" w:space="0" w:color="000000"/>
              <w:left w:val="single" w:sz="6" w:space="0" w:color="000000"/>
              <w:right w:val="single" w:sz="6" w:space="0" w:color="000000"/>
            </w:tcBorders>
            <w:shd w:fill="0BC11C" w:val="clear"/>
            <w:tcMar>
              <w:top w:w="28" w:type="dxa"/>
              <w:left w:w="160" w:type="dxa"/>
              <w:right w:w="28" w:type="dxa"/>
            </w:tcMar>
            <w:vAlign w:val="center"/>
          </w:tcPr>
          <w:p>
            <w:pPr>
              <w:pStyle w:val="TableContents"/>
              <w:bidi w:val="0"/>
              <w:spacing w:before="0" w:after="283"/>
              <w:jc w:val="left"/>
              <w:rPr/>
            </w:pPr>
            <w:r>
              <w:rPr/>
              <w:t> </w:t>
            </w:r>
          </w:p>
        </w:tc>
        <w:tc>
          <w:tcPr>
            <w:tcW w:w="2750" w:type="dxa"/>
            <w:gridSpan w:val="4"/>
            <w:tcBorders>
              <w:top w:val="single" w:sz="6" w:space="0" w:color="000000"/>
              <w:left w:val="single" w:sz="6" w:space="0" w:color="000000"/>
              <w:right w:val="single" w:sz="6" w:space="0" w:color="000000"/>
            </w:tcBorders>
            <w:shd w:fill="0BC11C" w:val="clear"/>
            <w:tcMar>
              <w:top w:w="28" w:type="dxa"/>
              <w:left w:w="28" w:type="dxa"/>
              <w:right w:w="28" w:type="dxa"/>
            </w:tcMar>
            <w:vAlign w:val="center"/>
          </w:tcPr>
          <w:p>
            <w:pPr>
              <w:pStyle w:val="TableContents"/>
              <w:bidi w:val="0"/>
              <w:spacing w:before="0" w:after="283"/>
              <w:jc w:val="left"/>
              <w:rPr/>
            </w:pPr>
            <w:r>
              <w:rPr/>
              <w:t> </w:t>
            </w:r>
          </w:p>
        </w:tc>
        <w:tc>
          <w:tcPr>
            <w:tcW w:w="3890" w:type="dxa"/>
            <w:gridSpan w:val="4"/>
            <w:tcBorders>
              <w:top w:val="single" w:sz="6" w:space="0" w:color="000000"/>
              <w:left w:val="single" w:sz="6" w:space="0" w:color="000000"/>
              <w:right w:val="single" w:sz="6" w:space="0" w:color="000000"/>
            </w:tcBorders>
            <w:shd w:fill="0BC11C" w:val="clear"/>
            <w:tcMar>
              <w:top w:w="28" w:type="dxa"/>
              <w:left w:w="28" w:type="dxa"/>
              <w:right w:w="28" w:type="dxa"/>
            </w:tcMar>
            <w:vAlign w:val="center"/>
          </w:tcPr>
          <w:p>
            <w:pPr>
              <w:pStyle w:val="TableContents"/>
              <w:bidi w:val="0"/>
              <w:spacing w:before="0" w:after="283"/>
              <w:jc w:val="left"/>
              <w:rPr/>
            </w:pPr>
            <w:r>
              <w:rPr/>
              <w:t> </w:t>
            </w:r>
          </w:p>
        </w:tc>
      </w:tr>
      <w:tr>
        <w:trPr/>
        <w:tc>
          <w:tcPr>
            <w:tcW w:w="875" w:type="dxa"/>
            <w:tcBorders>
              <w:left w:val="single" w:sz="6" w:space="0" w:color="000000"/>
              <w:bottom w:val="single" w:sz="6" w:space="0" w:color="000000"/>
              <w:right w:val="single" w:sz="6" w:space="0" w:color="000000"/>
            </w:tcBorders>
            <w:shd w:fill="0BC11C" w:val="clear"/>
            <w:tcMar>
              <w:left w:w="160" w:type="dxa"/>
              <w:bottom w:w="60" w:type="dxa"/>
              <w:right w:w="28" w:type="dxa"/>
            </w:tcMar>
            <w:vAlign w:val="center"/>
          </w:tcPr>
          <w:p>
            <w:pPr>
              <w:pStyle w:val="TableContents"/>
              <w:bidi w:val="0"/>
              <w:spacing w:before="0" w:after="0"/>
              <w:jc w:val="left"/>
              <w:rPr>
                <w:rFonts w:ascii="ARIAL" w:hAnsi="ARIAL"/>
                <w:b/>
                <w:color w:val="FFFFFF"/>
                <w:sz w:val="14"/>
              </w:rPr>
            </w:pPr>
            <w:r>
              <w:rPr>
                <w:rFonts w:ascii="ARIAL" w:hAnsi="ARIAL"/>
                <w:b/>
                <w:color w:val="FFFFFF"/>
                <w:sz w:val="14"/>
              </w:rPr>
              <w:t>Executive</w:t>
            </w:r>
          </w:p>
        </w:tc>
        <w:tc>
          <w:tcPr>
            <w:tcW w:w="120" w:type="dxa"/>
            <w:tcBorders>
              <w:left w:val="single" w:sz="6" w:space="0" w:color="000000"/>
              <w:bottom w:val="single" w:sz="6" w:space="0" w:color="000000"/>
            </w:tcBorders>
            <w:shd w:fill="0BC11C" w:val="clear"/>
            <w:tcMar>
              <w:left w:w="28" w:type="dxa"/>
              <w:bottom w:w="28" w:type="dxa"/>
            </w:tcMar>
            <w:vAlign w:val="center"/>
          </w:tcPr>
          <w:p>
            <w:pPr>
              <w:pStyle w:val="TableContents"/>
              <w:bidi w:val="0"/>
              <w:spacing w:before="0" w:after="283"/>
              <w:jc w:val="left"/>
              <w:rPr/>
            </w:pPr>
            <w:r>
              <w:rPr/>
              <w:t>  </w:t>
            </w:r>
          </w:p>
        </w:tc>
        <w:tc>
          <w:tcPr>
            <w:tcW w:w="2570" w:type="dxa"/>
            <w:gridSpan w:val="2"/>
            <w:tcBorders>
              <w:bottom w:val="single" w:sz="6" w:space="0" w:color="000000"/>
            </w:tcBorders>
            <w:shd w:fill="0BC11C" w:val="clear"/>
            <w:tcMar>
              <w:bottom w:w="60" w:type="dxa"/>
            </w:tcMar>
            <w:vAlign w:val="center"/>
          </w:tcPr>
          <w:p>
            <w:pPr>
              <w:pStyle w:val="TableContents"/>
              <w:bidi w:val="0"/>
              <w:spacing w:before="0" w:after="283"/>
              <w:jc w:val="center"/>
              <w:rPr>
                <w:b/>
                <w:color w:val="FFFFFF"/>
              </w:rPr>
            </w:pPr>
            <w:r>
              <w:rPr>
                <w:b/>
                <w:color w:val="FFFFFF"/>
              </w:rPr>
              <w:t>Supplemental Long-term</w:t>
              <w:br/>
              <w:t>Disability Insurance ($)</w:t>
            </w:r>
          </w:p>
        </w:tc>
        <w:tc>
          <w:tcPr>
            <w:tcW w:w="60" w:type="dxa"/>
            <w:tcBorders>
              <w:bottom w:val="single" w:sz="6" w:space="0" w:color="000000"/>
              <w:right w:val="single" w:sz="6" w:space="0" w:color="000000"/>
            </w:tcBorders>
            <w:shd w:fill="0BC11C" w:val="clear"/>
            <w:tcMar>
              <w:bottom w:w="28" w:type="dxa"/>
              <w:right w:w="28" w:type="dxa"/>
            </w:tcMar>
            <w:vAlign w:val="center"/>
          </w:tcPr>
          <w:p>
            <w:pPr>
              <w:pStyle w:val="TableContents"/>
              <w:bidi w:val="0"/>
              <w:spacing w:before="0" w:after="283"/>
              <w:jc w:val="left"/>
              <w:rPr/>
            </w:pPr>
            <w:r>
              <w:rPr/>
              <w:t> </w:t>
            </w:r>
          </w:p>
        </w:tc>
        <w:tc>
          <w:tcPr>
            <w:tcW w:w="120" w:type="dxa"/>
            <w:tcBorders>
              <w:left w:val="single" w:sz="6" w:space="0" w:color="000000"/>
              <w:bottom w:val="single" w:sz="6" w:space="0" w:color="000000"/>
            </w:tcBorders>
            <w:shd w:fill="0BC11C" w:val="clear"/>
            <w:tcMar>
              <w:left w:w="28" w:type="dxa"/>
              <w:bottom w:w="28" w:type="dxa"/>
            </w:tcMar>
            <w:vAlign w:val="center"/>
          </w:tcPr>
          <w:p>
            <w:pPr>
              <w:pStyle w:val="TableContents"/>
              <w:bidi w:val="0"/>
              <w:spacing w:before="0" w:after="283"/>
              <w:jc w:val="left"/>
              <w:rPr/>
            </w:pPr>
            <w:r>
              <w:rPr/>
              <w:t>  </w:t>
            </w:r>
          </w:p>
        </w:tc>
        <w:tc>
          <w:tcPr>
            <w:tcW w:w="3695" w:type="dxa"/>
            <w:gridSpan w:val="2"/>
            <w:tcBorders>
              <w:bottom w:val="single" w:sz="6" w:space="0" w:color="000000"/>
            </w:tcBorders>
            <w:shd w:fill="0BC11C" w:val="clear"/>
            <w:tcMar>
              <w:bottom w:w="60" w:type="dxa"/>
            </w:tcMar>
            <w:vAlign w:val="center"/>
          </w:tcPr>
          <w:p>
            <w:pPr>
              <w:pStyle w:val="TableContents"/>
              <w:bidi w:val="0"/>
              <w:spacing w:before="0" w:after="283"/>
              <w:jc w:val="center"/>
              <w:rPr>
                <w:b/>
                <w:color w:val="FFFFFF"/>
              </w:rPr>
            </w:pPr>
            <w:r>
              <w:rPr>
                <w:b/>
                <w:color w:val="FFFFFF"/>
              </w:rPr>
              <w:t>Fortrea’s Contributions to Qualified</w:t>
              <w:br/>
              <w:t>Defined Contribution Plan ($)</w:t>
            </w:r>
          </w:p>
        </w:tc>
        <w:tc>
          <w:tcPr>
            <w:tcW w:w="75" w:type="dxa"/>
            <w:tcBorders>
              <w:bottom w:val="single" w:sz="6" w:space="0" w:color="000000"/>
              <w:right w:val="single" w:sz="6" w:space="0" w:color="000000"/>
            </w:tcBorders>
            <w:shd w:fill="0BC11C" w:val="clear"/>
            <w:tcMar>
              <w:bottom w:w="28" w:type="dxa"/>
              <w:right w:w="40" w:type="dxa"/>
            </w:tcMar>
            <w:vAlign w:val="center"/>
          </w:tcPr>
          <w:p>
            <w:pPr>
              <w:pStyle w:val="TableContents"/>
              <w:bidi w:val="0"/>
              <w:spacing w:before="0" w:after="283"/>
              <w:jc w:val="left"/>
              <w:rPr/>
            </w:pPr>
            <w:r>
              <w:rPr/>
              <w:t> </w:t>
            </w:r>
          </w:p>
        </w:tc>
      </w:tr>
      <w:tr>
        <w:trPr/>
        <w:tc>
          <w:tcPr>
            <w:tcW w:w="87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275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389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75" w:type="dxa"/>
            <w:tcBorders>
              <w:left w:val="single" w:sz="6" w:space="0" w:color="000000"/>
              <w:bottom w:val="single" w:sz="6" w:space="0" w:color="000000"/>
              <w:right w:val="single" w:sz="6" w:space="0" w:color="000000"/>
            </w:tcBorders>
            <w:tcMar>
              <w:left w:w="160" w:type="dxa"/>
              <w:bottom w:w="80" w:type="dxa"/>
              <w:right w:w="28" w:type="dxa"/>
            </w:tcMar>
            <w:vAlign w:val="center"/>
          </w:tcPr>
          <w:p>
            <w:pPr>
              <w:pStyle w:val="TableContents"/>
              <w:bidi w:val="0"/>
              <w:spacing w:before="0" w:after="0"/>
              <w:jc w:val="left"/>
              <w:rPr>
                <w:rFonts w:ascii="ARIAL" w:hAnsi="ARIAL"/>
                <w:sz w:val="14"/>
              </w:rPr>
            </w:pPr>
            <w:r>
              <w:rPr>
                <w:rFonts w:ascii="ARIAL" w:hAnsi="ARIAL"/>
                <w:sz w:val="14"/>
              </w:rPr>
              <w:t>Thomas Pike</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14" w:type="dxa"/>
            <w:tcBorders>
              <w:bottom w:val="single" w:sz="6" w:space="0" w:color="000000"/>
            </w:tcBorders>
            <w:tcMar>
              <w:bottom w:w="80" w:type="dxa"/>
            </w:tcMar>
            <w:vAlign w:val="center"/>
          </w:tcPr>
          <w:p>
            <w:pPr>
              <w:pStyle w:val="TableContents"/>
              <w:bidi w:val="0"/>
              <w:spacing w:before="0" w:after="283"/>
              <w:jc w:val="left"/>
              <w:rPr/>
            </w:pPr>
            <w:r>
              <w:rPr/>
              <w:t>$</w:t>
            </w:r>
          </w:p>
        </w:tc>
        <w:tc>
          <w:tcPr>
            <w:tcW w:w="2056" w:type="dxa"/>
            <w:tcBorders>
              <w:bottom w:val="single" w:sz="6" w:space="0" w:color="000000"/>
            </w:tcBorders>
            <w:tcMar>
              <w:bottom w:w="80" w:type="dxa"/>
            </w:tcMar>
            <w:vAlign w:val="center"/>
          </w:tcPr>
          <w:p>
            <w:pPr>
              <w:pStyle w:val="TableContents"/>
              <w:bidi w:val="0"/>
              <w:spacing w:before="0" w:after="283"/>
              <w:jc w:val="right"/>
              <w:rPr/>
            </w:pPr>
            <w:r>
              <w:rPr/>
              <w:t>2,332</w:t>
            </w:r>
          </w:p>
        </w:tc>
        <w:tc>
          <w:tcPr>
            <w:tcW w:w="60" w:type="dxa"/>
            <w:tcBorders>
              <w:bottom w:val="single" w:sz="6" w:space="0" w:color="000000"/>
              <w:right w:val="single" w:sz="6" w:space="0" w:color="000000"/>
            </w:tcBorders>
            <w:tcMar>
              <w:bottom w:w="80" w:type="dxa"/>
              <w:right w:w="28" w:type="dxa"/>
            </w:tcMar>
            <w:vAlign w:val="center"/>
          </w:tcPr>
          <w:p>
            <w:pPr>
              <w:pStyle w:val="TableContents"/>
              <w:bidi w:val="0"/>
              <w:spacing w:before="0" w:after="283"/>
              <w:jc w:val="left"/>
              <w:rPr/>
            </w:pPr>
            <w:r>
              <w:rPr/>
              <w:t> </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30" w:type="dxa"/>
            <w:tcBorders>
              <w:bottom w:val="single" w:sz="6" w:space="0" w:color="000000"/>
            </w:tcBorders>
            <w:tcMar>
              <w:bottom w:w="80" w:type="dxa"/>
            </w:tcMar>
            <w:vAlign w:val="center"/>
          </w:tcPr>
          <w:p>
            <w:pPr>
              <w:pStyle w:val="TableContents"/>
              <w:bidi w:val="0"/>
              <w:spacing w:before="0" w:after="283"/>
              <w:jc w:val="left"/>
              <w:rPr/>
            </w:pPr>
            <w:r>
              <w:rPr/>
              <w:t>$</w:t>
            </w:r>
          </w:p>
        </w:tc>
        <w:tc>
          <w:tcPr>
            <w:tcW w:w="3065" w:type="dxa"/>
            <w:tcBorders>
              <w:bottom w:val="single" w:sz="6" w:space="0" w:color="000000"/>
            </w:tcBorders>
            <w:tcMar>
              <w:bottom w:w="80" w:type="dxa"/>
            </w:tcMar>
            <w:vAlign w:val="center"/>
          </w:tcPr>
          <w:p>
            <w:pPr>
              <w:pStyle w:val="TableContents"/>
              <w:bidi w:val="0"/>
              <w:spacing w:before="0" w:after="283"/>
              <w:jc w:val="right"/>
              <w:rPr/>
            </w:pPr>
            <w:r>
              <w:rPr/>
              <w:t>10,577</w:t>
            </w:r>
          </w:p>
        </w:tc>
        <w:tc>
          <w:tcPr>
            <w:tcW w:w="75" w:type="dxa"/>
            <w:tcBorders>
              <w:bottom w:val="single" w:sz="6" w:space="0" w:color="000000"/>
              <w:right w:val="single" w:sz="6" w:space="0" w:color="000000"/>
            </w:tcBorders>
            <w:tcMar>
              <w:bottom w:w="80" w:type="dxa"/>
              <w:right w:w="40" w:type="dxa"/>
            </w:tcMar>
            <w:vAlign w:val="center"/>
          </w:tcPr>
          <w:p>
            <w:pPr>
              <w:pStyle w:val="TableContents"/>
              <w:bidi w:val="0"/>
              <w:spacing w:before="0" w:after="283"/>
              <w:jc w:val="left"/>
              <w:rPr/>
            </w:pPr>
            <w:r>
              <w:rPr/>
              <w:t> </w:t>
            </w:r>
          </w:p>
        </w:tc>
      </w:tr>
      <w:tr>
        <w:trPr/>
        <w:tc>
          <w:tcPr>
            <w:tcW w:w="87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275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389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7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sz w:val="14"/>
              </w:rPr>
            </w:pPr>
            <w:r>
              <w:rPr>
                <w:rFonts w:ascii="ARIAL" w:hAnsi="ARIAL"/>
                <w:sz w:val="14"/>
              </w:rPr>
              <w:t>Jill McConnell</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14" w:type="dxa"/>
            <w:tcBorders>
              <w:bottom w:val="single" w:sz="6" w:space="0" w:color="000000"/>
            </w:tcBorders>
            <w:tcMar>
              <w:bottom w:w="28" w:type="dxa"/>
            </w:tcMar>
            <w:vAlign w:val="center"/>
          </w:tcPr>
          <w:p>
            <w:pPr>
              <w:pStyle w:val="TableContents"/>
              <w:bidi w:val="0"/>
              <w:spacing w:before="0" w:after="283"/>
              <w:jc w:val="left"/>
              <w:rPr/>
            </w:pPr>
            <w:r>
              <w:rPr/>
              <w:t>$</w:t>
            </w:r>
          </w:p>
        </w:tc>
        <w:tc>
          <w:tcPr>
            <w:tcW w:w="2056" w:type="dxa"/>
            <w:tcBorders>
              <w:bottom w:val="single" w:sz="6" w:space="0" w:color="000000"/>
            </w:tcBorders>
            <w:tcMar>
              <w:bottom w:w="28" w:type="dxa"/>
            </w:tcMar>
            <w:vAlign w:val="center"/>
          </w:tcPr>
          <w:p>
            <w:pPr>
              <w:pStyle w:val="TableContents"/>
              <w:bidi w:val="0"/>
              <w:spacing w:before="0" w:after="283"/>
              <w:jc w:val="right"/>
              <w:rPr/>
            </w:pPr>
            <w:r>
              <w:rPr/>
              <w:t>1,013</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30" w:type="dxa"/>
            <w:tcBorders>
              <w:bottom w:val="single" w:sz="6" w:space="0" w:color="000000"/>
            </w:tcBorders>
            <w:tcMar>
              <w:bottom w:w="28" w:type="dxa"/>
            </w:tcMar>
            <w:vAlign w:val="center"/>
          </w:tcPr>
          <w:p>
            <w:pPr>
              <w:pStyle w:val="TableContents"/>
              <w:bidi w:val="0"/>
              <w:spacing w:before="0" w:after="283"/>
              <w:jc w:val="left"/>
              <w:rPr/>
            </w:pPr>
            <w:r>
              <w:rPr/>
              <w:t>$</w:t>
            </w:r>
          </w:p>
        </w:tc>
        <w:tc>
          <w:tcPr>
            <w:tcW w:w="3065" w:type="dxa"/>
            <w:tcBorders>
              <w:bottom w:val="single" w:sz="6" w:space="0" w:color="000000"/>
            </w:tcBorders>
            <w:tcMar>
              <w:bottom w:w="28" w:type="dxa"/>
            </w:tcMar>
            <w:vAlign w:val="center"/>
          </w:tcPr>
          <w:p>
            <w:pPr>
              <w:pStyle w:val="TableContents"/>
              <w:bidi w:val="0"/>
              <w:spacing w:before="0" w:after="283"/>
              <w:jc w:val="right"/>
              <w:rPr/>
            </w:pPr>
            <w:r>
              <w:rPr/>
              <w:t>16,500</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r>
        <w:trPr/>
        <w:tc>
          <w:tcPr>
            <w:tcW w:w="875" w:type="dxa"/>
            <w:tcBorders>
              <w:top w:val="single" w:sz="6" w:space="0" w:color="000000"/>
              <w:left w:val="single" w:sz="6" w:space="0" w:color="000000"/>
              <w:right w:val="single" w:sz="6" w:space="0" w:color="000000"/>
            </w:tcBorders>
            <w:tcMar>
              <w:top w:w="28" w:type="dxa"/>
              <w:left w:w="160" w:type="dxa"/>
              <w:right w:w="28" w:type="dxa"/>
            </w:tcMar>
            <w:vAlign w:val="center"/>
          </w:tcPr>
          <w:p>
            <w:pPr>
              <w:pStyle w:val="TableContents"/>
              <w:bidi w:val="0"/>
              <w:spacing w:before="0" w:after="283"/>
              <w:jc w:val="left"/>
              <w:rPr/>
            </w:pPr>
            <w:r>
              <w:rPr/>
              <w:t> </w:t>
            </w:r>
          </w:p>
        </w:tc>
        <w:tc>
          <w:tcPr>
            <w:tcW w:w="275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c>
          <w:tcPr>
            <w:tcW w:w="3890" w:type="dxa"/>
            <w:gridSpan w:val="4"/>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75" w:type="dxa"/>
            <w:tcBorders>
              <w:left w:val="single" w:sz="6" w:space="0" w:color="000000"/>
              <w:bottom w:val="single" w:sz="6" w:space="0" w:color="000000"/>
              <w:right w:val="single" w:sz="6" w:space="0" w:color="000000"/>
            </w:tcBorders>
            <w:tcMar>
              <w:left w:w="160" w:type="dxa"/>
              <w:bottom w:w="28" w:type="dxa"/>
              <w:right w:w="28" w:type="dxa"/>
            </w:tcMar>
            <w:vAlign w:val="center"/>
          </w:tcPr>
          <w:p>
            <w:pPr>
              <w:pStyle w:val="TableContents"/>
              <w:bidi w:val="0"/>
              <w:spacing w:before="0" w:after="0"/>
              <w:jc w:val="left"/>
              <w:rPr>
                <w:rFonts w:ascii="ARIAL" w:hAnsi="ARIAL"/>
                <w:sz w:val="14"/>
              </w:rPr>
            </w:pPr>
            <w:r>
              <w:rPr>
                <w:rFonts w:ascii="ARIAL" w:hAnsi="ARIAL"/>
                <w:sz w:val="14"/>
              </w:rPr>
              <w:t>Mark Morais</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514" w:type="dxa"/>
            <w:tcBorders>
              <w:bottom w:val="single" w:sz="6" w:space="0" w:color="000000"/>
            </w:tcBorders>
            <w:tcMar>
              <w:bottom w:w="28" w:type="dxa"/>
            </w:tcMar>
            <w:vAlign w:val="center"/>
          </w:tcPr>
          <w:p>
            <w:pPr>
              <w:pStyle w:val="TableContents"/>
              <w:bidi w:val="0"/>
              <w:spacing w:before="0" w:after="283"/>
              <w:jc w:val="left"/>
              <w:rPr/>
            </w:pPr>
            <w:r>
              <w:rPr/>
              <w:t>$</w:t>
            </w:r>
          </w:p>
        </w:tc>
        <w:tc>
          <w:tcPr>
            <w:tcW w:w="2056" w:type="dxa"/>
            <w:tcBorders>
              <w:bottom w:val="single" w:sz="6" w:space="0" w:color="000000"/>
            </w:tcBorders>
            <w:tcMar>
              <w:bottom w:w="28" w:type="dxa"/>
            </w:tcMar>
            <w:vAlign w:val="center"/>
          </w:tcPr>
          <w:p>
            <w:pPr>
              <w:pStyle w:val="TableContents"/>
              <w:bidi w:val="0"/>
              <w:spacing w:before="0" w:after="283"/>
              <w:jc w:val="right"/>
              <w:rPr/>
            </w:pPr>
            <w:r>
              <w:rPr/>
              <w:t>1,014</w:t>
            </w:r>
          </w:p>
        </w:tc>
        <w:tc>
          <w:tcPr>
            <w:tcW w:w="6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 </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630" w:type="dxa"/>
            <w:tcBorders>
              <w:bottom w:val="single" w:sz="6" w:space="0" w:color="000000"/>
            </w:tcBorders>
            <w:tcMar>
              <w:bottom w:w="28" w:type="dxa"/>
            </w:tcMar>
            <w:vAlign w:val="center"/>
          </w:tcPr>
          <w:p>
            <w:pPr>
              <w:pStyle w:val="TableContents"/>
              <w:bidi w:val="0"/>
              <w:spacing w:before="0" w:after="283"/>
              <w:jc w:val="left"/>
              <w:rPr/>
            </w:pPr>
            <w:r>
              <w:rPr/>
              <w:t>$</w:t>
            </w:r>
          </w:p>
        </w:tc>
        <w:tc>
          <w:tcPr>
            <w:tcW w:w="3065" w:type="dxa"/>
            <w:tcBorders>
              <w:bottom w:val="single" w:sz="6" w:space="0" w:color="000000"/>
            </w:tcBorders>
            <w:tcMar>
              <w:bottom w:w="28" w:type="dxa"/>
            </w:tcMar>
            <w:vAlign w:val="center"/>
          </w:tcPr>
          <w:p>
            <w:pPr>
              <w:pStyle w:val="TableContents"/>
              <w:bidi w:val="0"/>
              <w:spacing w:before="0" w:after="283"/>
              <w:jc w:val="right"/>
              <w:rPr/>
            </w:pPr>
            <w:r>
              <w:rPr/>
              <w:t>11,900</w:t>
            </w:r>
          </w:p>
        </w:tc>
        <w:tc>
          <w:tcPr>
            <w:tcW w:w="7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39</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sz w:val="20"/>
        </w:rPr>
      </w:pPr>
      <w:bookmarkStart w:id="38" w:name="toc814840_34"/>
      <w:bookmarkEnd w:id="38"/>
      <w:r>
        <w:rPr>
          <w:rFonts w:ascii="ARIAL" w:hAnsi="ARIAL"/>
          <w:b/>
          <w:sz w:val="20"/>
        </w:rPr>
        <w:t>Grants of Plan-Based Awards</w:t>
      </w:r>
      <w:r>
        <w:rPr>
          <w:rFonts w:ascii="ARIAL" w:hAnsi="ARIAL"/>
          <w:sz w:val="20"/>
        </w:rPr>
        <w:t xml:space="preserve"> </w:t>
      </w:r>
    </w:p>
    <w:p>
      <w:pPr>
        <w:pStyle w:val="TextBody"/>
        <w:bidi w:val="0"/>
        <w:spacing w:before="160" w:after="0"/>
        <w:jc w:val="left"/>
        <w:rPr>
          <w:rFonts w:ascii="ARIAL" w:hAnsi="ARIAL"/>
          <w:sz w:val="18"/>
        </w:rPr>
      </w:pPr>
      <w:r>
        <w:rPr>
          <w:rFonts w:ascii="ARIAL" w:hAnsi="ARIAL"/>
          <w:sz w:val="18"/>
        </w:rPr>
        <w:t xml:space="preserve">The following table summarizes the awards granted to each of the NEOs during the fiscal year ended December 31, 2023. </w:t>
      </w:r>
    </w:p>
    <w:p>
      <w:pPr>
        <w:pStyle w:val="TextBody"/>
        <w:bidi w:val="0"/>
        <w:spacing w:before="0" w:after="0"/>
        <w:jc w:val="left"/>
        <w:rPr/>
      </w:pPr>
      <w:r>
        <w:rPr/>
        <w:t> </w:t>
      </w:r>
    </w:p>
    <w:tbl>
      <w:tblPr>
        <w:tblW w:w="12747" w:type="dxa"/>
        <w:jc w:val="left"/>
        <w:tblInd w:w="0" w:type="dxa"/>
        <w:tblLayout w:type="fixed"/>
        <w:tblCellMar>
          <w:top w:w="0" w:type="dxa"/>
          <w:left w:w="0" w:type="dxa"/>
          <w:bottom w:w="0" w:type="dxa"/>
          <w:right w:w="0" w:type="dxa"/>
        </w:tblCellMar>
      </w:tblPr>
      <w:tblGrid>
        <w:gridCol w:w="1055"/>
        <w:gridCol w:w="60"/>
        <w:gridCol w:w="60"/>
        <w:gridCol w:w="500"/>
        <w:gridCol w:w="60"/>
        <w:gridCol w:w="60"/>
        <w:gridCol w:w="140"/>
        <w:gridCol w:w="980"/>
        <w:gridCol w:w="60"/>
        <w:gridCol w:w="60"/>
        <w:gridCol w:w="140"/>
        <w:gridCol w:w="980"/>
        <w:gridCol w:w="60"/>
        <w:gridCol w:w="60"/>
        <w:gridCol w:w="140"/>
        <w:gridCol w:w="980"/>
        <w:gridCol w:w="60"/>
        <w:gridCol w:w="60"/>
        <w:gridCol w:w="72"/>
        <w:gridCol w:w="683"/>
        <w:gridCol w:w="68"/>
        <w:gridCol w:w="68"/>
        <w:gridCol w:w="68"/>
        <w:gridCol w:w="777"/>
        <w:gridCol w:w="68"/>
        <w:gridCol w:w="68"/>
        <w:gridCol w:w="68"/>
        <w:gridCol w:w="782"/>
        <w:gridCol w:w="60"/>
        <w:gridCol w:w="60"/>
        <w:gridCol w:w="68"/>
        <w:gridCol w:w="912"/>
        <w:gridCol w:w="60"/>
        <w:gridCol w:w="60"/>
        <w:gridCol w:w="60"/>
        <w:gridCol w:w="800"/>
        <w:gridCol w:w="60"/>
        <w:gridCol w:w="60"/>
        <w:gridCol w:w="175"/>
        <w:gridCol w:w="700"/>
        <w:gridCol w:w="60"/>
        <w:gridCol w:w="60"/>
        <w:gridCol w:w="140"/>
        <w:gridCol w:w="1100"/>
        <w:gridCol w:w="75"/>
      </w:tblGrid>
      <w:tr>
        <w:trPr/>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55" w:type="dxa"/>
            <w:tcBorders/>
            <w:shd w:fill="0BC11C" w:val="clear"/>
            <w:vAlign w:val="center"/>
          </w:tcPr>
          <w:p>
            <w:pPr>
              <w:pStyle w:val="TableContents"/>
              <w:bidi w:val="0"/>
              <w:spacing w:before="0" w:after="283"/>
              <w:jc w:val="left"/>
              <w:rPr>
                <w:sz w:val="4"/>
                <w:szCs w:val="4"/>
              </w:rPr>
            </w:pPr>
            <w:r>
              <w:rPr>
                <w:sz w:val="4"/>
                <w:szCs w:val="4"/>
              </w:rPr>
            </w:r>
          </w:p>
        </w:tc>
        <w:tc>
          <w:tcPr>
            <w:tcW w:w="680" w:type="dxa"/>
            <w:gridSpan w:val="4"/>
            <w:tcBorders/>
            <w:shd w:fill="0BC11C" w:val="clear"/>
            <w:vAlign w:val="center"/>
          </w:tcPr>
          <w:p>
            <w:pPr>
              <w:pStyle w:val="TableContents"/>
              <w:bidi w:val="0"/>
              <w:spacing w:before="0" w:after="283"/>
              <w:jc w:val="left"/>
              <w:rPr>
                <w:sz w:val="4"/>
                <w:szCs w:val="4"/>
              </w:rPr>
            </w:pPr>
            <w:r>
              <w:rPr>
                <w:sz w:val="4"/>
                <w:szCs w:val="4"/>
              </w:rPr>
            </w:r>
          </w:p>
        </w:tc>
        <w:tc>
          <w:tcPr>
            <w:tcW w:w="3720" w:type="dxa"/>
            <w:gridSpan w:val="12"/>
            <w:tcBorders/>
            <w:shd w:fill="0BC11C" w:val="clear"/>
            <w:vAlign w:val="center"/>
          </w:tcPr>
          <w:p>
            <w:pPr>
              <w:pStyle w:val="TableContents"/>
              <w:bidi w:val="0"/>
              <w:spacing w:before="0" w:after="283"/>
              <w:jc w:val="left"/>
              <w:rPr>
                <w:sz w:val="4"/>
                <w:szCs w:val="4"/>
              </w:rPr>
            </w:pPr>
            <w:r>
              <w:rPr>
                <w:sz w:val="4"/>
                <w:szCs w:val="4"/>
              </w:rPr>
            </w:r>
          </w:p>
        </w:tc>
        <w:tc>
          <w:tcPr>
            <w:tcW w:w="2842" w:type="dxa"/>
            <w:gridSpan w:val="12"/>
            <w:tcBorders/>
            <w:shd w:fill="0BC11C" w:val="clear"/>
            <w:vAlign w:val="center"/>
          </w:tcPr>
          <w:p>
            <w:pPr>
              <w:pStyle w:val="TableContents"/>
              <w:bidi w:val="0"/>
              <w:spacing w:before="0" w:after="283"/>
              <w:jc w:val="left"/>
              <w:rPr>
                <w:sz w:val="4"/>
                <w:szCs w:val="4"/>
              </w:rPr>
            </w:pPr>
            <w:r>
              <w:rPr>
                <w:sz w:val="4"/>
                <w:szCs w:val="4"/>
              </w:rPr>
            </w:r>
          </w:p>
        </w:tc>
        <w:tc>
          <w:tcPr>
            <w:tcW w:w="1100" w:type="dxa"/>
            <w:gridSpan w:val="4"/>
            <w:tcBorders/>
            <w:shd w:fill="0BC11C" w:val="clear"/>
            <w:vAlign w:val="center"/>
          </w:tcPr>
          <w:p>
            <w:pPr>
              <w:pStyle w:val="TableContents"/>
              <w:bidi w:val="0"/>
              <w:spacing w:before="0" w:after="283"/>
              <w:jc w:val="left"/>
              <w:rPr>
                <w:sz w:val="4"/>
                <w:szCs w:val="4"/>
              </w:rPr>
            </w:pPr>
            <w:r>
              <w:rPr>
                <w:sz w:val="4"/>
                <w:szCs w:val="4"/>
              </w:rPr>
            </w:r>
          </w:p>
        </w:tc>
        <w:tc>
          <w:tcPr>
            <w:tcW w:w="980" w:type="dxa"/>
            <w:gridSpan w:val="4"/>
            <w:tcBorders/>
            <w:shd w:fill="0BC11C" w:val="clear"/>
            <w:vAlign w:val="center"/>
          </w:tcPr>
          <w:p>
            <w:pPr>
              <w:pStyle w:val="TableContents"/>
              <w:bidi w:val="0"/>
              <w:spacing w:before="0" w:after="283"/>
              <w:jc w:val="left"/>
              <w:rPr>
                <w:sz w:val="4"/>
                <w:szCs w:val="4"/>
              </w:rPr>
            </w:pPr>
            <w:r>
              <w:rPr>
                <w:sz w:val="4"/>
                <w:szCs w:val="4"/>
              </w:rPr>
            </w:r>
          </w:p>
        </w:tc>
        <w:tc>
          <w:tcPr>
            <w:tcW w:w="995" w:type="dxa"/>
            <w:gridSpan w:val="4"/>
            <w:tcBorders/>
            <w:shd w:fill="0BC11C" w:val="clear"/>
            <w:vAlign w:val="center"/>
          </w:tcPr>
          <w:p>
            <w:pPr>
              <w:pStyle w:val="TableContents"/>
              <w:bidi w:val="0"/>
              <w:spacing w:before="0" w:after="283"/>
              <w:jc w:val="left"/>
              <w:rPr>
                <w:sz w:val="4"/>
                <w:szCs w:val="4"/>
              </w:rPr>
            </w:pPr>
            <w:r>
              <w:rPr>
                <w:sz w:val="4"/>
                <w:szCs w:val="4"/>
              </w:rPr>
            </w:r>
          </w:p>
        </w:tc>
        <w:tc>
          <w:tcPr>
            <w:tcW w:w="1375" w:type="dxa"/>
            <w:gridSpan w:val="4"/>
            <w:tcBorders/>
            <w:shd w:fill="0BC11C" w:val="clear"/>
            <w:vAlign w:val="center"/>
          </w:tcPr>
          <w:p>
            <w:pPr>
              <w:pStyle w:val="TableContents"/>
              <w:bidi w:val="0"/>
              <w:spacing w:before="0" w:after="283"/>
              <w:jc w:val="left"/>
              <w:rPr>
                <w:sz w:val="4"/>
                <w:szCs w:val="4"/>
              </w:rPr>
            </w:pPr>
            <w:r>
              <w:rPr>
                <w:sz w:val="4"/>
                <w:szCs w:val="4"/>
              </w:rPr>
            </w:r>
          </w:p>
        </w:tc>
      </w:tr>
      <w:tr>
        <w:trPr/>
        <w:tc>
          <w:tcPr>
            <w:tcW w:w="1055" w:type="dxa"/>
            <w:tcBorders/>
            <w:shd w:fill="0BC11C"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0BC11C" w:val="clear"/>
            <w:vAlign w:val="center"/>
          </w:tcPr>
          <w:p>
            <w:pPr>
              <w:pStyle w:val="TableContents"/>
              <w:bidi w:val="0"/>
              <w:spacing w:before="0" w:after="283"/>
              <w:jc w:val="left"/>
              <w:rPr/>
            </w:pPr>
            <w:r>
              <w:rPr/>
              <w:t> </w:t>
            </w:r>
          </w:p>
        </w:tc>
        <w:tc>
          <w:tcPr>
            <w:tcW w:w="560" w:type="dxa"/>
            <w:gridSpan w:val="2"/>
            <w:tcBorders/>
            <w:shd w:fill="0BC11C"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3600" w:type="dxa"/>
            <w:gridSpan w:val="10"/>
            <w:tcBorders/>
            <w:shd w:fill="0BC11C" w:val="clear"/>
            <w:vAlign w:val="center"/>
          </w:tcPr>
          <w:p>
            <w:pPr>
              <w:pStyle w:val="TableContents"/>
              <w:bidi w:val="0"/>
              <w:spacing w:before="0" w:after="0"/>
              <w:jc w:val="center"/>
              <w:rPr>
                <w:rFonts w:ascii="ARIAL" w:hAnsi="ARIAL"/>
                <w:b/>
                <w:color w:val="FFFFFF"/>
                <w:sz w:val="15"/>
              </w:rPr>
            </w:pPr>
            <w:r>
              <w:rPr>
                <w:rFonts w:ascii="ARIAL" w:hAnsi="ARIAL"/>
                <w:b/>
                <w:color w:val="FFFFFF"/>
                <w:sz w:val="15"/>
              </w:rPr>
              <w:t>Estimated Future Payouts</w:t>
            </w:r>
          </w:p>
          <w:p>
            <w:pPr>
              <w:pStyle w:val="TableContents"/>
              <w:bidi w:val="0"/>
              <w:spacing w:before="0" w:after="0"/>
              <w:jc w:val="center"/>
              <w:rPr>
                <w:rFonts w:ascii="ARIAL" w:hAnsi="ARIAL"/>
                <w:b/>
                <w:color w:val="FFFFFF"/>
                <w:sz w:val="15"/>
              </w:rPr>
            </w:pPr>
            <w:r>
              <w:rPr>
                <w:rFonts w:ascii="ARIAL" w:hAnsi="ARIAL"/>
                <w:b/>
                <w:color w:val="FFFFFF"/>
                <w:sz w:val="15"/>
              </w:rPr>
              <w:t>Under Non-Equity Incentive</w:t>
            </w:r>
          </w:p>
          <w:p>
            <w:pPr>
              <w:pStyle w:val="TableContents"/>
              <w:bidi w:val="0"/>
              <w:spacing w:before="0" w:after="20"/>
              <w:jc w:val="center"/>
              <w:rPr>
                <w:rFonts w:ascii="ARIAL" w:hAnsi="ARIAL"/>
                <w:b/>
                <w:color w:val="FFFFFF"/>
                <w:sz w:val="15"/>
              </w:rPr>
            </w:pPr>
            <w:r>
              <w:rPr>
                <w:rFonts w:ascii="ARIAL" w:hAnsi="ARIAL"/>
                <w:b/>
                <w:color w:val="FFFFFF"/>
                <w:sz w:val="15"/>
              </w:rPr>
              <w:t>Plan Awards (1)(2)</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2722" w:type="dxa"/>
            <w:gridSpan w:val="10"/>
            <w:tcBorders>
              <w:bottom w:val="single" w:sz="2" w:space="0" w:color="FFFFFF"/>
            </w:tcBorders>
            <w:shd w:fill="0BC11C" w:val="clear"/>
            <w:tcMar>
              <w:bottom w:w="60" w:type="dxa"/>
            </w:tcMar>
            <w:vAlign w:val="center"/>
          </w:tcPr>
          <w:p>
            <w:pPr>
              <w:pStyle w:val="TableContents"/>
              <w:bidi w:val="0"/>
              <w:spacing w:before="0" w:after="283"/>
              <w:jc w:val="center"/>
              <w:rPr/>
            </w:pPr>
            <w:r>
              <w:rPr>
                <w:b/>
                <w:color w:val="FFFFFF"/>
              </w:rPr>
              <w:t>Estimated Future Payouts</w:t>
            </w:r>
            <w:r>
              <w:rPr/>
              <w:br/>
            </w:r>
            <w:r>
              <w:rPr>
                <w:b/>
                <w:color w:val="FFFFFF"/>
              </w:rPr>
              <w:t>Under Equity Incentive</w:t>
            </w:r>
            <w:r>
              <w:rPr/>
              <w:br/>
            </w:r>
            <w:r>
              <w:rPr>
                <w:b/>
                <w:color w:val="FFFFFF"/>
              </w:rPr>
              <w:t>Plan Awards (3)(4)(5)</w:t>
            </w:r>
          </w:p>
        </w:tc>
        <w:tc>
          <w:tcPr>
            <w:tcW w:w="60" w:type="dxa"/>
            <w:tcBorders/>
            <w:shd w:fill="0BC11C" w:val="clear"/>
            <w:vAlign w:val="center"/>
          </w:tcPr>
          <w:p>
            <w:pPr>
              <w:pStyle w:val="TableContents"/>
              <w:bidi w:val="0"/>
              <w:spacing w:before="0" w:after="283"/>
              <w:jc w:val="left"/>
              <w:rPr/>
            </w:pPr>
            <w:r>
              <w:rPr/>
              <w:t> </w:t>
            </w:r>
          </w:p>
        </w:tc>
        <w:tc>
          <w:tcPr>
            <w:tcW w:w="60" w:type="dxa"/>
            <w:vMerge w:val="restart"/>
            <w:tcBorders/>
            <w:shd w:fill="0BC11C" w:val="clear"/>
            <w:vAlign w:val="center"/>
          </w:tcPr>
          <w:p>
            <w:pPr>
              <w:pStyle w:val="TableContents"/>
              <w:bidi w:val="0"/>
              <w:spacing w:before="0" w:after="283"/>
              <w:jc w:val="left"/>
              <w:rPr/>
            </w:pPr>
            <w:r>
              <w:rPr/>
              <w:t> </w:t>
            </w:r>
          </w:p>
        </w:tc>
        <w:tc>
          <w:tcPr>
            <w:tcW w:w="980" w:type="dxa"/>
            <w:gridSpan w:val="2"/>
            <w:vMerge w:val="restart"/>
            <w:tcBorders/>
            <w:shd w:fill="0BC11C" w:val="clear"/>
            <w:vAlign w:val="center"/>
          </w:tcPr>
          <w:p>
            <w:pPr>
              <w:pStyle w:val="TableContents"/>
              <w:bidi w:val="0"/>
              <w:spacing w:before="0" w:after="283"/>
              <w:jc w:val="center"/>
              <w:rPr>
                <w:b/>
                <w:color w:val="FFFFFF"/>
              </w:rPr>
            </w:pPr>
            <w:r>
              <w:rPr>
                <w:b/>
                <w:color w:val="FFFFFF"/>
              </w:rPr>
              <w:t>All Other</w:t>
              <w:br/>
              <w:t>Stock</w:t>
              <w:br/>
              <w:t>Awards:</w:t>
              <w:br/>
              <w:t>Number of</w:t>
              <w:br/>
              <w:t>Shares of</w:t>
              <w:br/>
              <w:t>Stock or</w:t>
              <w:br/>
              <w:t>Units (3)(4)(6)</w:t>
              <w:br/>
              <w:t>(#)(i)</w:t>
            </w:r>
          </w:p>
        </w:tc>
        <w:tc>
          <w:tcPr>
            <w:tcW w:w="60" w:type="dxa"/>
            <w:vMerge w:val="restart"/>
            <w:tcBorders/>
            <w:shd w:fill="0BC11C" w:val="clear"/>
            <w:vAlign w:val="center"/>
          </w:tcPr>
          <w:p>
            <w:pPr>
              <w:pStyle w:val="TableContents"/>
              <w:bidi w:val="0"/>
              <w:spacing w:before="0" w:after="283"/>
              <w:jc w:val="left"/>
              <w:rPr/>
            </w:pPr>
            <w:r>
              <w:rPr/>
              <w:t> </w:t>
            </w:r>
          </w:p>
        </w:tc>
        <w:tc>
          <w:tcPr>
            <w:tcW w:w="60" w:type="dxa"/>
            <w:vMerge w:val="restart"/>
            <w:tcBorders/>
            <w:shd w:fill="0BC11C" w:val="clear"/>
            <w:vAlign w:val="center"/>
          </w:tcPr>
          <w:p>
            <w:pPr>
              <w:pStyle w:val="TableContents"/>
              <w:bidi w:val="0"/>
              <w:spacing w:before="0" w:after="283"/>
              <w:jc w:val="left"/>
              <w:rPr/>
            </w:pPr>
            <w:r>
              <w:rPr/>
              <w:t> </w:t>
            </w:r>
          </w:p>
        </w:tc>
        <w:tc>
          <w:tcPr>
            <w:tcW w:w="860" w:type="dxa"/>
            <w:gridSpan w:val="2"/>
            <w:vMerge w:val="restart"/>
            <w:tcBorders/>
            <w:shd w:fill="0BC11C" w:val="clear"/>
            <w:vAlign w:val="center"/>
          </w:tcPr>
          <w:p>
            <w:pPr>
              <w:pStyle w:val="TableContents"/>
              <w:bidi w:val="0"/>
              <w:spacing w:before="0" w:after="0"/>
              <w:jc w:val="center"/>
              <w:rPr>
                <w:rFonts w:ascii="ARIAL" w:hAnsi="ARIAL"/>
                <w:b/>
                <w:color w:val="FFFFFF"/>
                <w:sz w:val="15"/>
              </w:rPr>
            </w:pPr>
            <w:r>
              <w:rPr>
                <w:rFonts w:ascii="ARIAL" w:hAnsi="ARIAL"/>
                <w:b/>
                <w:color w:val="FFFFFF"/>
                <w:sz w:val="15"/>
              </w:rPr>
              <w:t>All Other</w:t>
              <w:br/>
              <w:t>Option</w:t>
              <w:br/>
              <w:t>Awards:</w:t>
              <w:br/>
              <w:t>Number of</w:t>
              <w:br/>
              <w:t>Securities</w:t>
              <w:br/>
              <w:t>Underlying</w:t>
              <w:br/>
              <w:t>Options (7)</w:t>
            </w:r>
          </w:p>
          <w:p>
            <w:pPr>
              <w:pStyle w:val="TableContents"/>
              <w:bidi w:val="0"/>
              <w:spacing w:before="0" w:after="20"/>
              <w:jc w:val="center"/>
              <w:rPr>
                <w:rFonts w:ascii="ARIAL" w:hAnsi="ARIAL"/>
                <w:b/>
                <w:color w:val="FFFFFF"/>
                <w:sz w:val="15"/>
              </w:rPr>
            </w:pPr>
            <w:r>
              <w:rPr>
                <w:rFonts w:ascii="ARIAL" w:hAnsi="ARIAL"/>
                <w:b/>
                <w:color w:val="FFFFFF"/>
                <w:sz w:val="15"/>
              </w:rPr>
              <w:t>(#)(j)</w:t>
            </w:r>
          </w:p>
        </w:tc>
        <w:tc>
          <w:tcPr>
            <w:tcW w:w="60" w:type="dxa"/>
            <w:vMerge w:val="restart"/>
            <w:tcBorders/>
            <w:shd w:fill="0BC11C" w:val="clear"/>
            <w:vAlign w:val="center"/>
          </w:tcPr>
          <w:p>
            <w:pPr>
              <w:pStyle w:val="TableContents"/>
              <w:bidi w:val="0"/>
              <w:spacing w:before="0" w:after="283"/>
              <w:jc w:val="left"/>
              <w:rPr/>
            </w:pPr>
            <w:r>
              <w:rPr/>
              <w:t> </w:t>
            </w:r>
          </w:p>
        </w:tc>
        <w:tc>
          <w:tcPr>
            <w:tcW w:w="60" w:type="dxa"/>
            <w:vMerge w:val="restart"/>
            <w:tcBorders/>
            <w:shd w:fill="0BC11C" w:val="clear"/>
            <w:vAlign w:val="center"/>
          </w:tcPr>
          <w:p>
            <w:pPr>
              <w:pStyle w:val="TableContents"/>
              <w:bidi w:val="0"/>
              <w:spacing w:before="0" w:after="283"/>
              <w:jc w:val="left"/>
              <w:rPr/>
            </w:pPr>
            <w:r>
              <w:rPr/>
              <w:t> </w:t>
            </w:r>
          </w:p>
        </w:tc>
        <w:tc>
          <w:tcPr>
            <w:tcW w:w="875" w:type="dxa"/>
            <w:gridSpan w:val="2"/>
            <w:vMerge w:val="restart"/>
            <w:tcBorders/>
            <w:shd w:fill="0BC11C" w:val="clear"/>
            <w:vAlign w:val="center"/>
          </w:tcPr>
          <w:p>
            <w:pPr>
              <w:pStyle w:val="TableContents"/>
              <w:bidi w:val="0"/>
              <w:spacing w:before="0" w:after="283"/>
              <w:jc w:val="center"/>
              <w:rPr>
                <w:b/>
                <w:color w:val="FFFFFF"/>
              </w:rPr>
            </w:pPr>
            <w:r>
              <w:rPr>
                <w:b/>
                <w:color w:val="FFFFFF"/>
              </w:rPr>
              <w:t>Exercise</w:t>
              <w:br/>
              <w:t>or Base</w:t>
              <w:br/>
              <w:t>Price of</w:t>
              <w:br/>
              <w:t>Option</w:t>
              <w:br/>
              <w:t>Awards</w:t>
              <w:br/>
              <w:t>($/Sh)(k)</w:t>
            </w:r>
          </w:p>
        </w:tc>
        <w:tc>
          <w:tcPr>
            <w:tcW w:w="60" w:type="dxa"/>
            <w:vMerge w:val="restart"/>
            <w:tcBorders/>
            <w:shd w:fill="0BC11C" w:val="clear"/>
            <w:vAlign w:val="center"/>
          </w:tcPr>
          <w:p>
            <w:pPr>
              <w:pStyle w:val="TableContents"/>
              <w:bidi w:val="0"/>
              <w:spacing w:before="0" w:after="283"/>
              <w:jc w:val="left"/>
              <w:rPr/>
            </w:pPr>
            <w:r>
              <w:rPr/>
              <w:t> </w:t>
            </w:r>
          </w:p>
        </w:tc>
        <w:tc>
          <w:tcPr>
            <w:tcW w:w="60" w:type="dxa"/>
            <w:vMerge w:val="restart"/>
            <w:tcBorders/>
            <w:shd w:fill="0BC11C" w:val="clear"/>
            <w:vAlign w:val="center"/>
          </w:tcPr>
          <w:p>
            <w:pPr>
              <w:pStyle w:val="TableContents"/>
              <w:bidi w:val="0"/>
              <w:spacing w:before="0" w:after="283"/>
              <w:jc w:val="left"/>
              <w:rPr/>
            </w:pPr>
            <w:r>
              <w:rPr/>
              <w:t> </w:t>
            </w:r>
          </w:p>
        </w:tc>
        <w:tc>
          <w:tcPr>
            <w:tcW w:w="1240" w:type="dxa"/>
            <w:gridSpan w:val="2"/>
            <w:vMerge w:val="restart"/>
            <w:tcBorders/>
            <w:shd w:fill="0BC11C" w:val="clear"/>
            <w:vAlign w:val="center"/>
          </w:tcPr>
          <w:p>
            <w:pPr>
              <w:pStyle w:val="TableContents"/>
              <w:bidi w:val="0"/>
              <w:spacing w:before="0" w:after="0"/>
              <w:jc w:val="center"/>
              <w:rPr>
                <w:rFonts w:ascii="ARIAL" w:hAnsi="ARIAL"/>
                <w:b/>
                <w:color w:val="FFFFFF"/>
                <w:sz w:val="15"/>
              </w:rPr>
            </w:pPr>
            <w:r>
              <w:rPr>
                <w:rFonts w:ascii="ARIAL" w:hAnsi="ARIAL"/>
                <w:b/>
                <w:color w:val="FFFFFF"/>
                <w:sz w:val="15"/>
              </w:rPr>
              <w:t>Grant Date</w:t>
              <w:br/>
              <w:t>Fair Value of</w:t>
              <w:br/>
              <w:t>Stock and</w:t>
              <w:br/>
              <w:t>Option</w:t>
              <w:br/>
              <w:t>Awards (8)</w:t>
            </w:r>
          </w:p>
          <w:p>
            <w:pPr>
              <w:pStyle w:val="TableContents"/>
              <w:bidi w:val="0"/>
              <w:spacing w:before="0" w:after="20"/>
              <w:jc w:val="center"/>
              <w:rPr>
                <w:rFonts w:ascii="ARIAL" w:hAnsi="ARIAL"/>
                <w:b/>
                <w:color w:val="FFFFFF"/>
                <w:sz w:val="15"/>
              </w:rPr>
            </w:pPr>
            <w:r>
              <w:rPr>
                <w:rFonts w:ascii="ARIAL" w:hAnsi="ARIAL"/>
                <w:b/>
                <w:color w:val="FFFFFF"/>
                <w:sz w:val="15"/>
              </w:rPr>
              <w:t>($)(l)</w:t>
            </w:r>
          </w:p>
        </w:tc>
        <w:tc>
          <w:tcPr>
            <w:tcW w:w="75" w:type="dxa"/>
            <w:vMerge w:val="restart"/>
            <w:tcBorders/>
            <w:shd w:fill="0BC11C" w:val="clear"/>
            <w:vAlign w:val="center"/>
          </w:tcPr>
          <w:p>
            <w:pPr>
              <w:pStyle w:val="TableContents"/>
              <w:bidi w:val="0"/>
              <w:spacing w:before="0" w:after="283"/>
              <w:jc w:val="left"/>
              <w:rPr/>
            </w:pPr>
            <w:r>
              <w:rPr/>
              <w:t> </w:t>
            </w:r>
          </w:p>
        </w:tc>
      </w:tr>
      <w:tr>
        <w:trPr/>
        <w:tc>
          <w:tcPr>
            <w:tcW w:w="1055" w:type="dxa"/>
            <w:tcBorders/>
            <w:shd w:fill="0BC11C" w:val="clear"/>
            <w:vAlign w:val="center"/>
          </w:tcPr>
          <w:p>
            <w:pPr>
              <w:pStyle w:val="TableContents"/>
              <w:bidi w:val="0"/>
              <w:spacing w:before="0" w:after="0"/>
              <w:jc w:val="left"/>
              <w:rPr>
                <w:rFonts w:ascii="ARIAL" w:hAnsi="ARIAL"/>
                <w:b/>
                <w:color w:val="FFFFFF"/>
                <w:sz w:val="15"/>
              </w:rPr>
            </w:pPr>
            <w:r>
              <w:rPr>
                <w:rFonts w:ascii="ARIAL" w:hAnsi="ARIAL"/>
                <w:b/>
                <w:color w:val="FFFFFF"/>
                <w:sz w:val="15"/>
              </w:rPr>
              <w:t>Name (a)</w:t>
            </w:r>
          </w:p>
        </w:tc>
        <w:tc>
          <w:tcPr>
            <w:tcW w:w="60" w:type="dxa"/>
            <w:tcBorders/>
            <w:shd w:fill="0BC11C" w:val="clear"/>
            <w:vAlign w:val="center"/>
          </w:tcPr>
          <w:p>
            <w:pPr>
              <w:pStyle w:val="TableContents"/>
              <w:bidi w:val="0"/>
              <w:spacing w:before="0" w:after="283"/>
              <w:jc w:val="left"/>
              <w:rPr/>
            </w:pPr>
            <w:r>
              <w:rPr/>
              <w:t> </w:t>
            </w:r>
          </w:p>
        </w:tc>
        <w:tc>
          <w:tcPr>
            <w:tcW w:w="560" w:type="dxa"/>
            <w:gridSpan w:val="2"/>
            <w:tcBorders/>
            <w:shd w:fill="0BC11C" w:val="clear"/>
            <w:vAlign w:val="center"/>
          </w:tcPr>
          <w:p>
            <w:pPr>
              <w:pStyle w:val="TableContents"/>
              <w:bidi w:val="0"/>
              <w:spacing w:before="0" w:after="0"/>
              <w:jc w:val="center"/>
              <w:rPr>
                <w:rFonts w:ascii="ARIAL" w:hAnsi="ARIAL"/>
                <w:b/>
                <w:color w:val="FFFFFF"/>
                <w:sz w:val="15"/>
              </w:rPr>
            </w:pPr>
            <w:r>
              <w:rPr>
                <w:rFonts w:ascii="ARIAL" w:hAnsi="ARIAL"/>
                <w:b/>
                <w:color w:val="FFFFFF"/>
                <w:sz w:val="15"/>
              </w:rPr>
              <w:t>Grant Date</w:t>
            </w:r>
          </w:p>
          <w:p>
            <w:pPr>
              <w:pStyle w:val="TableContents"/>
              <w:bidi w:val="0"/>
              <w:spacing w:before="0" w:after="20"/>
              <w:jc w:val="center"/>
              <w:rPr>
                <w:rFonts w:ascii="ARIAL" w:hAnsi="ARIAL"/>
                <w:b/>
                <w:color w:val="FFFFFF"/>
                <w:sz w:val="15"/>
              </w:rPr>
            </w:pPr>
            <w:r>
              <w:rPr>
                <w:rFonts w:ascii="ARIAL" w:hAnsi="ARIAL"/>
                <w:b/>
                <w:color w:val="FFFFFF"/>
                <w:sz w:val="15"/>
              </w:rPr>
              <w:t>(b)</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120" w:type="dxa"/>
            <w:gridSpan w:val="2"/>
            <w:tcBorders/>
            <w:shd w:fill="0BC11C" w:val="clear"/>
            <w:vAlign w:val="center"/>
          </w:tcPr>
          <w:p>
            <w:pPr>
              <w:pStyle w:val="TableContents"/>
              <w:bidi w:val="0"/>
              <w:spacing w:before="0" w:after="0"/>
              <w:jc w:val="center"/>
              <w:rPr>
                <w:rFonts w:ascii="ARIAL" w:hAnsi="ARIAL"/>
                <w:b/>
                <w:color w:val="FFFFFF"/>
                <w:sz w:val="15"/>
              </w:rPr>
            </w:pPr>
            <w:r>
              <w:rPr>
                <w:rFonts w:ascii="ARIAL" w:hAnsi="ARIAL"/>
                <w:b/>
                <w:color w:val="FFFFFF"/>
                <w:sz w:val="15"/>
              </w:rPr>
              <w:t>Threshold</w:t>
            </w:r>
          </w:p>
          <w:p>
            <w:pPr>
              <w:pStyle w:val="TableContents"/>
              <w:bidi w:val="0"/>
              <w:spacing w:before="0" w:after="20"/>
              <w:jc w:val="center"/>
              <w:rPr>
                <w:rFonts w:ascii="ARIAL" w:hAnsi="ARIAL"/>
                <w:b/>
                <w:color w:val="FFFFFF"/>
                <w:sz w:val="15"/>
              </w:rPr>
            </w:pPr>
            <w:r>
              <w:rPr>
                <w:rFonts w:ascii="ARIAL" w:hAnsi="ARIAL"/>
                <w:b/>
                <w:color w:val="FFFFFF"/>
                <w:sz w:val="15"/>
              </w:rPr>
              <w:t xml:space="preserve">($)(c) </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120" w:type="dxa"/>
            <w:gridSpan w:val="2"/>
            <w:tcBorders/>
            <w:shd w:fill="0BC11C" w:val="clear"/>
            <w:vAlign w:val="center"/>
          </w:tcPr>
          <w:p>
            <w:pPr>
              <w:pStyle w:val="TableContents"/>
              <w:bidi w:val="0"/>
              <w:spacing w:before="0" w:after="0"/>
              <w:jc w:val="center"/>
              <w:rPr>
                <w:rFonts w:ascii="ARIAL" w:hAnsi="ARIAL"/>
                <w:b/>
                <w:color w:val="FFFFFF"/>
                <w:sz w:val="15"/>
              </w:rPr>
            </w:pPr>
            <w:r>
              <w:rPr>
                <w:rFonts w:ascii="ARIAL" w:hAnsi="ARIAL"/>
                <w:b/>
                <w:color w:val="FFFFFF"/>
                <w:sz w:val="15"/>
              </w:rPr>
              <w:t>Target</w:t>
            </w:r>
          </w:p>
          <w:p>
            <w:pPr>
              <w:pStyle w:val="TableContents"/>
              <w:bidi w:val="0"/>
              <w:spacing w:before="0" w:after="20"/>
              <w:jc w:val="center"/>
              <w:rPr>
                <w:rFonts w:ascii="ARIAL" w:hAnsi="ARIAL"/>
                <w:b/>
                <w:color w:val="FFFFFF"/>
                <w:sz w:val="15"/>
              </w:rPr>
            </w:pPr>
            <w:r>
              <w:rPr>
                <w:rFonts w:ascii="ARIAL" w:hAnsi="ARIAL"/>
                <w:b/>
                <w:color w:val="FFFFFF"/>
                <w:sz w:val="15"/>
              </w:rPr>
              <w:t>($)(d)</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120" w:type="dxa"/>
            <w:gridSpan w:val="2"/>
            <w:tcBorders/>
            <w:shd w:fill="0BC11C" w:val="clear"/>
            <w:vAlign w:val="center"/>
          </w:tcPr>
          <w:p>
            <w:pPr>
              <w:pStyle w:val="TableContents"/>
              <w:bidi w:val="0"/>
              <w:spacing w:before="0" w:after="0"/>
              <w:jc w:val="center"/>
              <w:rPr>
                <w:rFonts w:ascii="ARIAL" w:hAnsi="ARIAL"/>
                <w:b/>
                <w:color w:val="FFFFFF"/>
                <w:sz w:val="15"/>
              </w:rPr>
            </w:pPr>
            <w:r>
              <w:rPr>
                <w:rFonts w:ascii="ARIAL" w:hAnsi="ARIAL"/>
                <w:b/>
                <w:color w:val="FFFFFF"/>
                <w:sz w:val="15"/>
              </w:rPr>
              <w:t>Maximum</w:t>
            </w:r>
          </w:p>
          <w:p>
            <w:pPr>
              <w:pStyle w:val="TableContents"/>
              <w:bidi w:val="0"/>
              <w:spacing w:before="0" w:after="20"/>
              <w:jc w:val="center"/>
              <w:rPr>
                <w:rFonts w:ascii="ARIAL" w:hAnsi="ARIAL"/>
                <w:b/>
                <w:color w:val="FFFFFF"/>
                <w:sz w:val="15"/>
              </w:rPr>
            </w:pPr>
            <w:r>
              <w:rPr>
                <w:rFonts w:ascii="ARIAL" w:hAnsi="ARIAL"/>
                <w:b/>
                <w:color w:val="FFFFFF"/>
                <w:sz w:val="15"/>
              </w:rPr>
              <w:t>($)(e)</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755" w:type="dxa"/>
            <w:gridSpan w:val="2"/>
            <w:tcBorders/>
            <w:shd w:fill="0BC11C" w:val="clear"/>
            <w:vAlign w:val="center"/>
          </w:tcPr>
          <w:p>
            <w:pPr>
              <w:pStyle w:val="TableContents"/>
              <w:bidi w:val="0"/>
              <w:spacing w:before="0" w:after="0"/>
              <w:jc w:val="center"/>
              <w:rPr>
                <w:rFonts w:ascii="ARIAL" w:hAnsi="ARIAL"/>
                <w:b/>
                <w:color w:val="FFFFFF"/>
                <w:sz w:val="15"/>
              </w:rPr>
            </w:pPr>
            <w:r>
              <w:rPr>
                <w:rFonts w:ascii="ARIAL" w:hAnsi="ARIAL"/>
                <w:b/>
                <w:color w:val="FFFFFF"/>
                <w:sz w:val="15"/>
              </w:rPr>
              <w:t>Threshold</w:t>
            </w:r>
          </w:p>
          <w:p>
            <w:pPr>
              <w:pStyle w:val="TableContents"/>
              <w:bidi w:val="0"/>
              <w:spacing w:before="0" w:after="20"/>
              <w:jc w:val="center"/>
              <w:rPr>
                <w:rFonts w:ascii="ARIAL" w:hAnsi="ARIAL"/>
                <w:b/>
                <w:color w:val="FFFFFF"/>
                <w:sz w:val="15"/>
              </w:rPr>
            </w:pPr>
            <w:r>
              <w:rPr>
                <w:rFonts w:ascii="ARIAL" w:hAnsi="ARIAL"/>
                <w:b/>
                <w:color w:val="FFFFFF"/>
                <w:sz w:val="15"/>
              </w:rPr>
              <w:t>(#)(f)</w:t>
            </w:r>
          </w:p>
        </w:tc>
        <w:tc>
          <w:tcPr>
            <w:tcW w:w="68" w:type="dxa"/>
            <w:tcBorders/>
            <w:shd w:fill="0BC11C" w:val="clear"/>
            <w:vAlign w:val="center"/>
          </w:tcPr>
          <w:p>
            <w:pPr>
              <w:pStyle w:val="TableContents"/>
              <w:bidi w:val="0"/>
              <w:spacing w:before="0" w:after="283"/>
              <w:jc w:val="left"/>
              <w:rPr/>
            </w:pPr>
            <w:r>
              <w:rPr/>
              <w:t> </w:t>
            </w:r>
          </w:p>
        </w:tc>
        <w:tc>
          <w:tcPr>
            <w:tcW w:w="68" w:type="dxa"/>
            <w:tcBorders/>
            <w:shd w:fill="0BC11C" w:val="clear"/>
            <w:vAlign w:val="center"/>
          </w:tcPr>
          <w:p>
            <w:pPr>
              <w:pStyle w:val="TableContents"/>
              <w:bidi w:val="0"/>
              <w:spacing w:before="0" w:after="283"/>
              <w:jc w:val="left"/>
              <w:rPr/>
            </w:pPr>
            <w:r>
              <w:rPr/>
              <w:t> </w:t>
            </w:r>
          </w:p>
        </w:tc>
        <w:tc>
          <w:tcPr>
            <w:tcW w:w="845" w:type="dxa"/>
            <w:gridSpan w:val="2"/>
            <w:tcBorders/>
            <w:shd w:fill="0BC11C" w:val="clear"/>
            <w:vAlign w:val="center"/>
          </w:tcPr>
          <w:p>
            <w:pPr>
              <w:pStyle w:val="TableContents"/>
              <w:bidi w:val="0"/>
              <w:spacing w:before="0" w:after="0"/>
              <w:jc w:val="center"/>
              <w:rPr>
                <w:rFonts w:ascii="ARIAL" w:hAnsi="ARIAL"/>
                <w:b/>
                <w:color w:val="FFFFFF"/>
                <w:sz w:val="15"/>
              </w:rPr>
            </w:pPr>
            <w:r>
              <w:rPr>
                <w:rFonts w:ascii="ARIAL" w:hAnsi="ARIAL"/>
                <w:b/>
                <w:color w:val="FFFFFF"/>
                <w:sz w:val="15"/>
              </w:rPr>
              <w:t>Target</w:t>
            </w:r>
          </w:p>
          <w:p>
            <w:pPr>
              <w:pStyle w:val="TableContents"/>
              <w:bidi w:val="0"/>
              <w:spacing w:before="0" w:after="20"/>
              <w:jc w:val="center"/>
              <w:rPr>
                <w:rFonts w:ascii="ARIAL" w:hAnsi="ARIAL"/>
                <w:b/>
                <w:color w:val="FFFFFF"/>
                <w:sz w:val="15"/>
              </w:rPr>
            </w:pPr>
            <w:r>
              <w:rPr>
                <w:rFonts w:ascii="ARIAL" w:hAnsi="ARIAL"/>
                <w:b/>
                <w:color w:val="FFFFFF"/>
                <w:sz w:val="15"/>
              </w:rPr>
              <w:t>(#)(g)</w:t>
            </w:r>
          </w:p>
        </w:tc>
        <w:tc>
          <w:tcPr>
            <w:tcW w:w="68" w:type="dxa"/>
            <w:tcBorders/>
            <w:shd w:fill="0BC11C" w:val="clear"/>
            <w:vAlign w:val="center"/>
          </w:tcPr>
          <w:p>
            <w:pPr>
              <w:pStyle w:val="TableContents"/>
              <w:bidi w:val="0"/>
              <w:spacing w:before="0" w:after="283"/>
              <w:jc w:val="left"/>
              <w:rPr/>
            </w:pPr>
            <w:r>
              <w:rPr/>
              <w:t> </w:t>
            </w:r>
          </w:p>
        </w:tc>
        <w:tc>
          <w:tcPr>
            <w:tcW w:w="68" w:type="dxa"/>
            <w:tcBorders/>
            <w:shd w:fill="0BC11C" w:val="clear"/>
            <w:vAlign w:val="center"/>
          </w:tcPr>
          <w:p>
            <w:pPr>
              <w:pStyle w:val="TableContents"/>
              <w:bidi w:val="0"/>
              <w:spacing w:before="0" w:after="283"/>
              <w:jc w:val="left"/>
              <w:rPr/>
            </w:pPr>
            <w:r>
              <w:rPr/>
              <w:t> </w:t>
            </w:r>
          </w:p>
        </w:tc>
        <w:tc>
          <w:tcPr>
            <w:tcW w:w="850" w:type="dxa"/>
            <w:gridSpan w:val="2"/>
            <w:tcBorders/>
            <w:shd w:fill="0BC11C" w:val="clear"/>
            <w:vAlign w:val="center"/>
          </w:tcPr>
          <w:p>
            <w:pPr>
              <w:pStyle w:val="TableContents"/>
              <w:bidi w:val="0"/>
              <w:spacing w:before="0" w:after="0"/>
              <w:jc w:val="center"/>
              <w:rPr>
                <w:rFonts w:ascii="ARIAL" w:hAnsi="ARIAL"/>
                <w:b/>
                <w:color w:val="FFFFFF"/>
                <w:sz w:val="15"/>
              </w:rPr>
            </w:pPr>
            <w:r>
              <w:rPr>
                <w:rFonts w:ascii="ARIAL" w:hAnsi="ARIAL"/>
                <w:b/>
                <w:color w:val="FFFFFF"/>
                <w:sz w:val="15"/>
              </w:rPr>
              <w:t>Maximum</w:t>
            </w:r>
          </w:p>
          <w:p>
            <w:pPr>
              <w:pStyle w:val="TableContents"/>
              <w:bidi w:val="0"/>
              <w:spacing w:before="0" w:after="20"/>
              <w:jc w:val="center"/>
              <w:rPr>
                <w:rFonts w:ascii="ARIAL" w:hAnsi="ARIAL"/>
                <w:b/>
                <w:color w:val="FFFFFF"/>
                <w:sz w:val="15"/>
              </w:rPr>
            </w:pPr>
            <w:r>
              <w:rPr>
                <w:rFonts w:ascii="ARIAL" w:hAnsi="ARIAL"/>
                <w:b/>
                <w:color w:val="FFFFFF"/>
                <w:sz w:val="15"/>
              </w:rPr>
              <w:t>(#)(h)</w:t>
            </w:r>
          </w:p>
        </w:tc>
        <w:tc>
          <w:tcPr>
            <w:tcW w:w="60" w:type="dxa"/>
            <w:tcBorders/>
            <w:shd w:fill="0BC11C" w:val="clear"/>
            <w:vAlign w:val="center"/>
          </w:tcPr>
          <w:p>
            <w:pPr>
              <w:pStyle w:val="TableContents"/>
              <w:bidi w:val="0"/>
              <w:spacing w:before="0" w:after="283"/>
              <w:jc w:val="left"/>
              <w:rPr/>
            </w:pPr>
            <w:r>
              <w:rPr/>
              <w:t> </w:t>
            </w:r>
          </w:p>
        </w:tc>
        <w:tc>
          <w:tcPr>
            <w:tcW w:w="60" w:type="dxa"/>
            <w:vMerge w:val="continue"/>
            <w:tcBorders/>
            <w:shd w:fill="0BC11C" w:val="clear"/>
            <w:vAlign w:val="center"/>
          </w:tcPr>
          <w:p>
            <w:pPr>
              <w:pStyle w:val="Normal"/>
              <w:bidi w:val="0"/>
              <w:jc w:val="left"/>
              <w:rPr/>
            </w:pPr>
            <w:r>
              <w:rPr/>
            </w:r>
          </w:p>
        </w:tc>
        <w:tc>
          <w:tcPr>
            <w:tcW w:w="980" w:type="dxa"/>
            <w:gridSpan w:val="2"/>
            <w:vMerge w:val="continue"/>
            <w:tcBorders/>
            <w:shd w:fill="0BC11C" w:val="clear"/>
            <w:vAlign w:val="center"/>
          </w:tcPr>
          <w:p>
            <w:pPr>
              <w:pStyle w:val="Normal"/>
              <w:bidi w:val="0"/>
              <w:jc w:val="left"/>
              <w:rPr/>
            </w:pPr>
            <w:r>
              <w:rPr/>
            </w:r>
          </w:p>
        </w:tc>
        <w:tc>
          <w:tcPr>
            <w:tcW w:w="60" w:type="dxa"/>
            <w:vMerge w:val="continue"/>
            <w:tcBorders/>
            <w:shd w:fill="0BC11C" w:val="clear"/>
            <w:vAlign w:val="center"/>
          </w:tcPr>
          <w:p>
            <w:pPr>
              <w:pStyle w:val="Normal"/>
              <w:bidi w:val="0"/>
              <w:jc w:val="left"/>
              <w:rPr/>
            </w:pPr>
            <w:r>
              <w:rPr/>
            </w:r>
          </w:p>
        </w:tc>
        <w:tc>
          <w:tcPr>
            <w:tcW w:w="60" w:type="dxa"/>
            <w:vMerge w:val="continue"/>
            <w:tcBorders/>
            <w:shd w:fill="0BC11C" w:val="clear"/>
            <w:vAlign w:val="center"/>
          </w:tcPr>
          <w:p>
            <w:pPr>
              <w:pStyle w:val="Normal"/>
              <w:bidi w:val="0"/>
              <w:jc w:val="left"/>
              <w:rPr/>
            </w:pPr>
            <w:r>
              <w:rPr/>
            </w:r>
          </w:p>
        </w:tc>
        <w:tc>
          <w:tcPr>
            <w:tcW w:w="860" w:type="dxa"/>
            <w:gridSpan w:val="2"/>
            <w:vMerge w:val="continue"/>
            <w:tcBorders/>
            <w:shd w:fill="0BC11C" w:val="clear"/>
            <w:vAlign w:val="center"/>
          </w:tcPr>
          <w:p>
            <w:pPr>
              <w:pStyle w:val="Normal"/>
              <w:bidi w:val="0"/>
              <w:jc w:val="left"/>
              <w:rPr/>
            </w:pPr>
            <w:r>
              <w:rPr/>
            </w:r>
          </w:p>
        </w:tc>
        <w:tc>
          <w:tcPr>
            <w:tcW w:w="60" w:type="dxa"/>
            <w:vMerge w:val="continue"/>
            <w:tcBorders/>
            <w:shd w:fill="0BC11C" w:val="clear"/>
            <w:vAlign w:val="center"/>
          </w:tcPr>
          <w:p>
            <w:pPr>
              <w:pStyle w:val="Normal"/>
              <w:bidi w:val="0"/>
              <w:jc w:val="left"/>
              <w:rPr/>
            </w:pPr>
            <w:r>
              <w:rPr/>
            </w:r>
          </w:p>
        </w:tc>
        <w:tc>
          <w:tcPr>
            <w:tcW w:w="60" w:type="dxa"/>
            <w:vMerge w:val="continue"/>
            <w:tcBorders/>
            <w:shd w:fill="0BC11C" w:val="clear"/>
            <w:vAlign w:val="center"/>
          </w:tcPr>
          <w:p>
            <w:pPr>
              <w:pStyle w:val="Normal"/>
              <w:bidi w:val="0"/>
              <w:jc w:val="left"/>
              <w:rPr/>
            </w:pPr>
            <w:r>
              <w:rPr/>
            </w:r>
          </w:p>
        </w:tc>
        <w:tc>
          <w:tcPr>
            <w:tcW w:w="875" w:type="dxa"/>
            <w:gridSpan w:val="2"/>
            <w:vMerge w:val="continue"/>
            <w:tcBorders/>
            <w:shd w:fill="0BC11C" w:val="clear"/>
            <w:vAlign w:val="center"/>
          </w:tcPr>
          <w:p>
            <w:pPr>
              <w:pStyle w:val="Normal"/>
              <w:bidi w:val="0"/>
              <w:jc w:val="left"/>
              <w:rPr/>
            </w:pPr>
            <w:r>
              <w:rPr/>
            </w:r>
          </w:p>
        </w:tc>
        <w:tc>
          <w:tcPr>
            <w:tcW w:w="60" w:type="dxa"/>
            <w:vMerge w:val="continue"/>
            <w:tcBorders/>
            <w:shd w:fill="0BC11C" w:val="clear"/>
            <w:vAlign w:val="center"/>
          </w:tcPr>
          <w:p>
            <w:pPr>
              <w:pStyle w:val="Normal"/>
              <w:bidi w:val="0"/>
              <w:jc w:val="left"/>
              <w:rPr/>
            </w:pPr>
            <w:r>
              <w:rPr/>
            </w:r>
          </w:p>
        </w:tc>
        <w:tc>
          <w:tcPr>
            <w:tcW w:w="60" w:type="dxa"/>
            <w:vMerge w:val="continue"/>
            <w:tcBorders/>
            <w:shd w:fill="0BC11C" w:val="clear"/>
            <w:vAlign w:val="center"/>
          </w:tcPr>
          <w:p>
            <w:pPr>
              <w:pStyle w:val="Normal"/>
              <w:bidi w:val="0"/>
              <w:jc w:val="left"/>
              <w:rPr/>
            </w:pPr>
            <w:r>
              <w:rPr/>
            </w:r>
          </w:p>
        </w:tc>
        <w:tc>
          <w:tcPr>
            <w:tcW w:w="1240" w:type="dxa"/>
            <w:gridSpan w:val="2"/>
            <w:vMerge w:val="continue"/>
            <w:tcBorders/>
            <w:shd w:fill="0BC11C" w:val="clear"/>
            <w:vAlign w:val="center"/>
          </w:tcPr>
          <w:p>
            <w:pPr>
              <w:pStyle w:val="Normal"/>
              <w:bidi w:val="0"/>
              <w:jc w:val="left"/>
              <w:rPr/>
            </w:pPr>
            <w:r>
              <w:rPr/>
            </w:r>
          </w:p>
        </w:tc>
        <w:tc>
          <w:tcPr>
            <w:tcW w:w="75" w:type="dxa"/>
            <w:vMerge w:val="continue"/>
            <w:tcBorders/>
            <w:shd w:fill="0BC11C" w:val="clear"/>
            <w:vAlign w:val="center"/>
          </w:tcPr>
          <w:p>
            <w:pPr>
              <w:pStyle w:val="Normal"/>
              <w:bidi w:val="0"/>
              <w:jc w:val="left"/>
              <w:rPr/>
            </w:pPr>
            <w:r>
              <w:rPr/>
            </w:r>
          </w:p>
        </w:tc>
      </w:tr>
      <w:tr>
        <w:trPr/>
        <w:tc>
          <w:tcPr>
            <w:tcW w:w="105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883" w:type="dxa"/>
            <w:gridSpan w:val="4"/>
            <w:tcBorders/>
            <w:vAlign w:val="center"/>
          </w:tcPr>
          <w:p>
            <w:pPr>
              <w:pStyle w:val="TableContents"/>
              <w:bidi w:val="0"/>
              <w:spacing w:before="0" w:after="283"/>
              <w:jc w:val="left"/>
              <w:rPr>
                <w:sz w:val="4"/>
                <w:szCs w:val="4"/>
              </w:rPr>
            </w:pPr>
            <w:r>
              <w:rPr>
                <w:sz w:val="4"/>
                <w:szCs w:val="4"/>
              </w:rPr>
            </w:r>
          </w:p>
        </w:tc>
        <w:tc>
          <w:tcPr>
            <w:tcW w:w="981" w:type="dxa"/>
            <w:gridSpan w:val="4"/>
            <w:tcBorders/>
            <w:vAlign w:val="center"/>
          </w:tcPr>
          <w:p>
            <w:pPr>
              <w:pStyle w:val="TableContents"/>
              <w:bidi w:val="0"/>
              <w:spacing w:before="0" w:after="283"/>
              <w:jc w:val="left"/>
              <w:rPr>
                <w:sz w:val="4"/>
                <w:szCs w:val="4"/>
              </w:rPr>
            </w:pPr>
            <w:r>
              <w:rPr>
                <w:sz w:val="4"/>
                <w:szCs w:val="4"/>
              </w:rPr>
            </w:r>
          </w:p>
        </w:tc>
        <w:tc>
          <w:tcPr>
            <w:tcW w:w="978"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ARIAL" w:hAnsi="ARIAL"/>
                <w:sz w:val="17"/>
              </w:rPr>
            </w:pPr>
            <w:r>
              <w:rPr>
                <w:rFonts w:ascii="ARIAL" w:hAnsi="ARIAL"/>
                <w:sz w:val="17"/>
              </w:rPr>
              <w:t>Thomas Pike(9)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1,100,000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1,650,000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3,300,000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0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1/9/2023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120,668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4,128,946</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8/17/2023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377,074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10,000,002</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8/17/2023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799,272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700" w:type="dxa"/>
            <w:tcBorders/>
            <w:vAlign w:val="center"/>
          </w:tcPr>
          <w:p>
            <w:pPr>
              <w:pStyle w:val="TableContents"/>
              <w:bidi w:val="0"/>
              <w:spacing w:before="0" w:after="283"/>
              <w:jc w:val="right"/>
              <w:rPr/>
            </w:pPr>
            <w:r>
              <w:rPr/>
              <w:t>26.52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9,999,692</w:t>
            </w:r>
          </w:p>
        </w:tc>
        <w:tc>
          <w:tcPr>
            <w:tcW w:w="75" w:type="dxa"/>
            <w:tcBorders/>
            <w:vAlign w:val="center"/>
          </w:tcPr>
          <w:p>
            <w:pPr>
              <w:pStyle w:val="TableContents"/>
              <w:bidi w:val="0"/>
              <w:spacing w:before="0" w:after="283"/>
              <w:jc w:val="left"/>
              <w:rPr/>
            </w:pPr>
            <w:r>
              <w:rPr/>
              <w:t> </w:t>
            </w:r>
          </w:p>
        </w:tc>
      </w:tr>
      <w:tr>
        <w:trPr/>
        <w:tc>
          <w:tcPr>
            <w:tcW w:w="1055" w:type="dxa"/>
            <w:tcBorders/>
            <w:shd w:fill="EDEDED" w:val="clear"/>
            <w:vAlign w:val="center"/>
          </w:tcPr>
          <w:p>
            <w:pPr>
              <w:pStyle w:val="TableContents"/>
              <w:bidi w:val="0"/>
              <w:spacing w:before="0" w:after="283"/>
              <w:jc w:val="left"/>
              <w:rPr>
                <w:sz w:val="4"/>
                <w:szCs w:val="4"/>
              </w:rPr>
            </w:pPr>
            <w:r>
              <w:rPr>
                <w:sz w:val="4"/>
                <w:szCs w:val="4"/>
              </w:rPr>
            </w:r>
          </w:p>
        </w:tc>
        <w:tc>
          <w:tcPr>
            <w:tcW w:w="680" w:type="dxa"/>
            <w:gridSpan w:val="4"/>
            <w:tcBorders/>
            <w:shd w:fill="EDEDED" w:val="clear"/>
            <w:vAlign w:val="center"/>
          </w:tcPr>
          <w:p>
            <w:pPr>
              <w:pStyle w:val="TableContents"/>
              <w:bidi w:val="0"/>
              <w:spacing w:before="0" w:after="283"/>
              <w:jc w:val="left"/>
              <w:rPr>
                <w:sz w:val="4"/>
                <w:szCs w:val="4"/>
              </w:rPr>
            </w:pPr>
            <w:r>
              <w:rPr>
                <w:sz w:val="4"/>
                <w:szCs w:val="4"/>
              </w:rPr>
            </w:r>
          </w:p>
        </w:tc>
        <w:tc>
          <w:tcPr>
            <w:tcW w:w="1240" w:type="dxa"/>
            <w:gridSpan w:val="4"/>
            <w:tcBorders/>
            <w:shd w:fill="EDEDED" w:val="clear"/>
            <w:vAlign w:val="center"/>
          </w:tcPr>
          <w:p>
            <w:pPr>
              <w:pStyle w:val="TableContents"/>
              <w:bidi w:val="0"/>
              <w:spacing w:before="0" w:after="283"/>
              <w:jc w:val="left"/>
              <w:rPr>
                <w:sz w:val="4"/>
                <w:szCs w:val="4"/>
              </w:rPr>
            </w:pPr>
            <w:r>
              <w:rPr>
                <w:sz w:val="4"/>
                <w:szCs w:val="4"/>
              </w:rPr>
            </w:r>
          </w:p>
        </w:tc>
        <w:tc>
          <w:tcPr>
            <w:tcW w:w="1240" w:type="dxa"/>
            <w:gridSpan w:val="4"/>
            <w:tcBorders/>
            <w:shd w:fill="EDEDED" w:val="clear"/>
            <w:vAlign w:val="center"/>
          </w:tcPr>
          <w:p>
            <w:pPr>
              <w:pStyle w:val="TableContents"/>
              <w:bidi w:val="0"/>
              <w:spacing w:before="0" w:after="283"/>
              <w:jc w:val="left"/>
              <w:rPr>
                <w:sz w:val="4"/>
                <w:szCs w:val="4"/>
              </w:rPr>
            </w:pPr>
            <w:r>
              <w:rPr>
                <w:sz w:val="4"/>
                <w:szCs w:val="4"/>
              </w:rPr>
            </w:r>
          </w:p>
        </w:tc>
        <w:tc>
          <w:tcPr>
            <w:tcW w:w="1240" w:type="dxa"/>
            <w:gridSpan w:val="4"/>
            <w:tcBorders/>
            <w:shd w:fill="EDEDED" w:val="clear"/>
            <w:vAlign w:val="center"/>
          </w:tcPr>
          <w:p>
            <w:pPr>
              <w:pStyle w:val="TableContents"/>
              <w:bidi w:val="0"/>
              <w:spacing w:before="0" w:after="283"/>
              <w:jc w:val="left"/>
              <w:rPr>
                <w:sz w:val="4"/>
                <w:szCs w:val="4"/>
              </w:rPr>
            </w:pPr>
            <w:r>
              <w:rPr>
                <w:sz w:val="4"/>
                <w:szCs w:val="4"/>
              </w:rPr>
            </w:r>
          </w:p>
        </w:tc>
        <w:tc>
          <w:tcPr>
            <w:tcW w:w="883" w:type="dxa"/>
            <w:gridSpan w:val="4"/>
            <w:tcBorders/>
            <w:shd w:fill="EDEDED" w:val="clear"/>
            <w:vAlign w:val="center"/>
          </w:tcPr>
          <w:p>
            <w:pPr>
              <w:pStyle w:val="TableContents"/>
              <w:bidi w:val="0"/>
              <w:spacing w:before="0" w:after="283"/>
              <w:jc w:val="left"/>
              <w:rPr>
                <w:sz w:val="4"/>
                <w:szCs w:val="4"/>
              </w:rPr>
            </w:pPr>
            <w:r>
              <w:rPr>
                <w:sz w:val="4"/>
                <w:szCs w:val="4"/>
              </w:rPr>
            </w:r>
          </w:p>
        </w:tc>
        <w:tc>
          <w:tcPr>
            <w:tcW w:w="981" w:type="dxa"/>
            <w:gridSpan w:val="4"/>
            <w:tcBorders/>
            <w:shd w:fill="EDEDED" w:val="clear"/>
            <w:vAlign w:val="center"/>
          </w:tcPr>
          <w:p>
            <w:pPr>
              <w:pStyle w:val="TableContents"/>
              <w:bidi w:val="0"/>
              <w:spacing w:before="0" w:after="283"/>
              <w:jc w:val="left"/>
              <w:rPr>
                <w:sz w:val="4"/>
                <w:szCs w:val="4"/>
              </w:rPr>
            </w:pPr>
            <w:r>
              <w:rPr>
                <w:sz w:val="4"/>
                <w:szCs w:val="4"/>
              </w:rPr>
            </w:r>
          </w:p>
        </w:tc>
        <w:tc>
          <w:tcPr>
            <w:tcW w:w="978" w:type="dxa"/>
            <w:gridSpan w:val="4"/>
            <w:tcBorders/>
            <w:shd w:fill="EDEDED" w:val="clear"/>
            <w:vAlign w:val="center"/>
          </w:tcPr>
          <w:p>
            <w:pPr>
              <w:pStyle w:val="TableContents"/>
              <w:bidi w:val="0"/>
              <w:spacing w:before="0" w:after="283"/>
              <w:jc w:val="left"/>
              <w:rPr>
                <w:sz w:val="4"/>
                <w:szCs w:val="4"/>
              </w:rPr>
            </w:pPr>
            <w:r>
              <w:rPr>
                <w:sz w:val="4"/>
                <w:szCs w:val="4"/>
              </w:rPr>
            </w:r>
          </w:p>
        </w:tc>
        <w:tc>
          <w:tcPr>
            <w:tcW w:w="1100" w:type="dxa"/>
            <w:gridSpan w:val="4"/>
            <w:tcBorders/>
            <w:shd w:fill="EDEDED" w:val="clear"/>
            <w:vAlign w:val="center"/>
          </w:tcPr>
          <w:p>
            <w:pPr>
              <w:pStyle w:val="TableContents"/>
              <w:bidi w:val="0"/>
              <w:spacing w:before="0" w:after="283"/>
              <w:jc w:val="left"/>
              <w:rPr>
                <w:sz w:val="4"/>
                <w:szCs w:val="4"/>
              </w:rPr>
            </w:pPr>
            <w:r>
              <w:rPr>
                <w:sz w:val="4"/>
                <w:szCs w:val="4"/>
              </w:rPr>
            </w:r>
          </w:p>
        </w:tc>
        <w:tc>
          <w:tcPr>
            <w:tcW w:w="980" w:type="dxa"/>
            <w:gridSpan w:val="4"/>
            <w:tcBorders/>
            <w:shd w:fill="EDEDED" w:val="clear"/>
            <w:vAlign w:val="center"/>
          </w:tcPr>
          <w:p>
            <w:pPr>
              <w:pStyle w:val="TableContents"/>
              <w:bidi w:val="0"/>
              <w:spacing w:before="0" w:after="283"/>
              <w:jc w:val="left"/>
              <w:rPr>
                <w:sz w:val="4"/>
                <w:szCs w:val="4"/>
              </w:rPr>
            </w:pPr>
            <w:r>
              <w:rPr>
                <w:sz w:val="4"/>
                <w:szCs w:val="4"/>
              </w:rPr>
            </w:r>
          </w:p>
        </w:tc>
        <w:tc>
          <w:tcPr>
            <w:tcW w:w="995" w:type="dxa"/>
            <w:gridSpan w:val="4"/>
            <w:tcBorders/>
            <w:shd w:fill="EDEDED" w:val="clear"/>
            <w:vAlign w:val="center"/>
          </w:tcPr>
          <w:p>
            <w:pPr>
              <w:pStyle w:val="TableContents"/>
              <w:bidi w:val="0"/>
              <w:spacing w:before="0" w:after="283"/>
              <w:jc w:val="left"/>
              <w:rPr>
                <w:sz w:val="4"/>
                <w:szCs w:val="4"/>
              </w:rPr>
            </w:pPr>
            <w:r>
              <w:rPr>
                <w:sz w:val="4"/>
                <w:szCs w:val="4"/>
              </w:rPr>
            </w:r>
          </w:p>
        </w:tc>
        <w:tc>
          <w:tcPr>
            <w:tcW w:w="137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055" w:type="dxa"/>
            <w:tcBorders/>
            <w:shd w:fill="EDEDED" w:val="clear"/>
            <w:vAlign w:val="center"/>
          </w:tcPr>
          <w:p>
            <w:pPr>
              <w:pStyle w:val="TableContents"/>
              <w:bidi w:val="0"/>
              <w:spacing w:before="0" w:after="0"/>
              <w:jc w:val="left"/>
              <w:rPr>
                <w:rFonts w:ascii="ARIAL" w:hAnsi="ARIAL"/>
                <w:sz w:val="17"/>
              </w:rPr>
            </w:pPr>
            <w:r>
              <w:rPr>
                <w:rFonts w:ascii="ARIAL" w:hAnsi="ARIAL"/>
                <w:sz w:val="17"/>
              </w:rPr>
              <w:t>Jill McConnell</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tc>
        <w:tc>
          <w:tcPr>
            <w:tcW w:w="50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980" w:type="dxa"/>
            <w:tcBorders/>
            <w:shd w:fill="EDEDED" w:val="clear"/>
            <w:vAlign w:val="center"/>
          </w:tcPr>
          <w:p>
            <w:pPr>
              <w:pStyle w:val="TableContents"/>
              <w:bidi w:val="0"/>
              <w:spacing w:before="0" w:after="283"/>
              <w:jc w:val="right"/>
              <w:rPr/>
            </w:pPr>
            <w:r>
              <w:rPr/>
              <w:t>158,103</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980" w:type="dxa"/>
            <w:tcBorders/>
            <w:shd w:fill="EDEDED" w:val="clear"/>
            <w:vAlign w:val="center"/>
          </w:tcPr>
          <w:p>
            <w:pPr>
              <w:pStyle w:val="TableContents"/>
              <w:bidi w:val="0"/>
              <w:spacing w:before="0" w:after="283"/>
              <w:jc w:val="right"/>
              <w:rPr/>
            </w:pPr>
            <w:r>
              <w:rPr/>
              <w:t>316,205</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980" w:type="dxa"/>
            <w:tcBorders/>
            <w:shd w:fill="EDEDED" w:val="clear"/>
            <w:vAlign w:val="center"/>
          </w:tcPr>
          <w:p>
            <w:pPr>
              <w:pStyle w:val="TableContents"/>
              <w:bidi w:val="0"/>
              <w:spacing w:before="0" w:after="283"/>
              <w:jc w:val="right"/>
              <w:rPr/>
            </w:pPr>
            <w:r>
              <w:rPr/>
              <w:t>632,411</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before="0" w:after="0"/>
              <w:jc w:val="left"/>
              <w:rPr/>
            </w:pPr>
            <w:r>
              <w:rPr/>
              <w:t> </w:t>
            </w:r>
          </w:p>
        </w:tc>
        <w:tc>
          <w:tcPr>
            <w:tcW w:w="683" w:type="dxa"/>
            <w:tcBorders/>
            <w:shd w:fill="EDEDED" w:val="clear"/>
            <w:vAlign w:val="center"/>
          </w:tcPr>
          <w:p>
            <w:pPr>
              <w:pStyle w:val="TableContents"/>
              <w:bidi w:val="0"/>
              <w:spacing w:before="0" w:after="0"/>
              <w:jc w:val="left"/>
              <w:rPr/>
            </w:pPr>
            <w:r>
              <w:rPr/>
              <w:t> </w:t>
            </w:r>
          </w:p>
        </w:tc>
        <w:tc>
          <w:tcPr>
            <w:tcW w:w="68" w:type="dxa"/>
            <w:tcBorders/>
            <w:shd w:fill="EDEDED" w:val="clear"/>
            <w:vAlign w:val="center"/>
          </w:tcPr>
          <w:p>
            <w:pPr>
              <w:pStyle w:val="TableContents"/>
              <w:bidi w:val="0"/>
              <w:spacing w:before="0" w:after="0"/>
              <w:jc w:val="left"/>
              <w:rPr/>
            </w:pPr>
            <w:r>
              <w:rPr/>
              <w:t> </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0"/>
              <w:jc w:val="left"/>
              <w:rPr/>
            </w:pPr>
            <w:r>
              <w:rPr/>
              <w:t> </w:t>
            </w:r>
          </w:p>
        </w:tc>
        <w:tc>
          <w:tcPr>
            <w:tcW w:w="777" w:type="dxa"/>
            <w:tcBorders/>
            <w:shd w:fill="EDEDED" w:val="clear"/>
            <w:vAlign w:val="center"/>
          </w:tcPr>
          <w:p>
            <w:pPr>
              <w:pStyle w:val="TableContents"/>
              <w:bidi w:val="0"/>
              <w:spacing w:before="0" w:after="0"/>
              <w:jc w:val="left"/>
              <w:rPr/>
            </w:pPr>
            <w:r>
              <w:rPr/>
              <w:t> </w:t>
            </w:r>
          </w:p>
        </w:tc>
        <w:tc>
          <w:tcPr>
            <w:tcW w:w="68" w:type="dxa"/>
            <w:tcBorders/>
            <w:shd w:fill="EDEDED" w:val="clear"/>
            <w:vAlign w:val="center"/>
          </w:tcPr>
          <w:p>
            <w:pPr>
              <w:pStyle w:val="TableContents"/>
              <w:bidi w:val="0"/>
              <w:spacing w:before="0" w:after="0"/>
              <w:jc w:val="left"/>
              <w:rPr/>
            </w:pPr>
            <w:r>
              <w:rPr/>
              <w:t> </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0"/>
              <w:jc w:val="left"/>
              <w:rPr/>
            </w:pPr>
            <w:r>
              <w:rPr/>
              <w:t> </w:t>
            </w:r>
          </w:p>
        </w:tc>
        <w:tc>
          <w:tcPr>
            <w:tcW w:w="782"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0"/>
              <w:jc w:val="left"/>
              <w:rPr/>
            </w:pPr>
            <w:r>
              <w:rPr/>
              <w:t> </w:t>
            </w:r>
          </w:p>
        </w:tc>
        <w:tc>
          <w:tcPr>
            <w:tcW w:w="912"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0"/>
              <w:jc w:val="left"/>
              <w:rPr/>
            </w:pPr>
            <w:r>
              <w:rPr/>
              <w:t> </w:t>
            </w:r>
          </w:p>
        </w:tc>
        <w:tc>
          <w:tcPr>
            <w:tcW w:w="80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75" w:type="dxa"/>
            <w:tcBorders/>
            <w:shd w:fill="EDEDED" w:val="clear"/>
            <w:vAlign w:val="center"/>
          </w:tcPr>
          <w:p>
            <w:pPr>
              <w:pStyle w:val="TableContents"/>
              <w:bidi w:val="0"/>
              <w:spacing w:before="0" w:after="0"/>
              <w:jc w:val="left"/>
              <w:rPr/>
            </w:pPr>
            <w:r>
              <w:rPr/>
              <w:t> </w:t>
            </w:r>
          </w:p>
        </w:tc>
        <w:tc>
          <w:tcPr>
            <w:tcW w:w="70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0"/>
              <w:jc w:val="left"/>
              <w:rPr/>
            </w:pPr>
            <w:r>
              <w:rPr/>
              <w:t> </w:t>
            </w:r>
          </w:p>
        </w:tc>
        <w:tc>
          <w:tcPr>
            <w:tcW w:w="1100" w:type="dxa"/>
            <w:tcBorders/>
            <w:shd w:fill="EDEDED" w:val="clear"/>
            <w:vAlign w:val="center"/>
          </w:tcPr>
          <w:p>
            <w:pPr>
              <w:pStyle w:val="TableContents"/>
              <w:bidi w:val="0"/>
              <w:spacing w:before="0" w:after="0"/>
              <w:jc w:val="left"/>
              <w:rPr/>
            </w:pPr>
            <w:r>
              <w:rPr/>
              <w:t> </w:t>
            </w:r>
          </w:p>
        </w:tc>
        <w:tc>
          <w:tcPr>
            <w:tcW w:w="75" w:type="dxa"/>
            <w:tcBorders/>
            <w:shd w:fill="EDEDED" w:val="clear"/>
            <w:vAlign w:val="center"/>
          </w:tcPr>
          <w:p>
            <w:pPr>
              <w:pStyle w:val="TableContents"/>
              <w:bidi w:val="0"/>
              <w:spacing w:before="0" w:after="0"/>
              <w:jc w:val="left"/>
              <w:rPr/>
            </w:pPr>
            <w:r>
              <w:rPr/>
              <w:t> </w:t>
            </w:r>
          </w:p>
        </w:tc>
      </w:tr>
      <w:tr>
        <w:trPr/>
        <w:tc>
          <w:tcPr>
            <w:tcW w:w="1055"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500" w:type="dxa"/>
            <w:tcBorders/>
            <w:shd w:fill="EDEDED" w:val="clear"/>
            <w:vAlign w:val="center"/>
          </w:tcPr>
          <w:p>
            <w:pPr>
              <w:pStyle w:val="TableContents"/>
              <w:bidi w:val="0"/>
              <w:spacing w:before="0" w:after="283"/>
              <w:jc w:val="right"/>
              <w:rPr/>
            </w:pPr>
            <w:r>
              <w:rPr/>
              <w:t>2/7/2023</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0"/>
              <w:jc w:val="left"/>
              <w:rPr/>
            </w:pPr>
            <w:r>
              <w:rPr/>
              <w:t> </w:t>
            </w:r>
          </w:p>
        </w:tc>
        <w:tc>
          <w:tcPr>
            <w:tcW w:w="98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0"/>
              <w:jc w:val="left"/>
              <w:rPr/>
            </w:pPr>
            <w:r>
              <w:rPr/>
              <w:t> </w:t>
            </w:r>
          </w:p>
        </w:tc>
        <w:tc>
          <w:tcPr>
            <w:tcW w:w="98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0"/>
              <w:jc w:val="left"/>
              <w:rPr/>
            </w:pPr>
            <w:r>
              <w:rPr/>
              <w:t> </w:t>
            </w:r>
          </w:p>
        </w:tc>
        <w:tc>
          <w:tcPr>
            <w:tcW w:w="98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before="0" w:after="283"/>
              <w:jc w:val="left"/>
              <w:rPr/>
            </w:pPr>
            <w:r>
              <w:rPr/>
              <w:t> </w:t>
            </w:r>
          </w:p>
        </w:tc>
        <w:tc>
          <w:tcPr>
            <w:tcW w:w="683" w:type="dxa"/>
            <w:tcBorders/>
            <w:shd w:fill="EDEDED" w:val="clear"/>
            <w:vAlign w:val="center"/>
          </w:tcPr>
          <w:p>
            <w:pPr>
              <w:pStyle w:val="TableContents"/>
              <w:bidi w:val="0"/>
              <w:spacing w:before="0" w:after="283"/>
              <w:jc w:val="right"/>
              <w:rPr/>
            </w:pPr>
            <w:r>
              <w:rPr/>
              <w:t>3,807</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777" w:type="dxa"/>
            <w:tcBorders/>
            <w:shd w:fill="EDEDED" w:val="clear"/>
            <w:vAlign w:val="center"/>
          </w:tcPr>
          <w:p>
            <w:pPr>
              <w:pStyle w:val="TableContents"/>
              <w:bidi w:val="0"/>
              <w:spacing w:before="0" w:after="283"/>
              <w:jc w:val="right"/>
              <w:rPr/>
            </w:pPr>
            <w:r>
              <w:rPr/>
              <w:t>7,613</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782" w:type="dxa"/>
            <w:tcBorders/>
            <w:shd w:fill="EDEDED" w:val="clear"/>
            <w:vAlign w:val="center"/>
          </w:tcPr>
          <w:p>
            <w:pPr>
              <w:pStyle w:val="TableContents"/>
              <w:bidi w:val="0"/>
              <w:spacing w:before="0" w:after="283"/>
              <w:jc w:val="right"/>
              <w:rPr/>
            </w:pPr>
            <w:r>
              <w:rPr/>
              <w:t>15,226</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912"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75" w:type="dxa"/>
            <w:tcBorders/>
            <w:shd w:fill="EDEDED" w:val="clear"/>
            <w:vAlign w:val="center"/>
          </w:tcPr>
          <w:p>
            <w:pPr>
              <w:pStyle w:val="TableContents"/>
              <w:bidi w:val="0"/>
              <w:spacing w:before="0" w:after="283"/>
              <w:jc w:val="left"/>
              <w:rPr/>
            </w:pPr>
            <w:r>
              <w:rPr/>
              <w:t> </w:t>
            </w:r>
          </w:p>
        </w:tc>
        <w:tc>
          <w:tcPr>
            <w:tcW w:w="70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282,112</w:t>
            </w:r>
          </w:p>
        </w:tc>
        <w:tc>
          <w:tcPr>
            <w:tcW w:w="75" w:type="dxa"/>
            <w:tcBorders/>
            <w:shd w:fill="EDEDED" w:val="clear"/>
            <w:vAlign w:val="center"/>
          </w:tcPr>
          <w:p>
            <w:pPr>
              <w:pStyle w:val="TableContents"/>
              <w:bidi w:val="0"/>
              <w:spacing w:before="0" w:after="283"/>
              <w:jc w:val="left"/>
              <w:rPr/>
            </w:pPr>
            <w:r>
              <w:rPr/>
              <w:t> </w:t>
            </w:r>
          </w:p>
        </w:tc>
      </w:tr>
      <w:tr>
        <w:trPr/>
        <w:tc>
          <w:tcPr>
            <w:tcW w:w="1055"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500" w:type="dxa"/>
            <w:tcBorders/>
            <w:shd w:fill="EDEDED" w:val="clear"/>
            <w:vAlign w:val="center"/>
          </w:tcPr>
          <w:p>
            <w:pPr>
              <w:pStyle w:val="TableContents"/>
              <w:bidi w:val="0"/>
              <w:spacing w:before="0" w:after="283"/>
              <w:jc w:val="right"/>
              <w:rPr/>
            </w:pPr>
            <w:r>
              <w:rPr/>
              <w:t>2/7/2023</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before="0" w:after="283"/>
              <w:jc w:val="left"/>
              <w:rPr/>
            </w:pPr>
            <w:r>
              <w:rPr/>
              <w:t> </w:t>
            </w:r>
          </w:p>
        </w:tc>
        <w:tc>
          <w:tcPr>
            <w:tcW w:w="683" w:type="dxa"/>
            <w:tcBorders/>
            <w:shd w:fill="EDEDED" w:val="clear"/>
            <w:vAlign w:val="center"/>
          </w:tcPr>
          <w:p>
            <w:pPr>
              <w:pStyle w:val="TableContents"/>
              <w:bidi w:val="0"/>
              <w:spacing w:before="0" w:after="283"/>
              <w:jc w:val="right"/>
              <w:rPr/>
            </w:pPr>
            <w:r>
              <w:rPr/>
              <w:t>—</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777" w:type="dxa"/>
            <w:tcBorders/>
            <w:shd w:fill="EDEDED" w:val="clear"/>
            <w:vAlign w:val="center"/>
          </w:tcPr>
          <w:p>
            <w:pPr>
              <w:pStyle w:val="TableContents"/>
              <w:bidi w:val="0"/>
              <w:spacing w:before="0" w:after="283"/>
              <w:jc w:val="right"/>
              <w:rPr/>
            </w:pPr>
            <w:r>
              <w:rPr/>
              <w:t>—</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782"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912" w:type="dxa"/>
            <w:tcBorders/>
            <w:shd w:fill="EDEDED" w:val="clear"/>
            <w:vAlign w:val="center"/>
          </w:tcPr>
          <w:p>
            <w:pPr>
              <w:pStyle w:val="TableContents"/>
              <w:bidi w:val="0"/>
              <w:spacing w:before="0" w:after="283"/>
              <w:jc w:val="right"/>
              <w:rPr/>
            </w:pPr>
            <w:r>
              <w:rPr/>
              <w:t>5,052</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75" w:type="dxa"/>
            <w:tcBorders/>
            <w:shd w:fill="EDEDED" w:val="clear"/>
            <w:vAlign w:val="center"/>
          </w:tcPr>
          <w:p>
            <w:pPr>
              <w:pStyle w:val="TableContents"/>
              <w:bidi w:val="0"/>
              <w:spacing w:before="0" w:after="283"/>
              <w:jc w:val="left"/>
              <w:rPr/>
            </w:pPr>
            <w:r>
              <w:rPr/>
              <w:t> </w:t>
            </w:r>
          </w:p>
        </w:tc>
        <w:tc>
          <w:tcPr>
            <w:tcW w:w="70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175,557</w:t>
            </w:r>
          </w:p>
        </w:tc>
        <w:tc>
          <w:tcPr>
            <w:tcW w:w="75" w:type="dxa"/>
            <w:tcBorders/>
            <w:shd w:fill="EDEDED" w:val="clear"/>
            <w:vAlign w:val="center"/>
          </w:tcPr>
          <w:p>
            <w:pPr>
              <w:pStyle w:val="TableContents"/>
              <w:bidi w:val="0"/>
              <w:spacing w:before="0" w:after="283"/>
              <w:jc w:val="left"/>
              <w:rPr/>
            </w:pPr>
            <w:r>
              <w:rPr/>
              <w:t> </w:t>
            </w:r>
          </w:p>
        </w:tc>
      </w:tr>
      <w:tr>
        <w:trPr/>
        <w:tc>
          <w:tcPr>
            <w:tcW w:w="1055"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500" w:type="dxa"/>
            <w:tcBorders/>
            <w:shd w:fill="EDEDED" w:val="clear"/>
            <w:vAlign w:val="center"/>
          </w:tcPr>
          <w:p>
            <w:pPr>
              <w:pStyle w:val="TableContents"/>
              <w:bidi w:val="0"/>
              <w:spacing w:before="0" w:after="283"/>
              <w:jc w:val="right"/>
              <w:rPr/>
            </w:pPr>
            <w:r>
              <w:rPr/>
              <w:t>6/1/2023</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before="0" w:after="283"/>
              <w:jc w:val="left"/>
              <w:rPr/>
            </w:pPr>
            <w:r>
              <w:rPr/>
              <w:t> </w:t>
            </w:r>
          </w:p>
        </w:tc>
        <w:tc>
          <w:tcPr>
            <w:tcW w:w="683" w:type="dxa"/>
            <w:tcBorders/>
            <w:shd w:fill="EDEDED" w:val="clear"/>
            <w:vAlign w:val="center"/>
          </w:tcPr>
          <w:p>
            <w:pPr>
              <w:pStyle w:val="TableContents"/>
              <w:bidi w:val="0"/>
              <w:spacing w:before="0" w:after="283"/>
              <w:jc w:val="right"/>
              <w:rPr/>
            </w:pPr>
            <w:r>
              <w:rPr/>
              <w:t>—</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777" w:type="dxa"/>
            <w:tcBorders/>
            <w:shd w:fill="EDEDED" w:val="clear"/>
            <w:vAlign w:val="center"/>
          </w:tcPr>
          <w:p>
            <w:pPr>
              <w:pStyle w:val="TableContents"/>
              <w:bidi w:val="0"/>
              <w:spacing w:before="0" w:after="283"/>
              <w:jc w:val="right"/>
              <w:rPr/>
            </w:pPr>
            <w:r>
              <w:rPr/>
              <w:t>—</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782"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912" w:type="dxa"/>
            <w:tcBorders/>
            <w:shd w:fill="EDEDED" w:val="clear"/>
            <w:vAlign w:val="center"/>
          </w:tcPr>
          <w:p>
            <w:pPr>
              <w:pStyle w:val="TableContents"/>
              <w:bidi w:val="0"/>
              <w:spacing w:before="0" w:after="283"/>
              <w:jc w:val="right"/>
              <w:rPr/>
            </w:pPr>
            <w:r>
              <w:rPr/>
              <w:t>33,013</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75" w:type="dxa"/>
            <w:tcBorders/>
            <w:shd w:fill="EDEDED" w:val="clear"/>
            <w:vAlign w:val="center"/>
          </w:tcPr>
          <w:p>
            <w:pPr>
              <w:pStyle w:val="TableContents"/>
              <w:bidi w:val="0"/>
              <w:spacing w:before="0" w:after="283"/>
              <w:jc w:val="left"/>
              <w:rPr/>
            </w:pPr>
            <w:r>
              <w:rPr/>
              <w:t> </w:t>
            </w:r>
          </w:p>
        </w:tc>
        <w:tc>
          <w:tcPr>
            <w:tcW w:w="70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985,731</w:t>
            </w:r>
          </w:p>
        </w:tc>
        <w:tc>
          <w:tcPr>
            <w:tcW w:w="75" w:type="dxa"/>
            <w:tcBorders/>
            <w:shd w:fill="EDEDED" w:val="clear"/>
            <w:vAlign w:val="center"/>
          </w:tcPr>
          <w:p>
            <w:pPr>
              <w:pStyle w:val="TableContents"/>
              <w:bidi w:val="0"/>
              <w:spacing w:before="0" w:after="283"/>
              <w:jc w:val="left"/>
              <w:rPr/>
            </w:pPr>
            <w:r>
              <w:rPr/>
              <w:t> </w:t>
            </w:r>
          </w:p>
        </w:tc>
      </w:tr>
      <w:tr>
        <w:trPr/>
        <w:tc>
          <w:tcPr>
            <w:tcW w:w="1055"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500" w:type="dxa"/>
            <w:tcBorders/>
            <w:shd w:fill="EDEDED" w:val="clear"/>
            <w:vAlign w:val="center"/>
          </w:tcPr>
          <w:p>
            <w:pPr>
              <w:pStyle w:val="TableContents"/>
              <w:bidi w:val="0"/>
              <w:spacing w:before="0" w:after="283"/>
              <w:jc w:val="right"/>
              <w:rPr/>
            </w:pPr>
            <w:r>
              <w:rPr/>
              <w:t>8/17/2023</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 </w:t>
            </w:r>
          </w:p>
        </w:tc>
        <w:tc>
          <w:tcPr>
            <w:tcW w:w="98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72" w:type="dxa"/>
            <w:tcBorders/>
            <w:shd w:fill="EDEDED" w:val="clear"/>
            <w:vAlign w:val="center"/>
          </w:tcPr>
          <w:p>
            <w:pPr>
              <w:pStyle w:val="TableContents"/>
              <w:bidi w:val="0"/>
              <w:spacing w:before="0" w:after="283"/>
              <w:jc w:val="left"/>
              <w:rPr/>
            </w:pPr>
            <w:r>
              <w:rPr/>
              <w:t> </w:t>
            </w:r>
          </w:p>
        </w:tc>
        <w:tc>
          <w:tcPr>
            <w:tcW w:w="683" w:type="dxa"/>
            <w:tcBorders/>
            <w:shd w:fill="EDEDED" w:val="clear"/>
            <w:vAlign w:val="center"/>
          </w:tcPr>
          <w:p>
            <w:pPr>
              <w:pStyle w:val="TableContents"/>
              <w:bidi w:val="0"/>
              <w:spacing w:before="0" w:after="283"/>
              <w:jc w:val="right"/>
              <w:rPr/>
            </w:pPr>
            <w:r>
              <w:rPr/>
              <w:t>—</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777" w:type="dxa"/>
            <w:tcBorders/>
            <w:shd w:fill="EDEDED" w:val="clear"/>
            <w:vAlign w:val="center"/>
          </w:tcPr>
          <w:p>
            <w:pPr>
              <w:pStyle w:val="TableContents"/>
              <w:bidi w:val="0"/>
              <w:spacing w:before="0" w:after="283"/>
              <w:jc w:val="right"/>
              <w:rPr/>
            </w:pPr>
            <w:r>
              <w:rPr/>
              <w:t>—</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782"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8" w:type="dxa"/>
            <w:tcBorders/>
            <w:shd w:fill="EDEDED" w:val="clear"/>
            <w:vAlign w:val="center"/>
          </w:tcPr>
          <w:p>
            <w:pPr>
              <w:pStyle w:val="TableContents"/>
              <w:bidi w:val="0"/>
              <w:spacing w:before="0" w:after="283"/>
              <w:jc w:val="left"/>
              <w:rPr/>
            </w:pPr>
            <w:r>
              <w:rPr/>
              <w:t> </w:t>
            </w:r>
          </w:p>
        </w:tc>
        <w:tc>
          <w:tcPr>
            <w:tcW w:w="912" w:type="dxa"/>
            <w:tcBorders/>
            <w:shd w:fill="EDEDED" w:val="clear"/>
            <w:vAlign w:val="center"/>
          </w:tcPr>
          <w:p>
            <w:pPr>
              <w:pStyle w:val="TableContents"/>
              <w:bidi w:val="0"/>
              <w:spacing w:before="0" w:after="283"/>
              <w:jc w:val="right"/>
              <w:rPr/>
            </w:pPr>
            <w:r>
              <w:rPr/>
              <w:t>33,937</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75" w:type="dxa"/>
            <w:tcBorders/>
            <w:shd w:fill="EDEDED" w:val="clear"/>
            <w:vAlign w:val="center"/>
          </w:tcPr>
          <w:p>
            <w:pPr>
              <w:pStyle w:val="TableContents"/>
              <w:bidi w:val="0"/>
              <w:spacing w:before="0" w:after="283"/>
              <w:jc w:val="left"/>
              <w:rPr/>
            </w:pPr>
            <w:r>
              <w:rPr/>
              <w:t> </w:t>
            </w:r>
          </w:p>
        </w:tc>
        <w:tc>
          <w:tcPr>
            <w:tcW w:w="70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900,009</w:t>
            </w:r>
          </w:p>
        </w:tc>
        <w:tc>
          <w:tcPr>
            <w:tcW w:w="75" w:type="dxa"/>
            <w:tcBorders/>
            <w:shd w:fill="EDEDED" w:val="clear"/>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1240" w:type="dxa"/>
            <w:gridSpan w:val="4"/>
            <w:tcBorders/>
            <w:vAlign w:val="center"/>
          </w:tcPr>
          <w:p>
            <w:pPr>
              <w:pStyle w:val="TableContents"/>
              <w:bidi w:val="0"/>
              <w:spacing w:before="0" w:after="283"/>
              <w:jc w:val="left"/>
              <w:rPr>
                <w:sz w:val="4"/>
                <w:szCs w:val="4"/>
              </w:rPr>
            </w:pPr>
            <w:r>
              <w:rPr>
                <w:sz w:val="4"/>
                <w:szCs w:val="4"/>
              </w:rPr>
            </w:r>
          </w:p>
        </w:tc>
        <w:tc>
          <w:tcPr>
            <w:tcW w:w="883" w:type="dxa"/>
            <w:gridSpan w:val="4"/>
            <w:tcBorders/>
            <w:vAlign w:val="center"/>
          </w:tcPr>
          <w:p>
            <w:pPr>
              <w:pStyle w:val="TableContents"/>
              <w:bidi w:val="0"/>
              <w:spacing w:before="0" w:after="283"/>
              <w:jc w:val="left"/>
              <w:rPr>
                <w:sz w:val="4"/>
                <w:szCs w:val="4"/>
              </w:rPr>
            </w:pPr>
            <w:r>
              <w:rPr>
                <w:sz w:val="4"/>
                <w:szCs w:val="4"/>
              </w:rPr>
            </w:r>
          </w:p>
        </w:tc>
        <w:tc>
          <w:tcPr>
            <w:tcW w:w="981" w:type="dxa"/>
            <w:gridSpan w:val="4"/>
            <w:tcBorders/>
            <w:vAlign w:val="center"/>
          </w:tcPr>
          <w:p>
            <w:pPr>
              <w:pStyle w:val="TableContents"/>
              <w:bidi w:val="0"/>
              <w:spacing w:before="0" w:after="283"/>
              <w:jc w:val="left"/>
              <w:rPr>
                <w:sz w:val="4"/>
                <w:szCs w:val="4"/>
              </w:rPr>
            </w:pPr>
            <w:r>
              <w:rPr>
                <w:sz w:val="4"/>
                <w:szCs w:val="4"/>
              </w:rPr>
            </w:r>
          </w:p>
        </w:tc>
        <w:tc>
          <w:tcPr>
            <w:tcW w:w="978" w:type="dxa"/>
            <w:gridSpan w:val="4"/>
            <w:tcBorders/>
            <w:vAlign w:val="center"/>
          </w:tcPr>
          <w:p>
            <w:pPr>
              <w:pStyle w:val="TableContents"/>
              <w:bidi w:val="0"/>
              <w:spacing w:before="0" w:after="283"/>
              <w:jc w:val="left"/>
              <w:rPr>
                <w:sz w:val="4"/>
                <w:szCs w:val="4"/>
              </w:rPr>
            </w:pPr>
            <w:r>
              <w:rPr>
                <w:sz w:val="4"/>
                <w:szCs w:val="4"/>
              </w:rPr>
            </w:r>
          </w:p>
        </w:tc>
        <w:tc>
          <w:tcPr>
            <w:tcW w:w="1100" w:type="dxa"/>
            <w:gridSpan w:val="4"/>
            <w:tcBorders/>
            <w:vAlign w:val="center"/>
          </w:tcPr>
          <w:p>
            <w:pPr>
              <w:pStyle w:val="TableContents"/>
              <w:bidi w:val="0"/>
              <w:spacing w:before="0" w:after="283"/>
              <w:jc w:val="left"/>
              <w:rPr>
                <w:sz w:val="4"/>
                <w:szCs w:val="4"/>
              </w:rPr>
            </w:pPr>
            <w:r>
              <w:rPr>
                <w:sz w:val="4"/>
                <w:szCs w:val="4"/>
              </w:rPr>
            </w:r>
          </w:p>
        </w:tc>
        <w:tc>
          <w:tcPr>
            <w:tcW w:w="980" w:type="dxa"/>
            <w:gridSpan w:val="4"/>
            <w:tcBorders/>
            <w:vAlign w:val="center"/>
          </w:tcPr>
          <w:p>
            <w:pPr>
              <w:pStyle w:val="TableContents"/>
              <w:bidi w:val="0"/>
              <w:spacing w:before="0" w:after="283"/>
              <w:jc w:val="left"/>
              <w:rPr>
                <w:sz w:val="4"/>
                <w:szCs w:val="4"/>
              </w:rPr>
            </w:pPr>
            <w:r>
              <w:rPr>
                <w:sz w:val="4"/>
                <w:szCs w:val="4"/>
              </w:rPr>
            </w:r>
          </w:p>
        </w:tc>
        <w:tc>
          <w:tcPr>
            <w:tcW w:w="995"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r>
      <w:tr>
        <w:trPr/>
        <w:tc>
          <w:tcPr>
            <w:tcW w:w="1055" w:type="dxa"/>
            <w:tcBorders/>
            <w:vAlign w:val="center"/>
          </w:tcPr>
          <w:p>
            <w:pPr>
              <w:pStyle w:val="TableContents"/>
              <w:bidi w:val="0"/>
              <w:spacing w:before="0" w:after="0"/>
              <w:jc w:val="left"/>
              <w:rPr>
                <w:rFonts w:ascii="ARIAL" w:hAnsi="ARIAL"/>
                <w:sz w:val="17"/>
              </w:rPr>
            </w:pPr>
            <w:r>
              <w:rPr>
                <w:rFonts w:ascii="ARIAL" w:hAnsi="ARIAL"/>
                <w:sz w:val="17"/>
              </w:rPr>
              <w:t>Mark Morais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158,423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316,846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633,693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0"/>
              <w:jc w:val="left"/>
              <w:rPr/>
            </w:pPr>
            <w:r>
              <w:rPr/>
              <w:t> </w:t>
            </w:r>
          </w:p>
        </w:tc>
        <w:tc>
          <w:tcPr>
            <w:tcW w:w="683" w:type="dxa"/>
            <w:tcBorders/>
            <w:vAlign w:val="center"/>
          </w:tcPr>
          <w:p>
            <w:pPr>
              <w:pStyle w:val="TableContents"/>
              <w:bidi w:val="0"/>
              <w:spacing w:before="0" w:after="0"/>
              <w:jc w:val="left"/>
              <w:rPr/>
            </w:pPr>
            <w:r>
              <w:rPr/>
              <w:t> </w:t>
            </w:r>
          </w:p>
        </w:tc>
        <w:tc>
          <w:tcPr>
            <w:tcW w:w="68" w:type="dxa"/>
            <w:tcBorders/>
            <w:vAlign w:val="center"/>
          </w:tcPr>
          <w:p>
            <w:pPr>
              <w:pStyle w:val="TableContents"/>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pPr>
            <w:r>
              <w:rPr/>
              <w:t> </w:t>
            </w:r>
          </w:p>
        </w:tc>
        <w:tc>
          <w:tcPr>
            <w:tcW w:w="777" w:type="dxa"/>
            <w:tcBorders/>
            <w:vAlign w:val="center"/>
          </w:tcPr>
          <w:p>
            <w:pPr>
              <w:pStyle w:val="TableContents"/>
              <w:bidi w:val="0"/>
              <w:spacing w:before="0" w:after="0"/>
              <w:jc w:val="left"/>
              <w:rPr/>
            </w:pPr>
            <w:r>
              <w:rPr/>
              <w:t> </w:t>
            </w:r>
          </w:p>
        </w:tc>
        <w:tc>
          <w:tcPr>
            <w:tcW w:w="68" w:type="dxa"/>
            <w:tcBorders/>
            <w:vAlign w:val="center"/>
          </w:tcPr>
          <w:p>
            <w:pPr>
              <w:pStyle w:val="TableContents"/>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pPr>
            <w:r>
              <w:rPr/>
              <w:t> </w:t>
            </w:r>
          </w:p>
        </w:tc>
        <w:tc>
          <w:tcPr>
            <w:tcW w:w="78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0"/>
              <w:jc w:val="left"/>
              <w:rPr/>
            </w:pPr>
            <w:r>
              <w:rPr/>
              <w:t> </w:t>
            </w:r>
          </w:p>
        </w:tc>
        <w:tc>
          <w:tcPr>
            <w:tcW w:w="912"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0"/>
              <w:jc w:val="left"/>
              <w:rPr/>
            </w:pPr>
            <w:r>
              <w:rPr/>
              <w:t> </w:t>
            </w:r>
          </w:p>
        </w:tc>
        <w:tc>
          <w:tcPr>
            <w:tcW w:w="7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0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2/7/2023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5,088</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10,175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20,350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377,050</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2/7/2023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6,760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234,911</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6/1/2023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33,013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985,731</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right"/>
              <w:rPr/>
            </w:pPr>
            <w:r>
              <w:rPr/>
              <w:t>8/17/2023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683" w:type="dxa"/>
            <w:tcBorders/>
            <w:vAlign w:val="center"/>
          </w:tcPr>
          <w:p>
            <w:pPr>
              <w:pStyle w:val="TableContents"/>
              <w:bidi w:val="0"/>
              <w:spacing w:before="0" w:after="283"/>
              <w:jc w:val="right"/>
              <w:rPr/>
            </w:pPr>
            <w:r>
              <w:rPr/>
              <w:t>—</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77" w:type="dxa"/>
            <w:tcBorders/>
            <w:vAlign w:val="center"/>
          </w:tcPr>
          <w:p>
            <w:pPr>
              <w:pStyle w:val="TableContents"/>
              <w:bidi w:val="0"/>
              <w:spacing w:before="0" w:after="283"/>
              <w:jc w:val="right"/>
              <w:rPr/>
            </w:pPr>
            <w:r>
              <w:rPr/>
              <w:t>—</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912" w:type="dxa"/>
            <w:tcBorders/>
            <w:vAlign w:val="center"/>
          </w:tcPr>
          <w:p>
            <w:pPr>
              <w:pStyle w:val="TableContents"/>
              <w:bidi w:val="0"/>
              <w:spacing w:before="0" w:after="283"/>
              <w:jc w:val="right"/>
              <w:rPr/>
            </w:pPr>
            <w:r>
              <w:rPr/>
              <w:t>33,937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 </w:t>
            </w:r>
          </w:p>
        </w:tc>
        <w:tc>
          <w:tcPr>
            <w:tcW w:w="7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900,009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ARIAL" w:hAnsi="ARIAL"/>
                <w:sz w:val="14"/>
              </w:rPr>
            </w:pPr>
            <w:r>
              <w:rPr>
                <w:rFonts w:ascii="ARIAL" w:hAnsi="ARIAL"/>
                <w:sz w:val="14"/>
              </w:rPr>
              <w:t xml:space="preserve">Amounts represent the range of possible payouts denominated in dollars pursuant to the total of a prorated amount of the LBP and the FBP, as established by Labcorp’s CHCC in February 2023 as well as Fortrea’s MDCC in August 2023. Pursuant to both the LBP and FBP, the base salary and target bonus factor used to calculate target bonus amounts are prorated to reflect changes during 2023. Actual amounts paid out pursuant to the plan are included in the Non-Equity Incentive Plan Compensation column of the Summary Compensation Table above. For a discussion of the performance criteria applicable to these awards, see “Compensation Discussion and Analysis - Labcorp Bonus Plan: January 1, 2023 to June 30, 2023 Bonus Plan Design” and “Compensation Discussion and Analysis—Fortrea Bonus Plan: July 1, 2023 to December 31, 2023 Bonus Plan Design and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(2)</w:t>
            </w:r>
          </w:p>
        </w:tc>
        <w:tc>
          <w:tcPr>
            <w:tcW w:w="9919" w:type="dxa"/>
            <w:tcBorders/>
            <w:vAlign w:val="center"/>
          </w:tcPr>
          <w:p>
            <w:pPr>
              <w:pStyle w:val="TableContents"/>
              <w:bidi w:val="0"/>
              <w:spacing w:before="0" w:after="0"/>
              <w:jc w:val="left"/>
              <w:rPr>
                <w:rFonts w:ascii="ARIAL" w:hAnsi="ARIAL"/>
                <w:sz w:val="14"/>
              </w:rPr>
            </w:pPr>
            <w:r>
              <w:rPr>
                <w:rFonts w:ascii="ARIAL" w:hAnsi="ARIAL"/>
                <w:sz w:val="14"/>
              </w:rPr>
              <w:t xml:space="preserve">Per Mr. Pike’s employment agreement, he was entitled to a minimum payout of 100% of his base salary (or $1,100,000) for the resulting combined outcome of the Labcorp Bonus Plan and Fortrea Bonus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(3)</w:t>
            </w:r>
          </w:p>
        </w:tc>
        <w:tc>
          <w:tcPr>
            <w:tcW w:w="9956" w:type="dxa"/>
            <w:tcBorders/>
            <w:vAlign w:val="center"/>
          </w:tcPr>
          <w:p>
            <w:pPr>
              <w:pStyle w:val="TableContents"/>
              <w:bidi w:val="0"/>
              <w:spacing w:before="0" w:after="0"/>
              <w:jc w:val="left"/>
              <w:rPr>
                <w:rFonts w:ascii="ARIAL" w:hAnsi="ARIAL"/>
                <w:sz w:val="14"/>
              </w:rPr>
            </w:pPr>
            <w:r>
              <w:rPr>
                <w:rFonts w:ascii="ARIAL" w:hAnsi="ARIAL"/>
                <w:sz w:val="14"/>
              </w:rPr>
              <w:t xml:space="preserve">For equity awards granted prior to June 30, 2023, the number of equity shares provided in the table above represent the number of Fortrea shares resulting from the conversion of Labcorp grants to Fortrea awards. Effective June 30, 2023, outstanding Labcorp equity awards were converted to Fortrea equity awards using a conversion ratio approved by the Labcorp CHCC. For a discussion of the conversion ratio applicable to these awards, see “Compensation Discussion and Analysis – Conversion of Labcorp Long-term Incentive Awards (approved by Labcorp CHCC).” </w:t>
            </w:r>
          </w:p>
        </w:tc>
      </w:tr>
    </w:tbl>
    <w:p>
      <w:pPr>
        <w:pStyle w:val="TextBody"/>
        <w:bidi w:val="0"/>
        <w:spacing w:before="0" w:after="0"/>
        <w:jc w:val="left"/>
        <w:rPr/>
      </w:pPr>
      <w:r>
        <w:rPr/>
        <w:t> </w:t>
      </w:r>
    </w:p>
    <w:tbl>
      <w:tblPr>
        <w:tblW w:w="7060" w:type="dxa"/>
        <w:jc w:val="left"/>
        <w:tblInd w:w="0" w:type="dxa"/>
        <w:tblLayout w:type="fixed"/>
        <w:tblCellMar>
          <w:top w:w="0" w:type="dxa"/>
          <w:left w:w="0" w:type="dxa"/>
          <w:bottom w:w="0" w:type="dxa"/>
          <w:right w:w="0" w:type="dxa"/>
        </w:tblCellMar>
      </w:tblPr>
      <w:tblGrid>
        <w:gridCol w:w="305"/>
        <w:gridCol w:w="6755"/>
      </w:tblGrid>
      <w:tr>
        <w:trPr/>
        <w:tc>
          <w:tcPr>
            <w:tcW w:w="305" w:type="dxa"/>
            <w:tcBorders/>
            <w:vAlign w:val="center"/>
          </w:tcPr>
          <w:p>
            <w:pPr>
              <w:pStyle w:val="TableContents"/>
              <w:bidi w:val="0"/>
              <w:spacing w:before="0" w:after="283"/>
              <w:jc w:val="left"/>
              <w:rPr/>
            </w:pPr>
            <w:r>
              <w:rPr/>
              <w:t>(4)</w:t>
            </w:r>
          </w:p>
        </w:tc>
        <w:tc>
          <w:tcPr>
            <w:tcW w:w="6755" w:type="dxa"/>
            <w:tcBorders/>
            <w:vAlign w:val="center"/>
          </w:tcPr>
          <w:p>
            <w:pPr>
              <w:pStyle w:val="TableContents"/>
              <w:bidi w:val="0"/>
              <w:spacing w:before="0" w:after="0"/>
              <w:jc w:val="left"/>
              <w:rPr>
                <w:rFonts w:ascii="ARIAL" w:hAnsi="ARIAL"/>
                <w:sz w:val="14"/>
              </w:rPr>
            </w:pPr>
            <w:r>
              <w:rPr>
                <w:rFonts w:ascii="ARIAL" w:hAnsi="ARIAL"/>
                <w:sz w:val="14"/>
              </w:rPr>
              <w:t xml:space="preserve">Awards granted after June 30, 2023, represent Fortrea issued equity awards where no conversion occurred.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(5)</w:t>
            </w:r>
          </w:p>
        </w:tc>
        <w:tc>
          <w:tcPr>
            <w:tcW w:w="9958" w:type="dxa"/>
            <w:tcBorders/>
            <w:vAlign w:val="center"/>
          </w:tcPr>
          <w:p>
            <w:pPr>
              <w:pStyle w:val="TableContents"/>
              <w:bidi w:val="0"/>
              <w:spacing w:before="0" w:after="0"/>
              <w:jc w:val="left"/>
              <w:rPr>
                <w:rFonts w:ascii="ARIAL" w:hAnsi="ARIAL"/>
                <w:sz w:val="14"/>
              </w:rPr>
            </w:pPr>
            <w:r>
              <w:rPr>
                <w:rFonts w:ascii="ARIAL" w:hAnsi="ARIAL"/>
                <w:sz w:val="14"/>
              </w:rPr>
              <w:t xml:space="preserve">Estimated Future Payouts Under Equity Incentive Plan Awards represent the range of estimated potential shares to be earned under PSAs that were converted from Labcorp equity awards to Fortrea equity awards. As of July 1, 2023, the Fortrea MDCC adopted new performance goals specific to Fortrea. The PSAs vest at the end of the performance period ending December 31, 2025 provided that certain performance metrics are met. For a discussion of the performance criteria applicable to these awards, see “Compensation Discussion and Analysis—Long-Term Equity Incentive Compensation and Conversion of Prior Awards”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(6)</w:t>
            </w:r>
          </w:p>
        </w:tc>
        <w:tc>
          <w:tcPr>
            <w:tcW w:w="9943" w:type="dxa"/>
            <w:tcBorders/>
            <w:vAlign w:val="center"/>
          </w:tcPr>
          <w:p>
            <w:pPr>
              <w:pStyle w:val="TableContents"/>
              <w:bidi w:val="0"/>
              <w:spacing w:before="0" w:after="0"/>
              <w:jc w:val="left"/>
              <w:rPr>
                <w:rFonts w:ascii="ARIAL" w:hAnsi="ARIAL"/>
                <w:sz w:val="14"/>
              </w:rPr>
            </w:pPr>
            <w:r>
              <w:rPr>
                <w:rFonts w:ascii="ARIAL" w:hAnsi="ARIAL"/>
                <w:sz w:val="14"/>
              </w:rPr>
              <w:t xml:space="preserve">Amounts represent RSU awards that vest ratably over three years, beginning on the first anniversary of the grant date, based on continued service. RSU awards granted to Mr. Pike on August 17, 2023 vest equally in three tranches with the first two occurring on the first and second anniversary of the grant date, and the third occurring on January 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(7)</w:t>
            </w:r>
          </w:p>
        </w:tc>
        <w:tc>
          <w:tcPr>
            <w:tcW w:w="9915" w:type="dxa"/>
            <w:tcBorders/>
            <w:vAlign w:val="center"/>
          </w:tcPr>
          <w:p>
            <w:pPr>
              <w:pStyle w:val="TableContents"/>
              <w:bidi w:val="0"/>
              <w:spacing w:before="0" w:after="0"/>
              <w:jc w:val="left"/>
              <w:rPr>
                <w:rFonts w:ascii="ARIAL" w:hAnsi="ARIAL"/>
                <w:sz w:val="14"/>
              </w:rPr>
            </w:pPr>
            <w:r>
              <w:rPr>
                <w:rFonts w:ascii="ARIAL" w:hAnsi="ARIAL"/>
                <w:sz w:val="14"/>
              </w:rPr>
              <w:t xml:space="preserve">Amount represents stock options that vest equally in three tranches with the first two occurring on the first and second anniversary of the grant date, and the third occurring on January 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(8)</w:t>
            </w:r>
          </w:p>
        </w:tc>
        <w:tc>
          <w:tcPr>
            <w:tcW w:w="9961" w:type="dxa"/>
            <w:tcBorders/>
            <w:vAlign w:val="center"/>
          </w:tcPr>
          <w:p>
            <w:pPr>
              <w:pStyle w:val="TableContents"/>
              <w:bidi w:val="0"/>
              <w:spacing w:before="0" w:after="0"/>
              <w:jc w:val="left"/>
              <w:rPr>
                <w:rFonts w:ascii="ARIAL" w:hAnsi="ARIAL"/>
                <w:sz w:val="14"/>
              </w:rPr>
            </w:pPr>
            <w:r>
              <w:rPr>
                <w:rFonts w:ascii="ARIAL" w:hAnsi="ARIAL"/>
                <w:sz w:val="14"/>
              </w:rPr>
              <w:t xml:space="preserve">Amounts represent the full grant date fair value of RSUs and PSAs as computed in accordance with FASB ASC Topic 718 for stock-based compensation, but excluding the effect of estimated forfeitures. The amounts shown in this column will likely vary from the amount actually realized by any NEO based on a number of factors, including the number of shares that ultimately vest, the satisfaction or failure to meet any performance criteria, the timing of any exercise or sale of shares, and the price of Fortrea’s common stock. The value for stock options is calculated using the Black-Scholes option pricing model. The value of the PSAs granted in February 2023 if they are achieved at the maximum payout is as follows: Ms. McConnell - $564,224 and Mr. Morais - $754,100.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(9)</w:t>
            </w:r>
          </w:p>
        </w:tc>
        <w:tc>
          <w:tcPr>
            <w:tcW w:w="9945" w:type="dxa"/>
            <w:tcBorders/>
            <w:vAlign w:val="center"/>
          </w:tcPr>
          <w:p>
            <w:pPr>
              <w:pStyle w:val="TableContents"/>
              <w:bidi w:val="0"/>
              <w:spacing w:before="0" w:after="0"/>
              <w:jc w:val="left"/>
              <w:rPr>
                <w:rFonts w:ascii="ARIAL" w:hAnsi="ARIAL"/>
                <w:sz w:val="14"/>
              </w:rPr>
            </w:pPr>
            <w:r>
              <w:rPr>
                <w:rFonts w:ascii="ARIAL" w:hAnsi="ARIAL"/>
                <w:sz w:val="14"/>
              </w:rPr>
              <w:t xml:space="preserve">Mr. Pike was appointed Chief Executive Officer effective June 30, 2023. Under the terms of Mr. Pike’s employment agreement, his 2023 equity grants were intended to provide an equivalent value of three years of equity grants and no further equity grants are intended to be made during the remaining initial term of his employment agreement, which ends on December 31, 2025.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40</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sz w:val="20"/>
        </w:rPr>
      </w:pPr>
      <w:bookmarkStart w:id="39" w:name="toc814840_37"/>
      <w:bookmarkEnd w:id="39"/>
      <w:r>
        <w:rPr>
          <w:rFonts w:ascii="ARIAL" w:hAnsi="ARIAL"/>
          <w:b/>
          <w:sz w:val="20"/>
        </w:rPr>
        <w:t xml:space="preserve">Outstanding Equity Awards at Fiscal Year-End </w:t>
      </w:r>
    </w:p>
    <w:p>
      <w:pPr>
        <w:pStyle w:val="TextBody"/>
        <w:bidi w:val="0"/>
        <w:spacing w:before="160" w:after="0"/>
        <w:jc w:val="left"/>
        <w:rPr>
          <w:rFonts w:ascii="ARIAL" w:hAnsi="ARIAL"/>
          <w:sz w:val="18"/>
        </w:rPr>
      </w:pPr>
      <w:r>
        <w:rPr>
          <w:rFonts w:ascii="ARIAL" w:hAnsi="ARIAL"/>
          <w:sz w:val="18"/>
        </w:rPr>
        <w:t xml:space="preserve">The following table provides information concerning outstanding equity awards for each of our NEOs as of December 31, 2023. As of December 29, 2023, the last trading day of 2023, the fair market value of a share of our common stock was $34.90. </w:t>
      </w:r>
    </w:p>
    <w:p>
      <w:pPr>
        <w:pStyle w:val="TextBody"/>
        <w:bidi w:val="0"/>
        <w:spacing w:before="160" w:after="0"/>
        <w:jc w:val="left"/>
        <w:rPr>
          <w:rFonts w:ascii="ARIAL" w:hAnsi="ARIAL"/>
          <w:sz w:val="18"/>
        </w:rPr>
      </w:pPr>
      <w:r>
        <w:rPr>
          <w:rFonts w:ascii="ARIAL" w:hAnsi="ARIAL"/>
          <w:sz w:val="18"/>
        </w:rPr>
        <w:t xml:space="preserve">The following table shows the number of shares underlying exercisable and unexercisable options, as well as unvested RSUs and unearned performance share units, held by our Named Executive Officers at December 31, 2023. Market or payout values in the table below are based on the closing price of Fortrea common stock as of December 29, 2023. </w:t>
      </w:r>
    </w:p>
    <w:p>
      <w:pPr>
        <w:pStyle w:val="TextBody"/>
        <w:bidi w:val="0"/>
        <w:spacing w:before="0" w:after="0"/>
        <w:jc w:val="left"/>
        <w:rPr/>
      </w:pPr>
      <w:r>
        <w:rPr/>
        <w:t> </w:t>
      </w:r>
    </w:p>
    <w:tbl>
      <w:tblPr>
        <w:tblW w:w="12070" w:type="dxa"/>
        <w:jc w:val="left"/>
        <w:tblInd w:w="0" w:type="dxa"/>
        <w:tblLayout w:type="fixed"/>
        <w:tblCellMar>
          <w:top w:w="0" w:type="dxa"/>
          <w:left w:w="0" w:type="dxa"/>
          <w:bottom w:w="0" w:type="dxa"/>
          <w:right w:w="0" w:type="dxa"/>
        </w:tblCellMar>
      </w:tblPr>
      <w:tblGrid>
        <w:gridCol w:w="1055"/>
        <w:gridCol w:w="60"/>
        <w:gridCol w:w="60"/>
        <w:gridCol w:w="575"/>
        <w:gridCol w:w="60"/>
        <w:gridCol w:w="60"/>
        <w:gridCol w:w="237"/>
        <w:gridCol w:w="1028"/>
        <w:gridCol w:w="60"/>
        <w:gridCol w:w="60"/>
        <w:gridCol w:w="106"/>
        <w:gridCol w:w="1414"/>
        <w:gridCol w:w="60"/>
        <w:gridCol w:w="60"/>
        <w:gridCol w:w="84"/>
        <w:gridCol w:w="791"/>
        <w:gridCol w:w="60"/>
        <w:gridCol w:w="60"/>
        <w:gridCol w:w="119"/>
        <w:gridCol w:w="996"/>
        <w:gridCol w:w="60"/>
        <w:gridCol w:w="60"/>
        <w:gridCol w:w="60"/>
        <w:gridCol w:w="800"/>
        <w:gridCol w:w="60"/>
        <w:gridCol w:w="60"/>
        <w:gridCol w:w="140"/>
        <w:gridCol w:w="1100"/>
        <w:gridCol w:w="60"/>
        <w:gridCol w:w="60"/>
        <w:gridCol w:w="97"/>
        <w:gridCol w:w="1108"/>
        <w:gridCol w:w="60"/>
        <w:gridCol w:w="60"/>
        <w:gridCol w:w="179"/>
        <w:gridCol w:w="1026"/>
        <w:gridCol w:w="75"/>
      </w:tblGrid>
      <w:tr>
        <w:trPr/>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55" w:type="dxa"/>
            <w:tcBorders/>
            <w:shd w:fill="0BC11C"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0BC11C" w:val="clear"/>
            <w:vAlign w:val="center"/>
          </w:tcPr>
          <w:p>
            <w:pPr>
              <w:pStyle w:val="TableContents"/>
              <w:bidi w:val="0"/>
              <w:spacing w:before="0" w:after="283"/>
              <w:jc w:val="left"/>
              <w:rPr/>
            </w:pPr>
            <w:r>
              <w:rPr/>
              <w:t> </w:t>
            </w:r>
          </w:p>
        </w:tc>
        <w:tc>
          <w:tcPr>
            <w:tcW w:w="635" w:type="dxa"/>
            <w:gridSpan w:val="2"/>
            <w:tcBorders/>
            <w:shd w:fill="0BC11C" w:val="clear"/>
            <w:vAlign w:val="center"/>
          </w:tcPr>
          <w:p>
            <w:pPr>
              <w:pStyle w:val="TableContents"/>
              <w:bidi w:val="0"/>
              <w:jc w:val="left"/>
              <w:rPr/>
            </w:pPr>
            <w:r>
              <w:rPr/>
              <w:t> </w:t>
            </w:r>
          </w:p>
          <w:p>
            <w:pPr>
              <w:pStyle w:val="TableContents"/>
              <w:bidi w:val="0"/>
              <w:spacing w:before="0" w:after="0"/>
              <w:jc w:val="left"/>
              <w:rPr/>
            </w:pPr>
            <w:r>
              <w:rPr/>
              <w:t> </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5135" w:type="dxa"/>
            <w:gridSpan w:val="14"/>
            <w:tcBorders/>
            <w:shd w:fill="0BC11C" w:val="clear"/>
            <w:vAlign w:val="center"/>
          </w:tcPr>
          <w:p>
            <w:pPr>
              <w:pStyle w:val="TableContents"/>
              <w:bidi w:val="0"/>
              <w:spacing w:before="0" w:after="283"/>
              <w:jc w:val="center"/>
              <w:rPr>
                <w:b/>
                <w:color w:val="FFFFFF"/>
              </w:rPr>
            </w:pPr>
            <w:r>
              <w:rPr>
                <w:b/>
                <w:color w:val="FFFFFF"/>
              </w:rPr>
              <w:t xml:space="preserve">Option Awards </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4870" w:type="dxa"/>
            <w:gridSpan w:val="14"/>
            <w:tcBorders/>
            <w:shd w:fill="0BC11C" w:val="clear"/>
            <w:vAlign w:val="center"/>
          </w:tcPr>
          <w:p>
            <w:pPr>
              <w:pStyle w:val="TableContents"/>
              <w:bidi w:val="0"/>
              <w:spacing w:before="0" w:after="283"/>
              <w:jc w:val="center"/>
              <w:rPr>
                <w:b/>
                <w:color w:val="FFFFFF"/>
              </w:rPr>
            </w:pPr>
            <w:r>
              <w:rPr>
                <w:b/>
                <w:color w:val="FFFFFF"/>
              </w:rPr>
              <w:t>Stock Awards</w:t>
            </w:r>
          </w:p>
        </w:tc>
        <w:tc>
          <w:tcPr>
            <w:tcW w:w="75" w:type="dxa"/>
            <w:tcBorders/>
            <w:shd w:fill="0BC11C" w:val="clear"/>
            <w:vAlign w:val="center"/>
          </w:tcPr>
          <w:p>
            <w:pPr>
              <w:pStyle w:val="TableContents"/>
              <w:bidi w:val="0"/>
              <w:spacing w:before="0" w:after="283"/>
              <w:jc w:val="left"/>
              <w:rPr/>
            </w:pPr>
            <w:r>
              <w:rPr/>
              <w:t> </w:t>
            </w:r>
          </w:p>
        </w:tc>
      </w:tr>
      <w:tr>
        <w:trPr/>
        <w:tc>
          <w:tcPr>
            <w:tcW w:w="1055" w:type="dxa"/>
            <w:tcBorders/>
            <w:shd w:fill="0BC11C" w:val="clear"/>
            <w:vAlign w:val="center"/>
          </w:tcPr>
          <w:p>
            <w:pPr>
              <w:pStyle w:val="TableContents"/>
              <w:bidi w:val="0"/>
              <w:spacing w:before="0" w:after="0"/>
              <w:jc w:val="left"/>
              <w:rPr>
                <w:rFonts w:ascii="ARIAL" w:hAnsi="ARIAL"/>
                <w:b/>
                <w:color w:val="FFFFFF"/>
                <w:sz w:val="15"/>
              </w:rPr>
            </w:pPr>
            <w:r>
              <w:rPr>
                <w:rFonts w:ascii="ARIAL" w:hAnsi="ARIAL"/>
                <w:b/>
                <w:color w:val="FFFFFF"/>
                <w:sz w:val="15"/>
              </w:rPr>
              <w:t>Name</w:t>
            </w:r>
          </w:p>
        </w:tc>
        <w:tc>
          <w:tcPr>
            <w:tcW w:w="60" w:type="dxa"/>
            <w:tcBorders/>
            <w:shd w:fill="0BC11C" w:val="clear"/>
            <w:vAlign w:val="center"/>
          </w:tcPr>
          <w:p>
            <w:pPr>
              <w:pStyle w:val="TableContents"/>
              <w:bidi w:val="0"/>
              <w:spacing w:before="0" w:after="283"/>
              <w:jc w:val="left"/>
              <w:rPr/>
            </w:pPr>
            <w:r>
              <w:rPr/>
              <w:t> </w:t>
            </w:r>
          </w:p>
        </w:tc>
        <w:tc>
          <w:tcPr>
            <w:tcW w:w="635" w:type="dxa"/>
            <w:gridSpan w:val="2"/>
            <w:tcBorders/>
            <w:shd w:fill="0BC11C" w:val="clear"/>
            <w:vAlign w:val="center"/>
          </w:tcPr>
          <w:p>
            <w:pPr>
              <w:pStyle w:val="TableContents"/>
              <w:bidi w:val="0"/>
              <w:spacing w:before="0" w:after="283"/>
              <w:jc w:val="center"/>
              <w:rPr>
                <w:b/>
                <w:color w:val="FFFFFF"/>
              </w:rPr>
            </w:pPr>
            <w:r>
              <w:rPr>
                <w:b/>
                <w:color w:val="FFFFFF"/>
              </w:rPr>
              <w:t>Grant Date</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265" w:type="dxa"/>
            <w:gridSpan w:val="2"/>
            <w:tcBorders/>
            <w:shd w:fill="0BC11C" w:val="clear"/>
            <w:vAlign w:val="center"/>
          </w:tcPr>
          <w:p>
            <w:pPr>
              <w:pStyle w:val="TableContents"/>
              <w:bidi w:val="0"/>
              <w:spacing w:before="0" w:after="283"/>
              <w:jc w:val="center"/>
              <w:rPr>
                <w:b/>
                <w:color w:val="FFFFFF"/>
              </w:rPr>
            </w:pPr>
            <w:r>
              <w:rPr>
                <w:b/>
                <w:color w:val="FFFFFF"/>
              </w:rPr>
              <w:t>Number of</w:t>
              <w:br/>
              <w:t>Securities</w:t>
              <w:br/>
              <w:t>Underlying</w:t>
              <w:br/>
              <w:t>Unexercised</w:t>
              <w:br/>
              <w:t>Options (#)</w:t>
              <w:br/>
              <w:t>Exercisable(1)</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520" w:type="dxa"/>
            <w:gridSpan w:val="2"/>
            <w:tcBorders/>
            <w:shd w:fill="0BC11C" w:val="clear"/>
            <w:vAlign w:val="center"/>
          </w:tcPr>
          <w:p>
            <w:pPr>
              <w:pStyle w:val="TableContents"/>
              <w:bidi w:val="0"/>
              <w:spacing w:before="0" w:after="283"/>
              <w:jc w:val="center"/>
              <w:rPr>
                <w:b/>
                <w:color w:val="FFFFFF"/>
              </w:rPr>
            </w:pPr>
            <w:r>
              <w:rPr>
                <w:b/>
                <w:color w:val="FFFFFF"/>
              </w:rPr>
              <w:t>Number of</w:t>
              <w:br/>
              <w:t>Securities</w:t>
              <w:br/>
              <w:t>Underlying</w:t>
              <w:br/>
              <w:t>Unexercised</w:t>
              <w:br/>
              <w:t>Options (#)</w:t>
              <w:br/>
              <w:t>Unexercisable(1)</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875" w:type="dxa"/>
            <w:gridSpan w:val="2"/>
            <w:tcBorders/>
            <w:shd w:fill="0BC11C" w:val="clear"/>
            <w:vAlign w:val="center"/>
          </w:tcPr>
          <w:p>
            <w:pPr>
              <w:pStyle w:val="TableContents"/>
              <w:bidi w:val="0"/>
              <w:spacing w:before="0" w:after="283"/>
              <w:jc w:val="center"/>
              <w:rPr>
                <w:b/>
                <w:color w:val="FFFFFF"/>
              </w:rPr>
            </w:pPr>
            <w:r>
              <w:rPr>
                <w:b/>
                <w:color w:val="FFFFFF"/>
              </w:rPr>
              <w:t>Option</w:t>
              <w:br/>
              <w:t>Exercise</w:t>
              <w:br/>
              <w:t>Price ($)</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115" w:type="dxa"/>
            <w:gridSpan w:val="2"/>
            <w:tcBorders/>
            <w:shd w:fill="0BC11C" w:val="clear"/>
            <w:vAlign w:val="center"/>
          </w:tcPr>
          <w:p>
            <w:pPr>
              <w:pStyle w:val="TableContents"/>
              <w:bidi w:val="0"/>
              <w:spacing w:before="0" w:after="283"/>
              <w:jc w:val="center"/>
              <w:rPr>
                <w:b/>
                <w:color w:val="FFFFFF"/>
              </w:rPr>
            </w:pPr>
            <w:r>
              <w:rPr>
                <w:b/>
                <w:color w:val="FFFFFF"/>
              </w:rPr>
              <w:t>Option</w:t>
              <w:br/>
              <w:t>Expiration</w:t>
              <w:br/>
              <w:t>Date</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860" w:type="dxa"/>
            <w:gridSpan w:val="2"/>
            <w:tcBorders/>
            <w:shd w:fill="0BC11C" w:val="clear"/>
            <w:vAlign w:val="center"/>
          </w:tcPr>
          <w:p>
            <w:pPr>
              <w:pStyle w:val="TableContents"/>
              <w:bidi w:val="0"/>
              <w:spacing w:before="0" w:after="0"/>
              <w:jc w:val="center"/>
              <w:rPr>
                <w:rFonts w:ascii="ARIAL" w:hAnsi="ARIAL"/>
                <w:b/>
                <w:color w:val="FFFFFF"/>
                <w:sz w:val="15"/>
              </w:rPr>
            </w:pPr>
            <w:r>
              <w:rPr>
                <w:rFonts w:ascii="ARIAL" w:hAnsi="ARIAL"/>
                <w:b/>
                <w:color w:val="FFFFFF"/>
                <w:sz w:val="15"/>
              </w:rPr>
              <w:t>Number of</w:t>
              <w:br/>
              <w:t>Shares or</w:t>
              <w:br/>
              <w:t>Units of</w:t>
              <w:br/>
              <w:t>Stock that</w:t>
              <w:br/>
              <w:t>have Not</w:t>
              <w:br/>
              <w:t>Yet</w:t>
              <w:br/>
              <w:t>Vested</w:t>
            </w:r>
          </w:p>
          <w:p>
            <w:pPr>
              <w:pStyle w:val="TableContents"/>
              <w:bidi w:val="0"/>
              <w:spacing w:before="0" w:after="20"/>
              <w:jc w:val="center"/>
              <w:rPr>
                <w:rFonts w:ascii="ARIAL" w:hAnsi="ARIAL"/>
                <w:b/>
                <w:color w:val="FFFFFF"/>
                <w:sz w:val="15"/>
              </w:rPr>
            </w:pPr>
            <w:r>
              <w:rPr>
                <w:rFonts w:ascii="ARIAL" w:hAnsi="ARIAL"/>
                <w:b/>
                <w:color w:val="FFFFFF"/>
                <w:sz w:val="15"/>
              </w:rPr>
              <w:t>(#)(2,3)</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240" w:type="dxa"/>
            <w:gridSpan w:val="2"/>
            <w:tcBorders/>
            <w:shd w:fill="0BC11C" w:val="clear"/>
            <w:vAlign w:val="center"/>
          </w:tcPr>
          <w:p>
            <w:pPr>
              <w:pStyle w:val="TableContents"/>
              <w:bidi w:val="0"/>
              <w:spacing w:before="0" w:after="0"/>
              <w:jc w:val="center"/>
              <w:rPr>
                <w:rFonts w:ascii="ARIAL" w:hAnsi="ARIAL"/>
                <w:b/>
                <w:color w:val="FFFFFF"/>
                <w:sz w:val="15"/>
              </w:rPr>
            </w:pPr>
            <w:r>
              <w:rPr>
                <w:rFonts w:ascii="ARIAL" w:hAnsi="ARIAL"/>
                <w:b/>
                <w:color w:val="FFFFFF"/>
                <w:sz w:val="15"/>
              </w:rPr>
              <w:t>Market Value</w:t>
              <w:br/>
              <w:t>of Shares of</w:t>
              <w:br/>
              <w:t>Units of</w:t>
              <w:br/>
              <w:t>Stock that</w:t>
              <w:br/>
              <w:t>have Not Yet</w:t>
              <w:br/>
              <w:t>Vested</w:t>
            </w:r>
          </w:p>
          <w:p>
            <w:pPr>
              <w:pStyle w:val="TableContents"/>
              <w:bidi w:val="0"/>
              <w:spacing w:before="0" w:after="20"/>
              <w:jc w:val="center"/>
              <w:rPr>
                <w:rFonts w:ascii="ARIAL" w:hAnsi="ARIAL"/>
                <w:b/>
                <w:color w:val="FFFFFF"/>
                <w:sz w:val="15"/>
              </w:rPr>
            </w:pPr>
            <w:r>
              <w:rPr>
                <w:rFonts w:ascii="ARIAL" w:hAnsi="ARIAL"/>
                <w:b/>
                <w:color w:val="FFFFFF"/>
                <w:sz w:val="15"/>
              </w:rPr>
              <w:t>($)(6)</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205" w:type="dxa"/>
            <w:gridSpan w:val="2"/>
            <w:tcBorders/>
            <w:shd w:fill="0BC11C" w:val="clear"/>
            <w:vAlign w:val="center"/>
          </w:tcPr>
          <w:p>
            <w:pPr>
              <w:pStyle w:val="TableContents"/>
              <w:bidi w:val="0"/>
              <w:spacing w:before="0" w:after="0"/>
              <w:jc w:val="center"/>
              <w:rPr>
                <w:rFonts w:ascii="ARIAL" w:hAnsi="ARIAL"/>
                <w:b/>
                <w:color w:val="FFFFFF"/>
                <w:sz w:val="15"/>
              </w:rPr>
            </w:pPr>
            <w:r>
              <w:rPr>
                <w:rFonts w:ascii="ARIAL" w:hAnsi="ARIAL"/>
                <w:b/>
                <w:color w:val="FFFFFF"/>
                <w:sz w:val="15"/>
              </w:rPr>
              <w:t>Equity Incentive</w:t>
              <w:br/>
              <w:t>Plan Awards:</w:t>
              <w:br/>
              <w:t>Number of</w:t>
              <w:br/>
              <w:t>Unearned</w:t>
              <w:br/>
              <w:t>Shares, Units or</w:t>
              <w:br/>
              <w:t>Other Rights</w:t>
              <w:br/>
              <w:t>That Have Not</w:t>
              <w:br/>
              <w:t>Vested</w:t>
            </w:r>
          </w:p>
          <w:p>
            <w:pPr>
              <w:pStyle w:val="TableContents"/>
              <w:bidi w:val="0"/>
              <w:spacing w:before="0" w:after="20"/>
              <w:jc w:val="center"/>
              <w:rPr>
                <w:rFonts w:ascii="ARIAL" w:hAnsi="ARIAL"/>
                <w:b/>
                <w:color w:val="FFFFFF"/>
                <w:sz w:val="15"/>
              </w:rPr>
            </w:pPr>
            <w:r>
              <w:rPr>
                <w:rFonts w:ascii="ARIAL" w:hAnsi="ARIAL"/>
                <w:b/>
                <w:color w:val="FFFFFF"/>
                <w:sz w:val="15"/>
              </w:rPr>
              <w:t>(#)(3,4, 5)</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205" w:type="dxa"/>
            <w:gridSpan w:val="2"/>
            <w:tcBorders/>
            <w:shd w:fill="0BC11C" w:val="clear"/>
            <w:vAlign w:val="center"/>
          </w:tcPr>
          <w:p>
            <w:pPr>
              <w:pStyle w:val="TableContents"/>
              <w:bidi w:val="0"/>
              <w:spacing w:before="0" w:after="0"/>
              <w:jc w:val="center"/>
              <w:rPr>
                <w:rFonts w:ascii="ARIAL" w:hAnsi="ARIAL"/>
                <w:b/>
                <w:color w:val="FFFFFF"/>
                <w:sz w:val="15"/>
              </w:rPr>
            </w:pPr>
            <w:r>
              <w:rPr>
                <w:rFonts w:ascii="ARIAL" w:hAnsi="ARIAL"/>
                <w:b/>
                <w:color w:val="FFFFFF"/>
                <w:sz w:val="15"/>
              </w:rPr>
              <w:t>Equity Incentive</w:t>
              <w:br/>
              <w:t>Plan Awards:</w:t>
              <w:br/>
              <w:t>Market or</w:t>
              <w:br/>
              <w:t>Payout Value of</w:t>
              <w:br/>
              <w:t>Unearned</w:t>
              <w:br/>
              <w:t>Shares, Units or</w:t>
              <w:br/>
              <w:t>Other Rights</w:t>
              <w:br/>
              <w:t>That Have Not</w:t>
              <w:br/>
              <w:t>Vested</w:t>
            </w:r>
          </w:p>
          <w:p>
            <w:pPr>
              <w:pStyle w:val="TableContents"/>
              <w:bidi w:val="0"/>
              <w:spacing w:before="0" w:after="20"/>
              <w:jc w:val="center"/>
              <w:rPr>
                <w:rFonts w:ascii="ARIAL" w:hAnsi="ARIAL"/>
                <w:b/>
                <w:color w:val="FFFFFF"/>
                <w:sz w:val="15"/>
              </w:rPr>
            </w:pPr>
            <w:r>
              <w:rPr>
                <w:rFonts w:ascii="ARIAL" w:hAnsi="ARIAL"/>
                <w:b/>
                <w:color w:val="FFFFFF"/>
                <w:sz w:val="15"/>
              </w:rPr>
              <w:t>($)(6)</w:t>
            </w:r>
          </w:p>
        </w:tc>
        <w:tc>
          <w:tcPr>
            <w:tcW w:w="75" w:type="dxa"/>
            <w:tcBorders/>
            <w:shd w:fill="0BC11C" w:val="clear"/>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jc w:val="left"/>
              <w:rPr>
                <w:rFonts w:ascii="ARIAL" w:hAnsi="ARIAL"/>
                <w:sz w:val="17"/>
              </w:rPr>
            </w:pPr>
            <w:r>
              <w:rPr>
                <w:rFonts w:ascii="ARIAL" w:hAnsi="ARIAL"/>
                <w:sz w:val="17"/>
              </w:rPr>
              <w:t>Thomas Pike(7)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1/9/2023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0"/>
              <w:jc w:val="left"/>
              <w:rPr/>
            </w:pPr>
            <w:r>
              <w:rPr/>
              <w:t> </w:t>
            </w:r>
          </w:p>
        </w:tc>
        <w:tc>
          <w:tcPr>
            <w:tcW w:w="141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120,668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4,211,313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0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8/17/2023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102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1414" w:type="dxa"/>
            <w:tcBorders/>
            <w:vAlign w:val="center"/>
          </w:tcPr>
          <w:p>
            <w:pPr>
              <w:pStyle w:val="TableContents"/>
              <w:bidi w:val="0"/>
              <w:spacing w:before="0" w:after="283"/>
              <w:jc w:val="right"/>
              <w:rPr/>
            </w:pPr>
            <w:r>
              <w:rPr/>
              <w:t>799,272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26.52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right"/>
              <w:rPr/>
            </w:pPr>
            <w:r>
              <w:rPr/>
              <w:t>8/17/2033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377,074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13,159,883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055" w:type="dxa"/>
            <w:tcBorders/>
            <w:shd w:fill="EDEDED" w:val="clear"/>
            <w:vAlign w:val="center"/>
          </w:tcPr>
          <w:p>
            <w:pPr>
              <w:pStyle w:val="TableContents"/>
              <w:bidi w:val="0"/>
              <w:spacing w:before="0" w:after="0"/>
              <w:jc w:val="left"/>
              <w:rPr>
                <w:rFonts w:ascii="ARIAL" w:hAnsi="ARIAL"/>
                <w:sz w:val="17"/>
              </w:rPr>
            </w:pPr>
            <w:r>
              <w:rPr>
                <w:rFonts w:ascii="ARIAL" w:hAnsi="ARIAL"/>
                <w:sz w:val="17"/>
              </w:rPr>
              <w:t>Jill McConnell</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575" w:type="dxa"/>
            <w:tcBorders/>
            <w:shd w:fill="EDEDED" w:val="clear"/>
            <w:vAlign w:val="center"/>
          </w:tcPr>
          <w:p>
            <w:pPr>
              <w:pStyle w:val="TableContents"/>
              <w:bidi w:val="0"/>
              <w:spacing w:before="0" w:after="283"/>
              <w:jc w:val="right"/>
              <w:rPr/>
            </w:pPr>
            <w:r>
              <w:rPr/>
              <w:t>2/2/2021</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7" w:type="dxa"/>
            <w:tcBorders/>
            <w:shd w:fill="EDEDED" w:val="clear"/>
            <w:vAlign w:val="center"/>
          </w:tcPr>
          <w:p>
            <w:pPr>
              <w:pStyle w:val="TableContents"/>
              <w:bidi w:val="0"/>
              <w:spacing w:before="0" w:after="0"/>
              <w:jc w:val="left"/>
              <w:rPr/>
            </w:pPr>
            <w:r>
              <w:rPr/>
              <w:t> </w:t>
            </w:r>
          </w:p>
        </w:tc>
        <w:tc>
          <w:tcPr>
            <w:tcW w:w="1028"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6" w:type="dxa"/>
            <w:tcBorders/>
            <w:shd w:fill="EDEDED" w:val="clear"/>
            <w:vAlign w:val="center"/>
          </w:tcPr>
          <w:p>
            <w:pPr>
              <w:pStyle w:val="TableContents"/>
              <w:bidi w:val="0"/>
              <w:spacing w:before="0" w:after="0"/>
              <w:jc w:val="left"/>
              <w:rPr/>
            </w:pPr>
            <w:r>
              <w:rPr/>
              <w:t> </w:t>
            </w:r>
          </w:p>
        </w:tc>
        <w:tc>
          <w:tcPr>
            <w:tcW w:w="1414"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0"/>
              <w:jc w:val="left"/>
              <w:rPr/>
            </w:pPr>
            <w:r>
              <w:rPr/>
              <w:t> </w:t>
            </w:r>
          </w:p>
        </w:tc>
        <w:tc>
          <w:tcPr>
            <w:tcW w:w="791"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19" w:type="dxa"/>
            <w:tcBorders/>
            <w:shd w:fill="EDEDED" w:val="clear"/>
            <w:vAlign w:val="center"/>
          </w:tcPr>
          <w:p>
            <w:pPr>
              <w:pStyle w:val="TableContents"/>
              <w:bidi w:val="0"/>
              <w:spacing w:before="0" w:after="0"/>
              <w:jc w:val="left"/>
              <w:rPr/>
            </w:pPr>
            <w:r>
              <w:rPr/>
              <w:t> </w:t>
            </w:r>
          </w:p>
        </w:tc>
        <w:tc>
          <w:tcPr>
            <w:tcW w:w="996"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right"/>
              <w:rPr/>
            </w:pPr>
            <w:r>
              <w:rPr/>
              <w:t>22,484</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784,692</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97" w:type="dxa"/>
            <w:tcBorders/>
            <w:shd w:fill="EDEDED" w:val="clear"/>
            <w:vAlign w:val="center"/>
          </w:tcPr>
          <w:p>
            <w:pPr>
              <w:pStyle w:val="TableContents"/>
              <w:bidi w:val="0"/>
              <w:spacing w:before="0" w:after="0"/>
              <w:jc w:val="left"/>
              <w:rPr/>
            </w:pPr>
            <w:r>
              <w:rPr/>
              <w:t> </w:t>
            </w:r>
          </w:p>
        </w:tc>
        <w:tc>
          <w:tcPr>
            <w:tcW w:w="1108"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79" w:type="dxa"/>
            <w:tcBorders/>
            <w:shd w:fill="EDEDED" w:val="clear"/>
            <w:vAlign w:val="center"/>
          </w:tcPr>
          <w:p>
            <w:pPr>
              <w:pStyle w:val="TableContents"/>
              <w:bidi w:val="0"/>
              <w:spacing w:before="0" w:after="0"/>
              <w:jc w:val="left"/>
              <w:rPr/>
            </w:pPr>
            <w:r>
              <w:rPr/>
              <w:t> </w:t>
            </w:r>
          </w:p>
        </w:tc>
        <w:tc>
          <w:tcPr>
            <w:tcW w:w="1026" w:type="dxa"/>
            <w:tcBorders/>
            <w:shd w:fill="EDEDED" w:val="clear"/>
            <w:vAlign w:val="center"/>
          </w:tcPr>
          <w:p>
            <w:pPr>
              <w:pStyle w:val="TableContents"/>
              <w:bidi w:val="0"/>
              <w:spacing w:before="0" w:after="0"/>
              <w:jc w:val="left"/>
              <w:rPr/>
            </w:pPr>
            <w:r>
              <w:rPr/>
              <w:t> </w:t>
            </w:r>
          </w:p>
        </w:tc>
        <w:tc>
          <w:tcPr>
            <w:tcW w:w="75" w:type="dxa"/>
            <w:tcBorders/>
            <w:shd w:fill="EDEDED" w:val="clear"/>
            <w:vAlign w:val="center"/>
          </w:tcPr>
          <w:p>
            <w:pPr>
              <w:pStyle w:val="TableContents"/>
              <w:bidi w:val="0"/>
              <w:spacing w:before="0" w:after="0"/>
              <w:jc w:val="left"/>
              <w:rPr/>
            </w:pPr>
            <w:r>
              <w:rPr/>
              <w:t> </w:t>
            </w:r>
          </w:p>
        </w:tc>
      </w:tr>
      <w:tr>
        <w:trPr/>
        <w:tc>
          <w:tcPr>
            <w:tcW w:w="1055"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575" w:type="dxa"/>
            <w:tcBorders/>
            <w:shd w:fill="EDEDED" w:val="clear"/>
            <w:vAlign w:val="center"/>
          </w:tcPr>
          <w:p>
            <w:pPr>
              <w:pStyle w:val="TableContents"/>
              <w:bidi w:val="0"/>
              <w:spacing w:before="0" w:after="283"/>
              <w:jc w:val="right"/>
              <w:rPr/>
            </w:pPr>
            <w:r>
              <w:rPr/>
              <w:t>2/11/2022</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7" w:type="dxa"/>
            <w:tcBorders/>
            <w:shd w:fill="EDEDED" w:val="clear"/>
            <w:vAlign w:val="center"/>
          </w:tcPr>
          <w:p>
            <w:pPr>
              <w:pStyle w:val="TableContents"/>
              <w:bidi w:val="0"/>
              <w:spacing w:before="0" w:after="0"/>
              <w:jc w:val="left"/>
              <w:rPr/>
            </w:pPr>
            <w:r>
              <w:rPr/>
              <w:t> </w:t>
            </w:r>
          </w:p>
        </w:tc>
        <w:tc>
          <w:tcPr>
            <w:tcW w:w="1028"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6" w:type="dxa"/>
            <w:tcBorders/>
            <w:shd w:fill="EDEDED" w:val="clear"/>
            <w:vAlign w:val="center"/>
          </w:tcPr>
          <w:p>
            <w:pPr>
              <w:pStyle w:val="TableContents"/>
              <w:bidi w:val="0"/>
              <w:spacing w:before="0" w:after="0"/>
              <w:jc w:val="left"/>
              <w:rPr/>
            </w:pPr>
            <w:r>
              <w:rPr/>
              <w:t> </w:t>
            </w:r>
          </w:p>
        </w:tc>
        <w:tc>
          <w:tcPr>
            <w:tcW w:w="1414"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0"/>
              <w:jc w:val="left"/>
              <w:rPr/>
            </w:pPr>
            <w:r>
              <w:rPr/>
              <w:t> </w:t>
            </w:r>
          </w:p>
        </w:tc>
        <w:tc>
          <w:tcPr>
            <w:tcW w:w="791"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19" w:type="dxa"/>
            <w:tcBorders/>
            <w:shd w:fill="EDEDED" w:val="clear"/>
            <w:vAlign w:val="center"/>
          </w:tcPr>
          <w:p>
            <w:pPr>
              <w:pStyle w:val="TableContents"/>
              <w:bidi w:val="0"/>
              <w:spacing w:before="0" w:after="0"/>
              <w:jc w:val="left"/>
              <w:rPr/>
            </w:pPr>
            <w:r>
              <w:rPr/>
              <w:t> </w:t>
            </w:r>
          </w:p>
        </w:tc>
        <w:tc>
          <w:tcPr>
            <w:tcW w:w="996"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right"/>
              <w:rPr/>
            </w:pPr>
            <w:r>
              <w:rPr/>
              <w:t>5,116</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178,548</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97" w:type="dxa"/>
            <w:tcBorders/>
            <w:shd w:fill="EDEDED" w:val="clear"/>
            <w:vAlign w:val="center"/>
          </w:tcPr>
          <w:p>
            <w:pPr>
              <w:pStyle w:val="TableContents"/>
              <w:bidi w:val="0"/>
              <w:spacing w:before="0" w:after="283"/>
              <w:jc w:val="left"/>
              <w:rPr/>
            </w:pPr>
            <w:r>
              <w:rPr/>
              <w:t> </w:t>
            </w:r>
          </w:p>
        </w:tc>
        <w:tc>
          <w:tcPr>
            <w:tcW w:w="1108" w:type="dxa"/>
            <w:tcBorders/>
            <w:shd w:fill="EDEDED" w:val="clear"/>
            <w:vAlign w:val="center"/>
          </w:tcPr>
          <w:p>
            <w:pPr>
              <w:pStyle w:val="TableContents"/>
              <w:bidi w:val="0"/>
              <w:spacing w:before="0" w:after="283"/>
              <w:jc w:val="right"/>
              <w:rPr/>
            </w:pPr>
            <w:r>
              <w:rPr/>
              <w:t>3,487</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79" w:type="dxa"/>
            <w:tcBorders/>
            <w:shd w:fill="EDEDED" w:val="clear"/>
            <w:vAlign w:val="center"/>
          </w:tcPr>
          <w:p>
            <w:pPr>
              <w:pStyle w:val="TableContents"/>
              <w:bidi w:val="0"/>
              <w:spacing w:before="0" w:after="283"/>
              <w:jc w:val="left"/>
              <w:rPr/>
            </w:pPr>
            <w:r>
              <w:rPr/>
              <w:t>$</w:t>
            </w:r>
          </w:p>
        </w:tc>
        <w:tc>
          <w:tcPr>
            <w:tcW w:w="1026" w:type="dxa"/>
            <w:tcBorders/>
            <w:shd w:fill="EDEDED" w:val="clear"/>
            <w:vAlign w:val="center"/>
          </w:tcPr>
          <w:p>
            <w:pPr>
              <w:pStyle w:val="TableContents"/>
              <w:bidi w:val="0"/>
              <w:spacing w:before="0" w:after="283"/>
              <w:jc w:val="right"/>
              <w:rPr/>
            </w:pPr>
            <w:r>
              <w:rPr/>
              <w:t>121,696</w:t>
            </w:r>
          </w:p>
        </w:tc>
        <w:tc>
          <w:tcPr>
            <w:tcW w:w="75" w:type="dxa"/>
            <w:tcBorders/>
            <w:shd w:fill="EDEDED" w:val="clear"/>
            <w:vAlign w:val="center"/>
          </w:tcPr>
          <w:p>
            <w:pPr>
              <w:pStyle w:val="TableContents"/>
              <w:bidi w:val="0"/>
              <w:spacing w:before="0" w:after="283"/>
              <w:jc w:val="left"/>
              <w:rPr/>
            </w:pPr>
            <w:r>
              <w:rPr/>
              <w:t> </w:t>
            </w:r>
          </w:p>
        </w:tc>
      </w:tr>
      <w:tr>
        <w:trPr/>
        <w:tc>
          <w:tcPr>
            <w:tcW w:w="1055"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575" w:type="dxa"/>
            <w:tcBorders/>
            <w:shd w:fill="EDEDED" w:val="clear"/>
            <w:vAlign w:val="center"/>
          </w:tcPr>
          <w:p>
            <w:pPr>
              <w:pStyle w:val="TableContents"/>
              <w:bidi w:val="0"/>
              <w:spacing w:before="0" w:after="283"/>
              <w:jc w:val="right"/>
              <w:rPr/>
            </w:pPr>
            <w:r>
              <w:rPr/>
              <w:t>2/7/2023</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7" w:type="dxa"/>
            <w:tcBorders/>
            <w:shd w:fill="EDEDED" w:val="clear"/>
            <w:vAlign w:val="center"/>
          </w:tcPr>
          <w:p>
            <w:pPr>
              <w:pStyle w:val="TableContents"/>
              <w:bidi w:val="0"/>
              <w:spacing w:before="0" w:after="0"/>
              <w:jc w:val="left"/>
              <w:rPr/>
            </w:pPr>
            <w:r>
              <w:rPr/>
              <w:t> </w:t>
            </w:r>
          </w:p>
        </w:tc>
        <w:tc>
          <w:tcPr>
            <w:tcW w:w="1028"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6" w:type="dxa"/>
            <w:tcBorders/>
            <w:shd w:fill="EDEDED" w:val="clear"/>
            <w:vAlign w:val="center"/>
          </w:tcPr>
          <w:p>
            <w:pPr>
              <w:pStyle w:val="TableContents"/>
              <w:bidi w:val="0"/>
              <w:spacing w:before="0" w:after="0"/>
              <w:jc w:val="left"/>
              <w:rPr/>
            </w:pPr>
            <w:r>
              <w:rPr/>
              <w:t> </w:t>
            </w:r>
          </w:p>
        </w:tc>
        <w:tc>
          <w:tcPr>
            <w:tcW w:w="1414"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0"/>
              <w:jc w:val="left"/>
              <w:rPr/>
            </w:pPr>
            <w:r>
              <w:rPr/>
              <w:t> </w:t>
            </w:r>
          </w:p>
        </w:tc>
        <w:tc>
          <w:tcPr>
            <w:tcW w:w="791"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19" w:type="dxa"/>
            <w:tcBorders/>
            <w:shd w:fill="EDEDED" w:val="clear"/>
            <w:vAlign w:val="center"/>
          </w:tcPr>
          <w:p>
            <w:pPr>
              <w:pStyle w:val="TableContents"/>
              <w:bidi w:val="0"/>
              <w:spacing w:before="0" w:after="0"/>
              <w:jc w:val="left"/>
              <w:rPr/>
            </w:pPr>
            <w:r>
              <w:rPr/>
              <w:t> </w:t>
            </w:r>
          </w:p>
        </w:tc>
        <w:tc>
          <w:tcPr>
            <w:tcW w:w="996"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right"/>
              <w:rPr/>
            </w:pPr>
            <w:r>
              <w:rPr/>
              <w:t>5,052</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176,315</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97" w:type="dxa"/>
            <w:tcBorders/>
            <w:shd w:fill="EDEDED" w:val="clear"/>
            <w:vAlign w:val="center"/>
          </w:tcPr>
          <w:p>
            <w:pPr>
              <w:pStyle w:val="TableContents"/>
              <w:bidi w:val="0"/>
              <w:spacing w:before="0" w:after="283"/>
              <w:jc w:val="left"/>
              <w:rPr/>
            </w:pPr>
            <w:r>
              <w:rPr/>
              <w:t> </w:t>
            </w:r>
          </w:p>
        </w:tc>
        <w:tc>
          <w:tcPr>
            <w:tcW w:w="1108" w:type="dxa"/>
            <w:tcBorders/>
            <w:shd w:fill="EDEDED" w:val="clear"/>
            <w:vAlign w:val="center"/>
          </w:tcPr>
          <w:p>
            <w:pPr>
              <w:pStyle w:val="TableContents"/>
              <w:bidi w:val="0"/>
              <w:spacing w:before="0" w:after="283"/>
              <w:jc w:val="right"/>
              <w:rPr/>
            </w:pPr>
            <w:r>
              <w:rPr/>
              <w:t>7,613</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79" w:type="dxa"/>
            <w:tcBorders/>
            <w:shd w:fill="EDEDED" w:val="clear"/>
            <w:vAlign w:val="center"/>
          </w:tcPr>
          <w:p>
            <w:pPr>
              <w:pStyle w:val="TableContents"/>
              <w:bidi w:val="0"/>
              <w:spacing w:before="0" w:after="283"/>
              <w:jc w:val="left"/>
              <w:rPr/>
            </w:pPr>
            <w:r>
              <w:rPr/>
              <w:t>$</w:t>
            </w:r>
          </w:p>
        </w:tc>
        <w:tc>
          <w:tcPr>
            <w:tcW w:w="1026" w:type="dxa"/>
            <w:tcBorders/>
            <w:shd w:fill="EDEDED" w:val="clear"/>
            <w:vAlign w:val="center"/>
          </w:tcPr>
          <w:p>
            <w:pPr>
              <w:pStyle w:val="TableContents"/>
              <w:bidi w:val="0"/>
              <w:spacing w:before="0" w:after="283"/>
              <w:jc w:val="right"/>
              <w:rPr/>
            </w:pPr>
            <w:r>
              <w:rPr/>
              <w:t>265,694</w:t>
            </w:r>
          </w:p>
        </w:tc>
        <w:tc>
          <w:tcPr>
            <w:tcW w:w="75" w:type="dxa"/>
            <w:tcBorders/>
            <w:shd w:fill="EDEDED" w:val="clear"/>
            <w:vAlign w:val="center"/>
          </w:tcPr>
          <w:p>
            <w:pPr>
              <w:pStyle w:val="TableContents"/>
              <w:bidi w:val="0"/>
              <w:spacing w:before="0" w:after="283"/>
              <w:jc w:val="left"/>
              <w:rPr/>
            </w:pPr>
            <w:r>
              <w:rPr/>
              <w:t> </w:t>
            </w:r>
          </w:p>
        </w:tc>
      </w:tr>
      <w:tr>
        <w:trPr/>
        <w:tc>
          <w:tcPr>
            <w:tcW w:w="1055"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575" w:type="dxa"/>
            <w:tcBorders/>
            <w:shd w:fill="EDEDED" w:val="clear"/>
            <w:vAlign w:val="center"/>
          </w:tcPr>
          <w:p>
            <w:pPr>
              <w:pStyle w:val="TableContents"/>
              <w:bidi w:val="0"/>
              <w:spacing w:before="0" w:after="283"/>
              <w:jc w:val="right"/>
              <w:rPr/>
            </w:pPr>
            <w:r>
              <w:rPr/>
              <w:t>6/1/2023</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7" w:type="dxa"/>
            <w:tcBorders/>
            <w:shd w:fill="EDEDED" w:val="clear"/>
            <w:vAlign w:val="center"/>
          </w:tcPr>
          <w:p>
            <w:pPr>
              <w:pStyle w:val="TableContents"/>
              <w:bidi w:val="0"/>
              <w:spacing w:before="0" w:after="0"/>
              <w:jc w:val="left"/>
              <w:rPr/>
            </w:pPr>
            <w:r>
              <w:rPr/>
              <w:t> </w:t>
            </w:r>
          </w:p>
        </w:tc>
        <w:tc>
          <w:tcPr>
            <w:tcW w:w="1028"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6" w:type="dxa"/>
            <w:tcBorders/>
            <w:shd w:fill="EDEDED" w:val="clear"/>
            <w:vAlign w:val="center"/>
          </w:tcPr>
          <w:p>
            <w:pPr>
              <w:pStyle w:val="TableContents"/>
              <w:bidi w:val="0"/>
              <w:spacing w:before="0" w:after="0"/>
              <w:jc w:val="left"/>
              <w:rPr/>
            </w:pPr>
            <w:r>
              <w:rPr/>
              <w:t> </w:t>
            </w:r>
          </w:p>
        </w:tc>
        <w:tc>
          <w:tcPr>
            <w:tcW w:w="1414"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0"/>
              <w:jc w:val="left"/>
              <w:rPr/>
            </w:pPr>
            <w:r>
              <w:rPr/>
              <w:t> </w:t>
            </w:r>
          </w:p>
        </w:tc>
        <w:tc>
          <w:tcPr>
            <w:tcW w:w="791"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19" w:type="dxa"/>
            <w:tcBorders/>
            <w:shd w:fill="EDEDED" w:val="clear"/>
            <w:vAlign w:val="center"/>
          </w:tcPr>
          <w:p>
            <w:pPr>
              <w:pStyle w:val="TableContents"/>
              <w:bidi w:val="0"/>
              <w:spacing w:before="0" w:after="0"/>
              <w:jc w:val="left"/>
              <w:rPr/>
            </w:pPr>
            <w:r>
              <w:rPr/>
              <w:t> </w:t>
            </w:r>
          </w:p>
        </w:tc>
        <w:tc>
          <w:tcPr>
            <w:tcW w:w="996"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right"/>
              <w:rPr/>
            </w:pPr>
            <w:r>
              <w:rPr/>
              <w:t>33,013</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1,152,154</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97" w:type="dxa"/>
            <w:tcBorders/>
            <w:shd w:fill="EDEDED" w:val="clear"/>
            <w:vAlign w:val="center"/>
          </w:tcPr>
          <w:p>
            <w:pPr>
              <w:pStyle w:val="TableContents"/>
              <w:bidi w:val="0"/>
              <w:spacing w:before="0" w:after="0"/>
              <w:jc w:val="left"/>
              <w:rPr/>
            </w:pPr>
            <w:r>
              <w:rPr/>
              <w:t> </w:t>
            </w:r>
          </w:p>
        </w:tc>
        <w:tc>
          <w:tcPr>
            <w:tcW w:w="1108"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79" w:type="dxa"/>
            <w:tcBorders/>
            <w:shd w:fill="EDEDED" w:val="clear"/>
            <w:vAlign w:val="center"/>
          </w:tcPr>
          <w:p>
            <w:pPr>
              <w:pStyle w:val="TableContents"/>
              <w:bidi w:val="0"/>
              <w:spacing w:before="0" w:after="0"/>
              <w:jc w:val="left"/>
              <w:rPr/>
            </w:pPr>
            <w:r>
              <w:rPr/>
              <w:t> </w:t>
            </w:r>
          </w:p>
        </w:tc>
        <w:tc>
          <w:tcPr>
            <w:tcW w:w="1026" w:type="dxa"/>
            <w:tcBorders/>
            <w:shd w:fill="EDEDED" w:val="clear"/>
            <w:vAlign w:val="center"/>
          </w:tcPr>
          <w:p>
            <w:pPr>
              <w:pStyle w:val="TableContents"/>
              <w:bidi w:val="0"/>
              <w:spacing w:before="0" w:after="0"/>
              <w:jc w:val="left"/>
              <w:rPr/>
            </w:pPr>
            <w:r>
              <w:rPr/>
              <w:t> </w:t>
            </w:r>
          </w:p>
        </w:tc>
        <w:tc>
          <w:tcPr>
            <w:tcW w:w="75" w:type="dxa"/>
            <w:tcBorders/>
            <w:shd w:fill="EDEDED" w:val="clear"/>
            <w:vAlign w:val="center"/>
          </w:tcPr>
          <w:p>
            <w:pPr>
              <w:pStyle w:val="TableContents"/>
              <w:bidi w:val="0"/>
              <w:spacing w:before="0" w:after="0"/>
              <w:jc w:val="left"/>
              <w:rPr/>
            </w:pPr>
            <w:r>
              <w:rPr/>
              <w:t> </w:t>
            </w:r>
          </w:p>
        </w:tc>
      </w:tr>
      <w:tr>
        <w:trPr/>
        <w:tc>
          <w:tcPr>
            <w:tcW w:w="1055"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575" w:type="dxa"/>
            <w:tcBorders/>
            <w:shd w:fill="EDEDED" w:val="clear"/>
            <w:vAlign w:val="center"/>
          </w:tcPr>
          <w:p>
            <w:pPr>
              <w:pStyle w:val="TableContents"/>
              <w:bidi w:val="0"/>
              <w:spacing w:before="0" w:after="283"/>
              <w:jc w:val="right"/>
              <w:rPr/>
            </w:pPr>
            <w:r>
              <w:rPr/>
              <w:t>8/17/2023</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37" w:type="dxa"/>
            <w:tcBorders/>
            <w:shd w:fill="EDEDED" w:val="clear"/>
            <w:vAlign w:val="center"/>
          </w:tcPr>
          <w:p>
            <w:pPr>
              <w:pStyle w:val="TableContents"/>
              <w:bidi w:val="0"/>
              <w:spacing w:before="0" w:after="0"/>
              <w:jc w:val="left"/>
              <w:rPr/>
            </w:pPr>
            <w:r>
              <w:rPr/>
              <w:t> </w:t>
            </w:r>
          </w:p>
        </w:tc>
        <w:tc>
          <w:tcPr>
            <w:tcW w:w="1028"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06" w:type="dxa"/>
            <w:tcBorders/>
            <w:shd w:fill="EDEDED" w:val="clear"/>
            <w:vAlign w:val="center"/>
          </w:tcPr>
          <w:p>
            <w:pPr>
              <w:pStyle w:val="TableContents"/>
              <w:bidi w:val="0"/>
              <w:spacing w:before="0" w:after="0"/>
              <w:jc w:val="left"/>
              <w:rPr/>
            </w:pPr>
            <w:r>
              <w:rPr/>
              <w:t> </w:t>
            </w:r>
          </w:p>
        </w:tc>
        <w:tc>
          <w:tcPr>
            <w:tcW w:w="1414"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84" w:type="dxa"/>
            <w:tcBorders/>
            <w:shd w:fill="EDEDED" w:val="clear"/>
            <w:vAlign w:val="center"/>
          </w:tcPr>
          <w:p>
            <w:pPr>
              <w:pStyle w:val="TableContents"/>
              <w:bidi w:val="0"/>
              <w:spacing w:before="0" w:after="0"/>
              <w:jc w:val="left"/>
              <w:rPr/>
            </w:pPr>
            <w:r>
              <w:rPr/>
              <w:t> </w:t>
            </w:r>
          </w:p>
        </w:tc>
        <w:tc>
          <w:tcPr>
            <w:tcW w:w="791"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19" w:type="dxa"/>
            <w:tcBorders/>
            <w:shd w:fill="EDEDED" w:val="clear"/>
            <w:vAlign w:val="center"/>
          </w:tcPr>
          <w:p>
            <w:pPr>
              <w:pStyle w:val="TableContents"/>
              <w:bidi w:val="0"/>
              <w:spacing w:before="0" w:after="0"/>
              <w:jc w:val="left"/>
              <w:rPr/>
            </w:pPr>
            <w:r>
              <w:rPr/>
              <w:t> </w:t>
            </w:r>
          </w:p>
        </w:tc>
        <w:tc>
          <w:tcPr>
            <w:tcW w:w="996"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800" w:type="dxa"/>
            <w:tcBorders/>
            <w:shd w:fill="EDEDED" w:val="clear"/>
            <w:vAlign w:val="center"/>
          </w:tcPr>
          <w:p>
            <w:pPr>
              <w:pStyle w:val="TableContents"/>
              <w:bidi w:val="0"/>
              <w:spacing w:before="0" w:after="283"/>
              <w:jc w:val="right"/>
              <w:rPr/>
            </w:pPr>
            <w:r>
              <w:rPr/>
              <w:t>33,937</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1,184,401</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97" w:type="dxa"/>
            <w:tcBorders/>
            <w:shd w:fill="EDEDED" w:val="clear"/>
            <w:vAlign w:val="center"/>
          </w:tcPr>
          <w:p>
            <w:pPr>
              <w:pStyle w:val="TableContents"/>
              <w:bidi w:val="0"/>
              <w:spacing w:before="0" w:after="0"/>
              <w:jc w:val="left"/>
              <w:rPr/>
            </w:pPr>
            <w:r>
              <w:rPr/>
              <w:t> </w:t>
            </w:r>
          </w:p>
        </w:tc>
        <w:tc>
          <w:tcPr>
            <w:tcW w:w="1108"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79" w:type="dxa"/>
            <w:tcBorders/>
            <w:shd w:fill="EDEDED" w:val="clear"/>
            <w:vAlign w:val="center"/>
          </w:tcPr>
          <w:p>
            <w:pPr>
              <w:pStyle w:val="TableContents"/>
              <w:bidi w:val="0"/>
              <w:spacing w:before="0" w:after="0"/>
              <w:jc w:val="left"/>
              <w:rPr/>
            </w:pPr>
            <w:r>
              <w:rPr/>
              <w:t> </w:t>
            </w:r>
          </w:p>
        </w:tc>
        <w:tc>
          <w:tcPr>
            <w:tcW w:w="1026" w:type="dxa"/>
            <w:tcBorders/>
            <w:shd w:fill="EDEDED" w:val="clear"/>
            <w:vAlign w:val="center"/>
          </w:tcPr>
          <w:p>
            <w:pPr>
              <w:pStyle w:val="TableContents"/>
              <w:bidi w:val="0"/>
              <w:spacing w:before="0" w:after="0"/>
              <w:jc w:val="left"/>
              <w:rPr/>
            </w:pPr>
            <w:r>
              <w:rPr/>
              <w:t> </w:t>
            </w:r>
          </w:p>
        </w:tc>
        <w:tc>
          <w:tcPr>
            <w:tcW w:w="75" w:type="dxa"/>
            <w:tcBorders/>
            <w:shd w:fill="EDEDED" w:val="clear"/>
            <w:vAlign w:val="center"/>
          </w:tcPr>
          <w:p>
            <w:pPr>
              <w:pStyle w:val="TableContents"/>
              <w:bidi w:val="0"/>
              <w:spacing w:before="0" w:after="0"/>
              <w:jc w:val="left"/>
              <w:rPr/>
            </w:pPr>
            <w:r>
              <w:rPr/>
              <w:t> </w:t>
            </w:r>
          </w:p>
        </w:tc>
      </w:tr>
      <w:tr>
        <w:trPr/>
        <w:tc>
          <w:tcPr>
            <w:tcW w:w="1055" w:type="dxa"/>
            <w:tcBorders/>
            <w:vAlign w:val="center"/>
          </w:tcPr>
          <w:p>
            <w:pPr>
              <w:pStyle w:val="TableContents"/>
              <w:bidi w:val="0"/>
              <w:spacing w:before="0" w:after="0"/>
              <w:jc w:val="left"/>
              <w:rPr>
                <w:rFonts w:ascii="ARIAL" w:hAnsi="ARIAL"/>
                <w:sz w:val="17"/>
              </w:rPr>
            </w:pPr>
            <w:r>
              <w:rPr>
                <w:rFonts w:ascii="ARIAL" w:hAnsi="ARIAL"/>
                <w:sz w:val="17"/>
              </w:rPr>
              <w:t>Mark Morais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2/2/2021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0"/>
              <w:jc w:val="left"/>
              <w:rPr/>
            </w:pPr>
            <w:r>
              <w:rPr/>
              <w:t> </w:t>
            </w:r>
          </w:p>
        </w:tc>
        <w:tc>
          <w:tcPr>
            <w:tcW w:w="141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17,155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598,710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0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12/15/2021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0"/>
              <w:jc w:val="left"/>
              <w:rPr/>
            </w:pPr>
            <w:r>
              <w:rPr/>
              <w:t> </w:t>
            </w:r>
          </w:p>
        </w:tc>
        <w:tc>
          <w:tcPr>
            <w:tcW w:w="141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406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14,169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0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2/11/2022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0"/>
              <w:jc w:val="left"/>
              <w:rPr/>
            </w:pPr>
            <w:r>
              <w:rPr/>
              <w:t> </w:t>
            </w:r>
          </w:p>
        </w:tc>
        <w:tc>
          <w:tcPr>
            <w:tcW w:w="141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3,993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139,356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2,704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1026" w:type="dxa"/>
            <w:tcBorders/>
            <w:vAlign w:val="center"/>
          </w:tcPr>
          <w:p>
            <w:pPr>
              <w:pStyle w:val="TableContents"/>
              <w:bidi w:val="0"/>
              <w:spacing w:before="0" w:after="283"/>
              <w:jc w:val="right"/>
              <w:rPr/>
            </w:pPr>
            <w:r>
              <w:rPr/>
              <w:t>94,370</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2/7/2023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0"/>
              <w:jc w:val="left"/>
              <w:rPr/>
            </w:pPr>
            <w:r>
              <w:rPr/>
              <w:t> </w:t>
            </w:r>
          </w:p>
        </w:tc>
        <w:tc>
          <w:tcPr>
            <w:tcW w:w="141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235,924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283"/>
              <w:jc w:val="left"/>
              <w:rPr/>
            </w:pPr>
            <w:r>
              <w:rPr/>
              <w:t> </w:t>
            </w:r>
          </w:p>
        </w:tc>
        <w:tc>
          <w:tcPr>
            <w:tcW w:w="1108" w:type="dxa"/>
            <w:tcBorders/>
            <w:vAlign w:val="center"/>
          </w:tcPr>
          <w:p>
            <w:pPr>
              <w:pStyle w:val="TableContents"/>
              <w:bidi w:val="0"/>
              <w:spacing w:before="0" w:after="283"/>
              <w:jc w:val="right"/>
              <w:rPr/>
            </w:pPr>
            <w:r>
              <w:rPr/>
              <w:t>10,175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283"/>
              <w:jc w:val="left"/>
              <w:rPr/>
            </w:pPr>
            <w:r>
              <w:rPr/>
              <w:t>$</w:t>
            </w:r>
          </w:p>
        </w:tc>
        <w:tc>
          <w:tcPr>
            <w:tcW w:w="1026" w:type="dxa"/>
            <w:tcBorders/>
            <w:vAlign w:val="center"/>
          </w:tcPr>
          <w:p>
            <w:pPr>
              <w:pStyle w:val="TableContents"/>
              <w:bidi w:val="0"/>
              <w:spacing w:before="0" w:after="283"/>
              <w:jc w:val="right"/>
              <w:rPr/>
            </w:pPr>
            <w:r>
              <w:rPr/>
              <w:t>355,108</w:t>
            </w:r>
          </w:p>
        </w:tc>
        <w:tc>
          <w:tcPr>
            <w:tcW w:w="75" w:type="dxa"/>
            <w:tcBorders/>
            <w:vAlign w:val="center"/>
          </w:tcPr>
          <w:p>
            <w:pPr>
              <w:pStyle w:val="TableContents"/>
              <w:bidi w:val="0"/>
              <w:spacing w:before="0" w:after="283"/>
              <w:jc w:val="left"/>
              <w:rPr/>
            </w:pPr>
            <w:r>
              <w:rPr/>
              <w:t> </w:t>
            </w:r>
          </w:p>
        </w:tc>
      </w:tr>
      <w:tr>
        <w:trPr/>
        <w:tc>
          <w:tcPr>
            <w:tcW w:w="10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6/1/2023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0"/>
              <w:jc w:val="left"/>
              <w:rPr/>
            </w:pPr>
            <w:r>
              <w:rPr/>
              <w:t> </w:t>
            </w:r>
          </w:p>
        </w:tc>
        <w:tc>
          <w:tcPr>
            <w:tcW w:w="141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33,013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1,152,154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r>
        <w:trPr/>
        <w:tc>
          <w:tcPr>
            <w:tcW w:w="105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8/17/2023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0"/>
              <w:jc w:val="left"/>
              <w:rPr/>
            </w:pPr>
            <w:r>
              <w:rPr/>
              <w:t> </w:t>
            </w:r>
          </w:p>
        </w:tc>
        <w:tc>
          <w:tcPr>
            <w:tcW w:w="102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0"/>
              <w:jc w:val="left"/>
              <w:rPr/>
            </w:pPr>
            <w:r>
              <w:rPr/>
              <w:t> </w:t>
            </w:r>
          </w:p>
        </w:tc>
        <w:tc>
          <w:tcPr>
            <w:tcW w:w="1414"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0"/>
              <w:jc w:val="left"/>
              <w:rPr/>
            </w:pPr>
            <w:r>
              <w:rPr/>
              <w:t> </w:t>
            </w:r>
          </w:p>
        </w:tc>
        <w:tc>
          <w:tcPr>
            <w:tcW w:w="791"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0"/>
              <w:jc w:val="left"/>
              <w:rPr/>
            </w:pPr>
            <w:r>
              <w:rPr/>
              <w:t> </w:t>
            </w:r>
          </w:p>
        </w:tc>
        <w:tc>
          <w:tcPr>
            <w:tcW w:w="996"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33,937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1,184,401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 w:type="dxa"/>
            <w:tcBorders/>
            <w:vAlign w:val="center"/>
          </w:tcPr>
          <w:p>
            <w:pPr>
              <w:pStyle w:val="TableContents"/>
              <w:bidi w:val="0"/>
              <w:spacing w:before="0" w:after="0"/>
              <w:jc w:val="left"/>
              <w:rPr/>
            </w:pPr>
            <w:r>
              <w:rPr/>
              <w:t> </w:t>
            </w:r>
          </w:p>
        </w:tc>
        <w:tc>
          <w:tcPr>
            <w:tcW w:w="1108"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9" w:type="dxa"/>
            <w:tcBorders/>
            <w:vAlign w:val="center"/>
          </w:tcPr>
          <w:p>
            <w:pPr>
              <w:pStyle w:val="TableContents"/>
              <w:bidi w:val="0"/>
              <w:spacing w:before="0" w:after="0"/>
              <w:jc w:val="left"/>
              <w:rPr/>
            </w:pPr>
            <w:r>
              <w:rPr/>
              <w:t> </w:t>
            </w:r>
          </w:p>
        </w:tc>
        <w:tc>
          <w:tcPr>
            <w:tcW w:w="1026" w:type="dxa"/>
            <w:tcBorders/>
            <w:vAlign w:val="center"/>
          </w:tcPr>
          <w:p>
            <w:pPr>
              <w:pStyle w:val="TableContents"/>
              <w:bidi w:val="0"/>
              <w:spacing w:before="0" w:after="0"/>
              <w:jc w:val="left"/>
              <w:rPr/>
            </w:pPr>
            <w:r>
              <w:rPr/>
              <w:t> </w:t>
            </w:r>
          </w:p>
        </w:tc>
        <w:tc>
          <w:tcPr>
            <w:tcW w:w="75" w:type="dxa"/>
            <w:tcBorders/>
            <w:vAlign w:val="center"/>
          </w:tcPr>
          <w:p>
            <w:pPr>
              <w:pStyle w:val="TableContents"/>
              <w:bidi w:val="0"/>
              <w:spacing w:before="0" w:after="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(1)</w:t>
            </w:r>
          </w:p>
        </w:tc>
        <w:tc>
          <w:tcPr>
            <w:tcW w:w="9914" w:type="dxa"/>
            <w:tcBorders/>
            <w:vAlign w:val="center"/>
          </w:tcPr>
          <w:p>
            <w:pPr>
              <w:pStyle w:val="TableContents"/>
              <w:bidi w:val="0"/>
              <w:spacing w:before="0" w:after="0"/>
              <w:jc w:val="left"/>
              <w:rPr>
                <w:rFonts w:ascii="ARIAL" w:hAnsi="ARIAL"/>
                <w:sz w:val="14"/>
              </w:rPr>
            </w:pPr>
            <w:r>
              <w:rPr>
                <w:rFonts w:ascii="ARIAL" w:hAnsi="ARIAL"/>
                <w:sz w:val="14"/>
              </w:rPr>
              <w:t xml:space="preserve">Stock options granted to Mr. Pike vest equally in three tranches with the first two occurring on the first and second anniversary of the grant date, and the third occurring on January 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left"/>
              <w:rPr>
                <w:rFonts w:ascii="ARIAL" w:hAnsi="ARIAL"/>
                <w:sz w:val="14"/>
              </w:rPr>
            </w:pPr>
            <w:r>
              <w:rPr>
                <w:rFonts w:ascii="ARIAL" w:hAnsi="ARIAL"/>
                <w:sz w:val="14"/>
              </w:rPr>
              <w:t xml:space="preserve">RSUs vest ratably over three years, beginning on the first anniversary of the grant date. RSUs granted to Mr. Pike on August 17, 2023 vest equally in three tranches with the first two occurring on the first and second anniversary of the grant date, and the third occurring on January 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left"/>
              <w:rPr>
                <w:rFonts w:ascii="ARIAL" w:hAnsi="ARIAL"/>
                <w:sz w:val="14"/>
              </w:rPr>
            </w:pPr>
            <w:r>
              <w:rPr>
                <w:rFonts w:ascii="ARIAL" w:hAnsi="ARIAL"/>
                <w:sz w:val="14"/>
              </w:rPr>
              <w:t xml:space="preserve">At time of Spin, the PSAs granted on February 2, 2021 to Ms. McConnell and Mr. Morais were scored for performance across a 30-month period and converted to Fortrea RSUs. For a discussion of the conversion ratio applicable to these awards, see “Compensation Discussion and Analysis – Conversion of Labcorp Long-term Incentive Awards (approved by Labcorp CHCC).”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(4)</w:t>
            </w:r>
          </w:p>
        </w:tc>
        <w:tc>
          <w:tcPr>
            <w:tcW w:w="9958" w:type="dxa"/>
            <w:tcBorders/>
            <w:vAlign w:val="center"/>
          </w:tcPr>
          <w:p>
            <w:pPr>
              <w:pStyle w:val="TableContents"/>
              <w:bidi w:val="0"/>
              <w:spacing w:before="0" w:after="0"/>
              <w:jc w:val="left"/>
              <w:rPr>
                <w:rFonts w:ascii="ARIAL" w:hAnsi="ARIAL"/>
                <w:sz w:val="14"/>
              </w:rPr>
            </w:pPr>
            <w:r>
              <w:rPr>
                <w:rFonts w:ascii="ARIAL" w:hAnsi="ARIAL"/>
                <w:sz w:val="14"/>
              </w:rPr>
              <w:t xml:space="preserve">At time of Spin, 50% of the PSAs granted on February 11, 2022 to Ms. McConnell and Mr. Morais were scored for performance across an 18-month period and converted to Fortrea RSUs. The other 50% of shares granted on February 11, 2022 were converted to Fortrea PSAs with new performance criteria established by the Fortrea MDCC and are representative of Fortrea performance goals from time of Spin until December 31, 2024. For a discussion of the conversion ratio applicable to these awards, see “Compensation Discussion and Analysis – Conversion of Labcorp Long-term Incentive Awards (approved by Labcorp CHCC).”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(5)</w:t>
            </w:r>
          </w:p>
        </w:tc>
        <w:tc>
          <w:tcPr>
            <w:tcW w:w="9932" w:type="dxa"/>
            <w:tcBorders/>
            <w:vAlign w:val="center"/>
          </w:tcPr>
          <w:p>
            <w:pPr>
              <w:pStyle w:val="TableContents"/>
              <w:bidi w:val="0"/>
              <w:spacing w:before="0" w:after="0"/>
              <w:jc w:val="left"/>
              <w:rPr>
                <w:rFonts w:ascii="ARIAL" w:hAnsi="ARIAL"/>
                <w:sz w:val="14"/>
              </w:rPr>
            </w:pPr>
            <w:r>
              <w:rPr>
                <w:rFonts w:ascii="ARIAL" w:hAnsi="ARIAL"/>
                <w:sz w:val="14"/>
              </w:rPr>
              <w:t xml:space="preserve">Aggregate market value is calculated based on the Fortrea common stock price on December 29, 2023, the last trading day of 2023, which was $34.90 per share, multiplied by the number of shares or units, respectively, for each unvested performance or stock award.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(6)</w:t>
            </w:r>
          </w:p>
        </w:tc>
        <w:tc>
          <w:tcPr>
            <w:tcW w:w="9950" w:type="dxa"/>
            <w:tcBorders/>
            <w:vAlign w:val="center"/>
          </w:tcPr>
          <w:p>
            <w:pPr>
              <w:pStyle w:val="TableContents"/>
              <w:bidi w:val="0"/>
              <w:spacing w:before="0" w:after="0"/>
              <w:jc w:val="left"/>
              <w:rPr>
                <w:rFonts w:ascii="ARIAL" w:hAnsi="ARIAL"/>
                <w:sz w:val="14"/>
              </w:rPr>
            </w:pPr>
            <w:r>
              <w:rPr>
                <w:rFonts w:ascii="ARIAL" w:hAnsi="ARIAL"/>
                <w:sz w:val="14"/>
              </w:rPr>
              <w:t xml:space="preserve">At time of the Spin, the PSAs granted on February 7, 2023 to Ms. McConnell and Mr. Morais were converted to Fortrea PSAs with new performance criteria established by the Fortrea MDCC and are representative of Fortrea performance goals from time of Spin until December 31, 2025. These PSAs are reflected as the number of shares deliverable at target performance. The actual number of shares will be determined on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(7)</w:t>
            </w:r>
          </w:p>
        </w:tc>
        <w:tc>
          <w:tcPr>
            <w:tcW w:w="9945" w:type="dxa"/>
            <w:tcBorders/>
            <w:vAlign w:val="center"/>
          </w:tcPr>
          <w:p>
            <w:pPr>
              <w:pStyle w:val="TableContents"/>
              <w:bidi w:val="0"/>
              <w:spacing w:before="0" w:after="0"/>
              <w:jc w:val="left"/>
              <w:rPr>
                <w:rFonts w:ascii="ARIAL" w:hAnsi="ARIAL"/>
                <w:sz w:val="14"/>
              </w:rPr>
            </w:pPr>
            <w:r>
              <w:rPr>
                <w:rFonts w:ascii="ARIAL" w:hAnsi="ARIAL"/>
                <w:sz w:val="14"/>
              </w:rPr>
              <w:t xml:space="preserve">Mr. Pike was appointed Chief Executive Officer effective June 30, 2023. Under the terms of Mr. Pike’s employment agreement, his 2023 equity grants were intended to provide an equivalent value of three years of equity grants and no further equity grants are intended to be made during the remaining initial term of his employment agreement, which ends on December 31, 2025.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41</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sz w:val="20"/>
        </w:rPr>
      </w:pPr>
      <w:bookmarkStart w:id="40" w:name="toc814840_38"/>
      <w:bookmarkEnd w:id="40"/>
      <w:r>
        <w:rPr>
          <w:rFonts w:ascii="ARIAL" w:hAnsi="ARIAL"/>
          <w:b/>
          <w:sz w:val="20"/>
        </w:rPr>
        <w:t xml:space="preserve">Option Exercises and Stock Vested </w:t>
      </w:r>
    </w:p>
    <w:p>
      <w:pPr>
        <w:pStyle w:val="TextBody"/>
        <w:bidi w:val="0"/>
        <w:spacing w:before="160" w:after="0"/>
        <w:jc w:val="left"/>
        <w:rPr>
          <w:rFonts w:ascii="ARIAL" w:hAnsi="ARIAL"/>
          <w:sz w:val="18"/>
        </w:rPr>
      </w:pPr>
      <w:r>
        <w:rPr>
          <w:rFonts w:ascii="ARIAL" w:hAnsi="ARIAL"/>
          <w:sz w:val="18"/>
        </w:rPr>
        <w:t xml:space="preserve">The following table summarizes option exercises and stock vested with respect to each of the NEOs during the fiscal year ended December 31, 2023: </w:t>
      </w:r>
    </w:p>
    <w:p>
      <w:pPr>
        <w:pStyle w:val="TextBody"/>
        <w:bidi w:val="0"/>
        <w:spacing w:before="0" w:after="0"/>
        <w:jc w:val="left"/>
        <w:rPr/>
      </w:pPr>
      <w:r>
        <w:rPr/>
        <w:t> </w:t>
      </w:r>
    </w:p>
    <w:tbl>
      <w:tblPr>
        <w:tblW w:w="10436" w:type="dxa"/>
        <w:jc w:val="left"/>
        <w:tblInd w:w="0" w:type="dxa"/>
        <w:tblLayout w:type="fixed"/>
        <w:tblCellMar>
          <w:top w:w="0" w:type="dxa"/>
          <w:left w:w="0" w:type="dxa"/>
          <w:bottom w:w="0" w:type="dxa"/>
          <w:right w:w="0" w:type="dxa"/>
        </w:tblCellMar>
      </w:tblPr>
      <w:tblGrid>
        <w:gridCol w:w="980"/>
        <w:gridCol w:w="120"/>
        <w:gridCol w:w="471"/>
        <w:gridCol w:w="2069"/>
        <w:gridCol w:w="60"/>
        <w:gridCol w:w="121"/>
        <w:gridCol w:w="343"/>
        <w:gridCol w:w="1522"/>
        <w:gridCol w:w="60"/>
        <w:gridCol w:w="120"/>
        <w:gridCol w:w="237"/>
        <w:gridCol w:w="2213"/>
        <w:gridCol w:w="60"/>
        <w:gridCol w:w="120"/>
        <w:gridCol w:w="277"/>
        <w:gridCol w:w="1588"/>
        <w:gridCol w:w="75"/>
      </w:tblGrid>
      <w:tr>
        <w:trPr/>
        <w:tc>
          <w:tcPr>
            <w:tcW w:w="9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80" w:type="dxa"/>
            <w:vMerge w:val="restart"/>
            <w:tcBorders/>
            <w:shd w:fill="0BC11C" w:val="clear"/>
            <w:vAlign w:val="center"/>
          </w:tcPr>
          <w:p>
            <w:pPr>
              <w:pStyle w:val="TableContents"/>
              <w:bidi w:val="0"/>
              <w:spacing w:before="0" w:after="0"/>
              <w:jc w:val="left"/>
              <w:rPr/>
            </w:pPr>
            <w:r>
              <w:rPr/>
              <w:t> </w:t>
            </w:r>
          </w:p>
          <w:p>
            <w:pPr>
              <w:pStyle w:val="TableContents"/>
              <w:bidi w:val="0"/>
              <w:spacing w:before="0" w:after="20"/>
              <w:jc w:val="left"/>
              <w:rPr>
                <w:rFonts w:ascii="ARIAL" w:hAnsi="ARIAL"/>
                <w:b/>
                <w:color w:val="FFFFFF"/>
                <w:sz w:val="18"/>
              </w:rPr>
            </w:pPr>
            <w:r>
              <w:rPr>
                <w:rFonts w:ascii="ARIAL" w:hAnsi="ARIAL"/>
                <w:b/>
                <w:color w:val="FFFFFF"/>
                <w:sz w:val="18"/>
              </w:rPr>
              <w:t>Executive</w:t>
            </w:r>
          </w:p>
        </w:tc>
        <w:tc>
          <w:tcPr>
            <w:tcW w:w="120" w:type="dxa"/>
            <w:tcBorders/>
            <w:shd w:fill="0BC11C" w:val="clear"/>
            <w:vAlign w:val="center"/>
          </w:tcPr>
          <w:p>
            <w:pPr>
              <w:pStyle w:val="TableContents"/>
              <w:bidi w:val="0"/>
              <w:spacing w:before="0" w:after="283"/>
              <w:jc w:val="left"/>
              <w:rPr/>
            </w:pPr>
            <w:r>
              <w:rPr/>
              <w:t>  </w:t>
            </w:r>
          </w:p>
        </w:tc>
        <w:tc>
          <w:tcPr>
            <w:tcW w:w="4586" w:type="dxa"/>
            <w:gridSpan w:val="6"/>
            <w:tcBorders/>
            <w:shd w:fill="0BC11C" w:val="clear"/>
            <w:vAlign w:val="center"/>
          </w:tcPr>
          <w:p>
            <w:pPr>
              <w:pStyle w:val="TableContents"/>
              <w:bidi w:val="0"/>
              <w:spacing w:before="0" w:after="283"/>
              <w:jc w:val="center"/>
              <w:rPr>
                <w:b/>
                <w:color w:val="FFFFFF"/>
              </w:rPr>
            </w:pPr>
            <w:r>
              <w:rPr>
                <w:b/>
                <w:color w:val="FFFFFF"/>
              </w:rPr>
              <w:t>Option Awards</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4495" w:type="dxa"/>
            <w:gridSpan w:val="6"/>
            <w:tcBorders/>
            <w:shd w:fill="0BC11C" w:val="clear"/>
            <w:vAlign w:val="center"/>
          </w:tcPr>
          <w:p>
            <w:pPr>
              <w:pStyle w:val="TableContents"/>
              <w:bidi w:val="0"/>
              <w:spacing w:before="0" w:after="283"/>
              <w:jc w:val="center"/>
              <w:rPr>
                <w:b/>
                <w:color w:val="FFFFFF"/>
              </w:rPr>
            </w:pPr>
            <w:r>
              <w:rPr>
                <w:b/>
                <w:color w:val="FFFFFF"/>
              </w:rPr>
              <w:t>Stock Awards</w:t>
            </w:r>
          </w:p>
        </w:tc>
        <w:tc>
          <w:tcPr>
            <w:tcW w:w="75" w:type="dxa"/>
            <w:tcBorders/>
            <w:shd w:fill="0BC11C" w:val="clear"/>
            <w:vAlign w:val="center"/>
          </w:tcPr>
          <w:p>
            <w:pPr>
              <w:pStyle w:val="TableContents"/>
              <w:bidi w:val="0"/>
              <w:spacing w:before="0" w:after="283"/>
              <w:jc w:val="left"/>
              <w:rPr/>
            </w:pPr>
            <w:r>
              <w:rPr/>
              <w:t> </w:t>
            </w:r>
          </w:p>
        </w:tc>
      </w:tr>
      <w:tr>
        <w:trPr/>
        <w:tc>
          <w:tcPr>
            <w:tcW w:w="980" w:type="dxa"/>
            <w:vMerge w:val="continue"/>
            <w:tcBorders/>
            <w:shd w:fill="0BC11C" w:val="clear"/>
            <w:vAlign w:val="center"/>
          </w:tcPr>
          <w:p>
            <w:pPr>
              <w:pStyle w:val="Normal"/>
              <w:bidi w:val="0"/>
              <w:jc w:val="left"/>
              <w:rPr/>
            </w:pPr>
            <w:r>
              <w:rPr/>
            </w:r>
          </w:p>
        </w:tc>
        <w:tc>
          <w:tcPr>
            <w:tcW w:w="120" w:type="dxa"/>
            <w:tcBorders/>
            <w:shd w:fill="0BC11C" w:val="clear"/>
            <w:vAlign w:val="center"/>
          </w:tcPr>
          <w:p>
            <w:pPr>
              <w:pStyle w:val="TableContents"/>
              <w:bidi w:val="0"/>
              <w:spacing w:before="0" w:after="283"/>
              <w:jc w:val="left"/>
              <w:rPr/>
            </w:pPr>
            <w:r>
              <w:rPr/>
              <w:t>  </w:t>
            </w:r>
          </w:p>
        </w:tc>
        <w:tc>
          <w:tcPr>
            <w:tcW w:w="2540" w:type="dxa"/>
            <w:gridSpan w:val="2"/>
            <w:tcBorders/>
            <w:shd w:fill="0BC11C" w:val="clear"/>
            <w:vAlign w:val="center"/>
          </w:tcPr>
          <w:p>
            <w:pPr>
              <w:pStyle w:val="TableContents"/>
              <w:bidi w:val="0"/>
              <w:spacing w:before="0" w:after="283"/>
              <w:jc w:val="center"/>
              <w:rPr>
                <w:b/>
                <w:color w:val="FFFFFF"/>
              </w:rPr>
            </w:pPr>
            <w:r>
              <w:rPr>
                <w:b/>
                <w:color w:val="FFFFFF"/>
              </w:rPr>
              <w:t>Number of Shares</w:t>
              <w:br/>
              <w:t>Acquired on Exercise (#)</w:t>
            </w:r>
          </w:p>
        </w:tc>
        <w:tc>
          <w:tcPr>
            <w:tcW w:w="60" w:type="dxa"/>
            <w:tcBorders/>
            <w:shd w:fill="0BC11C" w:val="clear"/>
            <w:vAlign w:val="center"/>
          </w:tcPr>
          <w:p>
            <w:pPr>
              <w:pStyle w:val="TableContents"/>
              <w:bidi w:val="0"/>
              <w:spacing w:before="0" w:after="283"/>
              <w:jc w:val="left"/>
              <w:rPr/>
            </w:pPr>
            <w:r>
              <w:rPr/>
              <w:t> </w:t>
            </w:r>
          </w:p>
        </w:tc>
        <w:tc>
          <w:tcPr>
            <w:tcW w:w="121" w:type="dxa"/>
            <w:tcBorders/>
            <w:shd w:fill="0BC11C" w:val="clear"/>
            <w:vAlign w:val="center"/>
          </w:tcPr>
          <w:p>
            <w:pPr>
              <w:pStyle w:val="TableContents"/>
              <w:bidi w:val="0"/>
              <w:spacing w:before="0" w:after="283"/>
              <w:jc w:val="left"/>
              <w:rPr/>
            </w:pPr>
            <w:r>
              <w:rPr/>
              <w:t>  </w:t>
            </w:r>
          </w:p>
        </w:tc>
        <w:tc>
          <w:tcPr>
            <w:tcW w:w="1865" w:type="dxa"/>
            <w:gridSpan w:val="2"/>
            <w:tcBorders/>
            <w:shd w:fill="0BC11C" w:val="clear"/>
            <w:vAlign w:val="center"/>
          </w:tcPr>
          <w:p>
            <w:pPr>
              <w:pStyle w:val="TableContents"/>
              <w:bidi w:val="0"/>
              <w:spacing w:before="0" w:after="283"/>
              <w:jc w:val="center"/>
              <w:rPr>
                <w:b/>
                <w:color w:val="FFFFFF"/>
              </w:rPr>
            </w:pPr>
            <w:r>
              <w:rPr>
                <w:b/>
                <w:color w:val="FFFFFF"/>
              </w:rPr>
              <w:t>Value Realized on</w:t>
              <w:br/>
              <w:t>Exercise ($)</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2450" w:type="dxa"/>
            <w:gridSpan w:val="2"/>
            <w:tcBorders/>
            <w:shd w:fill="0BC11C" w:val="clear"/>
            <w:vAlign w:val="center"/>
          </w:tcPr>
          <w:p>
            <w:pPr>
              <w:pStyle w:val="TableContents"/>
              <w:bidi w:val="0"/>
              <w:spacing w:before="0" w:after="283"/>
              <w:jc w:val="center"/>
              <w:rPr>
                <w:b/>
                <w:color w:val="FFFFFF"/>
              </w:rPr>
            </w:pPr>
            <w:r>
              <w:rPr>
                <w:b/>
                <w:color w:val="FFFFFF"/>
              </w:rPr>
              <w:t>Number of Shares</w:t>
              <w:br/>
              <w:t>Acquired on Vesting (#)</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1865" w:type="dxa"/>
            <w:gridSpan w:val="2"/>
            <w:tcBorders/>
            <w:shd w:fill="0BC11C" w:val="clear"/>
            <w:vAlign w:val="center"/>
          </w:tcPr>
          <w:p>
            <w:pPr>
              <w:pStyle w:val="TableContents"/>
              <w:bidi w:val="0"/>
              <w:spacing w:before="0" w:after="283"/>
              <w:jc w:val="center"/>
              <w:rPr>
                <w:b/>
                <w:color w:val="FFFFFF"/>
              </w:rPr>
            </w:pPr>
            <w:r>
              <w:rPr>
                <w:b/>
                <w:color w:val="FFFFFF"/>
              </w:rPr>
              <w:t>Value Realized on</w:t>
              <w:br/>
              <w:t>Vesting ($)</w:t>
            </w:r>
          </w:p>
        </w:tc>
        <w:tc>
          <w:tcPr>
            <w:tcW w:w="75" w:type="dxa"/>
            <w:tcBorders/>
            <w:shd w:fill="0BC11C" w:val="cle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jc w:val="left"/>
              <w:rPr>
                <w:rFonts w:ascii="ARIAL" w:hAnsi="ARIAL"/>
                <w:sz w:val="18"/>
              </w:rPr>
            </w:pPr>
            <w:r>
              <w:rPr>
                <w:rFonts w:ascii="ARIAL" w:hAnsi="ARIAL"/>
                <w:sz w:val="18"/>
              </w:rPr>
              <w:t>Thomas Pike</w:t>
            </w:r>
          </w:p>
        </w:tc>
        <w:tc>
          <w:tcPr>
            <w:tcW w:w="120"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206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52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221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 </w:t>
            </w:r>
          </w:p>
        </w:tc>
        <w:tc>
          <w:tcPr>
            <w:tcW w:w="1588"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980" w:type="dxa"/>
            <w:tcBorders/>
            <w:shd w:fill="EDEDED" w:val="clear"/>
            <w:vAlign w:val="center"/>
          </w:tcPr>
          <w:p>
            <w:pPr>
              <w:pStyle w:val="TableContents"/>
              <w:bidi w:val="0"/>
              <w:spacing w:before="0" w:after="0"/>
              <w:jc w:val="left"/>
              <w:rPr>
                <w:rFonts w:ascii="ARIAL" w:hAnsi="ARIAL"/>
                <w:sz w:val="18"/>
              </w:rPr>
            </w:pPr>
            <w:r>
              <w:rPr>
                <w:rFonts w:ascii="ARIAL" w:hAnsi="ARIAL"/>
                <w:sz w:val="18"/>
              </w:rPr>
              <w:t>Jill McConnell(1)</w:t>
            </w:r>
          </w:p>
        </w:tc>
        <w:tc>
          <w:tcPr>
            <w:tcW w:w="120" w:type="dxa"/>
            <w:tcBorders/>
            <w:shd w:fill="EDEDED" w:val="clear"/>
            <w:vAlign w:val="center"/>
          </w:tcPr>
          <w:p>
            <w:pPr>
              <w:pStyle w:val="TableContents"/>
              <w:bidi w:val="0"/>
              <w:spacing w:before="0" w:after="283"/>
              <w:jc w:val="left"/>
              <w:rPr/>
            </w:pPr>
            <w:r>
              <w:rPr/>
              <w:t>  </w:t>
            </w:r>
          </w:p>
        </w:tc>
        <w:tc>
          <w:tcPr>
            <w:tcW w:w="471" w:type="dxa"/>
            <w:tcBorders/>
            <w:shd w:fill="EDEDED" w:val="clear"/>
            <w:vAlign w:val="center"/>
          </w:tcPr>
          <w:p>
            <w:pPr>
              <w:pStyle w:val="TableContents"/>
              <w:bidi w:val="0"/>
              <w:spacing w:before="0" w:after="283"/>
              <w:jc w:val="left"/>
              <w:rPr/>
            </w:pPr>
            <w:r>
              <w:rPr/>
              <w:t> </w:t>
            </w:r>
          </w:p>
        </w:tc>
        <w:tc>
          <w:tcPr>
            <w:tcW w:w="2069"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121" w:type="dxa"/>
            <w:tcBorders/>
            <w:shd w:fill="EDEDED" w:val="clear"/>
            <w:vAlign w:val="center"/>
          </w:tcPr>
          <w:p>
            <w:pPr>
              <w:pStyle w:val="TableContents"/>
              <w:bidi w:val="0"/>
              <w:spacing w:before="0" w:after="283"/>
              <w:jc w:val="left"/>
              <w:rPr/>
            </w:pPr>
            <w:r>
              <w:rPr/>
              <w:t>  </w:t>
            </w:r>
          </w:p>
        </w:tc>
        <w:tc>
          <w:tcPr>
            <w:tcW w:w="343" w:type="dxa"/>
            <w:tcBorders/>
            <w:shd w:fill="EDEDED" w:val="clear"/>
            <w:vAlign w:val="center"/>
          </w:tcPr>
          <w:p>
            <w:pPr>
              <w:pStyle w:val="TableContents"/>
              <w:bidi w:val="0"/>
              <w:spacing w:before="0" w:after="283"/>
              <w:jc w:val="left"/>
              <w:rPr/>
            </w:pPr>
            <w:r>
              <w:rPr/>
              <w:t> </w:t>
            </w:r>
          </w:p>
        </w:tc>
        <w:tc>
          <w:tcPr>
            <w:tcW w:w="1522"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37" w:type="dxa"/>
            <w:tcBorders/>
            <w:shd w:fill="EDEDED" w:val="clear"/>
            <w:vAlign w:val="center"/>
          </w:tcPr>
          <w:p>
            <w:pPr>
              <w:pStyle w:val="TableContents"/>
              <w:bidi w:val="0"/>
              <w:spacing w:before="0" w:after="283"/>
              <w:jc w:val="left"/>
              <w:rPr/>
            </w:pPr>
            <w:r>
              <w:rPr/>
              <w:t> </w:t>
            </w:r>
          </w:p>
        </w:tc>
        <w:tc>
          <w:tcPr>
            <w:tcW w:w="2213" w:type="dxa"/>
            <w:tcBorders/>
            <w:shd w:fill="EDEDED" w:val="clear"/>
            <w:vAlign w:val="center"/>
          </w:tcPr>
          <w:p>
            <w:pPr>
              <w:pStyle w:val="TableContents"/>
              <w:bidi w:val="0"/>
              <w:spacing w:before="0" w:after="283"/>
              <w:jc w:val="right"/>
              <w:rPr/>
            </w:pPr>
            <w:r>
              <w:rPr/>
              <w:t>2,816</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77" w:type="dxa"/>
            <w:tcBorders/>
            <w:shd w:fill="EDEDED" w:val="clear"/>
            <w:vAlign w:val="center"/>
          </w:tcPr>
          <w:p>
            <w:pPr>
              <w:pStyle w:val="TableContents"/>
              <w:bidi w:val="0"/>
              <w:spacing w:before="0" w:after="283"/>
              <w:jc w:val="left"/>
              <w:rPr/>
            </w:pPr>
            <w:r>
              <w:rPr/>
              <w:t>$</w:t>
            </w:r>
          </w:p>
        </w:tc>
        <w:tc>
          <w:tcPr>
            <w:tcW w:w="1588" w:type="dxa"/>
            <w:tcBorders/>
            <w:shd w:fill="EDEDED" w:val="clear"/>
            <w:vAlign w:val="center"/>
          </w:tcPr>
          <w:p>
            <w:pPr>
              <w:pStyle w:val="TableContents"/>
              <w:bidi w:val="0"/>
              <w:spacing w:before="0" w:after="283"/>
              <w:jc w:val="right"/>
              <w:rPr/>
            </w:pPr>
            <w:r>
              <w:rPr/>
              <w:t>649,580</w:t>
            </w:r>
          </w:p>
        </w:tc>
        <w:tc>
          <w:tcPr>
            <w:tcW w:w="75" w:type="dxa"/>
            <w:tcBorders/>
            <w:shd w:fill="EDEDED" w:val="clear"/>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jc w:val="left"/>
              <w:rPr>
                <w:rFonts w:ascii="ARIAL" w:hAnsi="ARIAL"/>
                <w:sz w:val="18"/>
              </w:rPr>
            </w:pPr>
            <w:r>
              <w:rPr>
                <w:rFonts w:ascii="ARIAL" w:hAnsi="ARIAL"/>
                <w:sz w:val="18"/>
              </w:rPr>
              <w:t>Mark Morais(2)</w:t>
            </w:r>
          </w:p>
        </w:tc>
        <w:tc>
          <w:tcPr>
            <w:tcW w:w="120" w:type="dxa"/>
            <w:tcBorders/>
            <w:vAlign w:val="center"/>
          </w:tcPr>
          <w:p>
            <w:pPr>
              <w:pStyle w:val="TableContents"/>
              <w:bidi w:val="0"/>
              <w:spacing w:before="0" w:after="283"/>
              <w:jc w:val="left"/>
              <w:rPr/>
            </w:pPr>
            <w:r>
              <w:rPr/>
              <w:t>  </w:t>
            </w:r>
          </w:p>
        </w:tc>
        <w:tc>
          <w:tcPr>
            <w:tcW w:w="471" w:type="dxa"/>
            <w:tcBorders/>
            <w:vAlign w:val="center"/>
          </w:tcPr>
          <w:p>
            <w:pPr>
              <w:pStyle w:val="TableContents"/>
              <w:bidi w:val="0"/>
              <w:spacing w:before="0" w:after="283"/>
              <w:jc w:val="left"/>
              <w:rPr/>
            </w:pPr>
            <w:r>
              <w:rPr/>
              <w:t> </w:t>
            </w:r>
          </w:p>
        </w:tc>
        <w:tc>
          <w:tcPr>
            <w:tcW w:w="206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343" w:type="dxa"/>
            <w:tcBorders/>
            <w:vAlign w:val="center"/>
          </w:tcPr>
          <w:p>
            <w:pPr>
              <w:pStyle w:val="TableContents"/>
              <w:bidi w:val="0"/>
              <w:spacing w:before="0" w:after="283"/>
              <w:jc w:val="left"/>
              <w:rPr/>
            </w:pPr>
            <w:r>
              <w:rPr/>
              <w:t> </w:t>
            </w:r>
          </w:p>
        </w:tc>
        <w:tc>
          <w:tcPr>
            <w:tcW w:w="152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 </w:t>
            </w:r>
          </w:p>
        </w:tc>
        <w:tc>
          <w:tcPr>
            <w:tcW w:w="2213" w:type="dxa"/>
            <w:tcBorders/>
            <w:vAlign w:val="center"/>
          </w:tcPr>
          <w:p>
            <w:pPr>
              <w:pStyle w:val="TableContents"/>
              <w:bidi w:val="0"/>
              <w:spacing w:before="0" w:after="283"/>
              <w:jc w:val="right"/>
              <w:rPr/>
            </w:pPr>
            <w:r>
              <w:rPr/>
              <w:t>2,133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77" w:type="dxa"/>
            <w:tcBorders/>
            <w:vAlign w:val="center"/>
          </w:tcPr>
          <w:p>
            <w:pPr>
              <w:pStyle w:val="TableContents"/>
              <w:bidi w:val="0"/>
              <w:spacing w:before="0" w:after="283"/>
              <w:jc w:val="left"/>
              <w:rPr/>
            </w:pPr>
            <w:r>
              <w:rPr/>
              <w:t>$</w:t>
            </w:r>
          </w:p>
        </w:tc>
        <w:tc>
          <w:tcPr>
            <w:tcW w:w="1588" w:type="dxa"/>
            <w:tcBorders/>
            <w:vAlign w:val="center"/>
          </w:tcPr>
          <w:p>
            <w:pPr>
              <w:pStyle w:val="TableContents"/>
              <w:bidi w:val="0"/>
              <w:spacing w:before="0" w:after="283"/>
              <w:jc w:val="right"/>
              <w:rPr/>
            </w:pPr>
            <w:r>
              <w:rPr/>
              <w:t>415,298</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0"/>
              <w:jc w:val="left"/>
              <w:rPr>
                <w:rFonts w:ascii="ARIAL" w:hAnsi="ARIAL"/>
                <w:sz w:val="14"/>
              </w:rPr>
            </w:pPr>
            <w:r>
              <w:rPr>
                <w:rFonts w:ascii="ARIAL" w:hAnsi="ARIAL"/>
                <w:sz w:val="14"/>
              </w:rPr>
              <w:t xml:space="preserve">Represents one-third of the Labcorp RSUs granted on February 4, 2020 that vested on February 6, 2023 at $244.50 per share, the closing price of Labcorp common stock on that date; one-third of the Labcorp RSUs granted on February 2, 2021 that vested on February 2, 2023 at $254.99 per shares, the closing price of Labcorp common stock on that date; one-third of the Labcorp RSUs granted on February 11, 2022 that vested on February 13, 2023 at $248.13 per share, the closing price of Labcorp common stock on that date; and 134.2% of the Labcorp performance share award granted on February 4, 2020 that vested on March 30, 2023 at $224.70 per share, the closing price of Labcorp common stock on that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left"/>
              <w:rPr>
                <w:rFonts w:ascii="ARIAL" w:hAnsi="ARIAL"/>
                <w:sz w:val="14"/>
              </w:rPr>
            </w:pPr>
            <w:r>
              <w:rPr>
                <w:rFonts w:ascii="ARIAL" w:hAnsi="ARIAL"/>
                <w:sz w:val="14"/>
              </w:rPr>
              <w:t xml:space="preserve">Represents one-third of the Labcorp RSUs granted on February 4, 2020 that vested on February 6, 2023 at $244.50 per share, the closing price of Labcorp common stock on that date; one-third of the Labcorp RSUs granted on February 2, 2021 that vested on February 2, 2023 at $254.99 per shares, the closing price of Labcorp common stock on that date; one-third of the Labcorp RSUs grants on February 11, 2022 that vested on February 13, 2023 at $248.13 per share, the closing price of Labcorp common stock on that date; one-third of the Labcorp RSUs granted on December 15, 2021 that were converted to Fortrea common stock upon Spin and vested on December 15, 2023 at $32.44 per share, the closing price of Fortrea common stock on that date; and 134.2% of the Labcorp performance share award granted on February 4, 2020 that vested on March 30, 2023 at $224.70 per share, the closing price of Labcorp common stock on that date. </w:t>
            </w:r>
          </w:p>
        </w:tc>
      </w:tr>
    </w:tbl>
    <w:p>
      <w:pPr>
        <w:pStyle w:val="TextBody"/>
        <w:bidi w:val="0"/>
        <w:spacing w:before="360" w:after="0"/>
        <w:jc w:val="left"/>
        <w:rPr>
          <w:rFonts w:ascii="ARIAL" w:hAnsi="ARIAL"/>
          <w:b/>
          <w:sz w:val="18"/>
        </w:rPr>
      </w:pPr>
      <w:bookmarkStart w:id="41" w:name="toc814840_39"/>
      <w:bookmarkEnd w:id="41"/>
      <w:r>
        <w:rPr>
          <w:rFonts w:ascii="ARIAL" w:hAnsi="ARIAL"/>
          <w:b/>
          <w:sz w:val="18"/>
        </w:rPr>
        <w:t xml:space="preserve">Retirement Benefits </w:t>
      </w:r>
    </w:p>
    <w:p>
      <w:pPr>
        <w:pStyle w:val="TextBody"/>
        <w:bidi w:val="0"/>
        <w:spacing w:before="160" w:after="0"/>
        <w:jc w:val="left"/>
        <w:rPr>
          <w:rFonts w:ascii="ARIAL" w:hAnsi="ARIAL"/>
          <w:sz w:val="18"/>
        </w:rPr>
      </w:pPr>
      <w:r>
        <w:rPr>
          <w:rFonts w:ascii="ARIAL" w:hAnsi="ARIAL"/>
          <w:sz w:val="18"/>
        </w:rPr>
        <w:t xml:space="preserve">We maintain market competitive retirement programs for our executives as retirement compensation is an essential component of an overall total executive compensation package in that it provides security for the future needs of the executives and their families. Our NEOs are eligible to participate in our 401(k) Plan and receive Company matching contributions in the same manner as all other Company employees. </w:t>
      </w:r>
    </w:p>
    <w:p>
      <w:pPr>
        <w:pStyle w:val="TextBody"/>
        <w:bidi w:val="0"/>
        <w:spacing w:before="360" w:after="0"/>
        <w:jc w:val="left"/>
        <w:rPr>
          <w:rFonts w:ascii="ARIAL" w:hAnsi="ARIAL"/>
          <w:b/>
          <w:sz w:val="18"/>
        </w:rPr>
      </w:pPr>
      <w:bookmarkStart w:id="42" w:name="toc814840_40"/>
      <w:bookmarkEnd w:id="42"/>
      <w:r>
        <w:rPr>
          <w:rFonts w:ascii="ARIAL" w:hAnsi="ARIAL"/>
          <w:b/>
          <w:sz w:val="18"/>
        </w:rPr>
        <w:t xml:space="preserve">Nonqualified Deferred Compensation </w:t>
      </w:r>
    </w:p>
    <w:p>
      <w:pPr>
        <w:pStyle w:val="TextBody"/>
        <w:bidi w:val="0"/>
        <w:spacing w:before="120" w:after="0"/>
        <w:jc w:val="left"/>
        <w:rPr>
          <w:rFonts w:ascii="ARIAL" w:hAnsi="ARIAL"/>
          <w:sz w:val="18"/>
        </w:rPr>
      </w:pPr>
      <w:r>
        <w:rPr>
          <w:rFonts w:ascii="ARIAL" w:hAnsi="ARIAL"/>
          <w:sz w:val="18"/>
        </w:rPr>
        <w:t xml:space="preserve">Fortrea adopted the Fortrea NQDC Plan and assumed the obligations and liabilities associated with Company participants in the Labcorp NQDC Plan. The Fortrea NQDC Plan allows participants to defer up to 50% of their base salary and up to 90% of their annual incentive or bonus. The Fortrea NQDC Plan provides for similar investment options as our 401(k) plan. The Fortrea NQDC Plan does not provide any match on employee contributions. The Fortrea NQDC Plan accounts are paid based on the participant’s selection at the time of the deferral, subject to the requirements of Section 409A of the Internal Revenue Code and may be paid in a lump sum, or a series of annual installments. Participants may elect to receive these distributions upon separation from service or upon the occurrence of one or more specified dates. All Fortrea NQDC Plan accounts are considered unfunded general contractual obligations and are subject to the claims of our general, unsecured creditors. </w:t>
      </w:r>
    </w:p>
    <w:p>
      <w:pPr>
        <w:pStyle w:val="TextBody"/>
        <w:bidi w:val="0"/>
        <w:spacing w:before="160" w:after="0"/>
        <w:jc w:val="left"/>
        <w:rPr>
          <w:rFonts w:ascii="ARIAL" w:hAnsi="ARIAL"/>
          <w:sz w:val="18"/>
        </w:rPr>
      </w:pPr>
      <w:r>
        <w:rPr>
          <w:rFonts w:ascii="ARIAL" w:hAnsi="ARIAL"/>
          <w:sz w:val="18"/>
        </w:rPr>
        <w:t xml:space="preserve">Any amounts provided in Executive Contributions Last Fiscal Year shown in the table below are exclusively associated with the Fortrea NQDC Plan, which assumed contributions and balances from the Labcorp NQDC Plan. Amounts provided in the Aggregate Earnings In Last Fiscal Year shown in the table below are associated with investment performance of assets over the course of 2023 in both the Fortrea NQDC Plan as well as the frozen Covance Deferred Compensation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13"/>
        <w:gridCol w:w="120"/>
        <w:gridCol w:w="425"/>
        <w:gridCol w:w="2070"/>
        <w:gridCol w:w="60"/>
        <w:gridCol w:w="120"/>
        <w:gridCol w:w="351"/>
        <w:gridCol w:w="1709"/>
        <w:gridCol w:w="60"/>
        <w:gridCol w:w="120"/>
        <w:gridCol w:w="509"/>
        <w:gridCol w:w="1607"/>
        <w:gridCol w:w="60"/>
        <w:gridCol w:w="120"/>
        <w:gridCol w:w="250"/>
        <w:gridCol w:w="1435"/>
        <w:gridCol w:w="76"/>
      </w:tblGrid>
      <w:tr>
        <w:trPr/>
        <w:tc>
          <w:tcPr>
            <w:tcW w:w="11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1113" w:type="dxa"/>
            <w:tcBorders/>
            <w:shd w:fill="0BC11C" w:val="clear"/>
            <w:vAlign w:val="center"/>
          </w:tcPr>
          <w:p>
            <w:pPr>
              <w:pStyle w:val="TableContents"/>
              <w:bidi w:val="0"/>
              <w:spacing w:before="0" w:after="283"/>
              <w:jc w:val="left"/>
              <w:rPr>
                <w:sz w:val="4"/>
                <w:szCs w:val="4"/>
              </w:rPr>
            </w:pPr>
            <w:r>
              <w:rPr>
                <w:sz w:val="4"/>
                <w:szCs w:val="4"/>
              </w:rPr>
            </w:r>
          </w:p>
        </w:tc>
        <w:tc>
          <w:tcPr>
            <w:tcW w:w="2675" w:type="dxa"/>
            <w:gridSpan w:val="4"/>
            <w:tcBorders/>
            <w:shd w:fill="0BC11C" w:val="clear"/>
            <w:vAlign w:val="center"/>
          </w:tcPr>
          <w:p>
            <w:pPr>
              <w:pStyle w:val="TableContents"/>
              <w:bidi w:val="0"/>
              <w:spacing w:before="0" w:after="283"/>
              <w:jc w:val="left"/>
              <w:rPr>
                <w:sz w:val="4"/>
                <w:szCs w:val="4"/>
              </w:rPr>
            </w:pPr>
            <w:r>
              <w:rPr>
                <w:sz w:val="4"/>
                <w:szCs w:val="4"/>
              </w:rPr>
            </w:r>
          </w:p>
        </w:tc>
        <w:tc>
          <w:tcPr>
            <w:tcW w:w="2240" w:type="dxa"/>
            <w:gridSpan w:val="4"/>
            <w:tcBorders/>
            <w:shd w:fill="0BC11C" w:val="clear"/>
            <w:vAlign w:val="center"/>
          </w:tcPr>
          <w:p>
            <w:pPr>
              <w:pStyle w:val="TableContents"/>
              <w:bidi w:val="0"/>
              <w:spacing w:before="0" w:after="283"/>
              <w:jc w:val="left"/>
              <w:rPr>
                <w:sz w:val="4"/>
                <w:szCs w:val="4"/>
              </w:rPr>
            </w:pPr>
            <w:r>
              <w:rPr>
                <w:sz w:val="4"/>
                <w:szCs w:val="4"/>
              </w:rPr>
            </w:r>
          </w:p>
        </w:tc>
        <w:tc>
          <w:tcPr>
            <w:tcW w:w="2296" w:type="dxa"/>
            <w:gridSpan w:val="4"/>
            <w:tcBorders/>
            <w:shd w:fill="0BC11C" w:val="clear"/>
            <w:vAlign w:val="center"/>
          </w:tcPr>
          <w:p>
            <w:pPr>
              <w:pStyle w:val="TableContents"/>
              <w:bidi w:val="0"/>
              <w:spacing w:before="0" w:after="283"/>
              <w:jc w:val="left"/>
              <w:rPr>
                <w:sz w:val="4"/>
                <w:szCs w:val="4"/>
              </w:rPr>
            </w:pPr>
            <w:r>
              <w:rPr>
                <w:sz w:val="4"/>
                <w:szCs w:val="4"/>
              </w:rPr>
            </w:r>
          </w:p>
        </w:tc>
        <w:tc>
          <w:tcPr>
            <w:tcW w:w="1881" w:type="dxa"/>
            <w:gridSpan w:val="4"/>
            <w:tcBorders/>
            <w:shd w:fill="0BC11C" w:val="clear"/>
            <w:vAlign w:val="center"/>
          </w:tcPr>
          <w:p>
            <w:pPr>
              <w:pStyle w:val="TableContents"/>
              <w:bidi w:val="0"/>
              <w:spacing w:before="0" w:after="283"/>
              <w:jc w:val="left"/>
              <w:rPr>
                <w:sz w:val="4"/>
                <w:szCs w:val="4"/>
              </w:rPr>
            </w:pPr>
            <w:r>
              <w:rPr>
                <w:sz w:val="4"/>
                <w:szCs w:val="4"/>
              </w:rPr>
            </w:r>
          </w:p>
        </w:tc>
      </w:tr>
      <w:tr>
        <w:trPr/>
        <w:tc>
          <w:tcPr>
            <w:tcW w:w="1113" w:type="dxa"/>
            <w:tcBorders/>
            <w:shd w:fill="0BC11C" w:val="clear"/>
            <w:vAlign w:val="center"/>
          </w:tcPr>
          <w:p>
            <w:pPr>
              <w:pStyle w:val="TableContents"/>
              <w:bidi w:val="0"/>
              <w:spacing w:before="0" w:after="0"/>
              <w:jc w:val="left"/>
              <w:rPr>
                <w:rFonts w:ascii="ARIAL" w:hAnsi="ARIAL"/>
                <w:b/>
                <w:color w:val="FFFFFF"/>
                <w:sz w:val="18"/>
              </w:rPr>
            </w:pPr>
            <w:r>
              <w:rPr>
                <w:rFonts w:ascii="ARIAL" w:hAnsi="ARIAL"/>
                <w:b/>
                <w:color w:val="FFFFFF"/>
                <w:sz w:val="18"/>
              </w:rPr>
              <w:t>Name</w:t>
            </w:r>
          </w:p>
        </w:tc>
        <w:tc>
          <w:tcPr>
            <w:tcW w:w="120" w:type="dxa"/>
            <w:tcBorders/>
            <w:shd w:fill="0BC11C" w:val="clear"/>
            <w:vAlign w:val="center"/>
          </w:tcPr>
          <w:p>
            <w:pPr>
              <w:pStyle w:val="TableContents"/>
              <w:bidi w:val="0"/>
              <w:spacing w:before="0" w:after="283"/>
              <w:jc w:val="left"/>
              <w:rPr/>
            </w:pPr>
            <w:r>
              <w:rPr/>
              <w:t>  </w:t>
            </w:r>
          </w:p>
        </w:tc>
        <w:tc>
          <w:tcPr>
            <w:tcW w:w="2495" w:type="dxa"/>
            <w:gridSpan w:val="2"/>
            <w:tcBorders/>
            <w:shd w:fill="0BC11C" w:val="clear"/>
            <w:vAlign w:val="center"/>
          </w:tcPr>
          <w:p>
            <w:pPr>
              <w:pStyle w:val="TableContents"/>
              <w:bidi w:val="0"/>
              <w:spacing w:before="0" w:after="283"/>
              <w:jc w:val="center"/>
              <w:rPr>
                <w:b/>
                <w:color w:val="FFFFFF"/>
              </w:rPr>
            </w:pPr>
            <w:r>
              <w:rPr>
                <w:b/>
                <w:color w:val="FFFFFF"/>
              </w:rPr>
              <w:t>Executive Contributions</w:t>
              <w:br/>
              <w:t>in Last Fiscal Year ($)</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2060" w:type="dxa"/>
            <w:gridSpan w:val="2"/>
            <w:tcBorders/>
            <w:shd w:fill="0BC11C" w:val="clear"/>
            <w:vAlign w:val="center"/>
          </w:tcPr>
          <w:p>
            <w:pPr>
              <w:pStyle w:val="TableContents"/>
              <w:bidi w:val="0"/>
              <w:spacing w:before="0" w:after="283"/>
              <w:jc w:val="center"/>
              <w:rPr>
                <w:b/>
                <w:color w:val="FFFFFF"/>
              </w:rPr>
            </w:pPr>
            <w:r>
              <w:rPr>
                <w:b/>
                <w:color w:val="FFFFFF"/>
              </w:rPr>
              <w:t>Aggregate Earnings</w:t>
              <w:br/>
              <w:t>in Last Fiscal Year</w:t>
              <w:br/>
              <w:t>($)</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2116" w:type="dxa"/>
            <w:gridSpan w:val="2"/>
            <w:tcBorders/>
            <w:shd w:fill="0BC11C" w:val="clear"/>
            <w:vAlign w:val="center"/>
          </w:tcPr>
          <w:p>
            <w:pPr>
              <w:pStyle w:val="TableContents"/>
              <w:bidi w:val="0"/>
              <w:spacing w:before="0" w:after="283"/>
              <w:jc w:val="center"/>
              <w:rPr>
                <w:b/>
                <w:color w:val="FFFFFF"/>
              </w:rPr>
            </w:pPr>
            <w:r>
              <w:rPr>
                <w:b/>
                <w:color w:val="FFFFFF"/>
              </w:rPr>
              <w:t>Aggregate</w:t>
              <w:br/>
              <w:t>Withdrawals/Distributions</w:t>
              <w:br/>
              <w:t>($)</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1685" w:type="dxa"/>
            <w:gridSpan w:val="2"/>
            <w:tcBorders/>
            <w:shd w:fill="0BC11C" w:val="clear"/>
            <w:vAlign w:val="center"/>
          </w:tcPr>
          <w:p>
            <w:pPr>
              <w:pStyle w:val="TableContents"/>
              <w:bidi w:val="0"/>
              <w:spacing w:before="0" w:after="283"/>
              <w:jc w:val="center"/>
              <w:rPr>
                <w:b/>
                <w:color w:val="FFFFFF"/>
              </w:rPr>
            </w:pPr>
            <w:r>
              <w:rPr>
                <w:b/>
                <w:color w:val="FFFFFF"/>
              </w:rPr>
              <w:t>Aggregate</w:t>
              <w:br/>
              <w:t>Balance at Last</w:t>
              <w:br/>
              <w:t>Fiscal Year-End</w:t>
            </w:r>
          </w:p>
        </w:tc>
        <w:tc>
          <w:tcPr>
            <w:tcW w:w="76" w:type="dxa"/>
            <w:tcBorders/>
            <w:shd w:fill="0BC11C" w:val="clear"/>
            <w:vAlign w:val="center"/>
          </w:tcPr>
          <w:p>
            <w:pPr>
              <w:pStyle w:val="TableContents"/>
              <w:bidi w:val="0"/>
              <w:spacing w:before="0" w:after="283"/>
              <w:jc w:val="left"/>
              <w:rPr/>
            </w:pPr>
            <w:r>
              <w:rPr/>
              <w:t> </w:t>
            </w:r>
          </w:p>
        </w:tc>
      </w:tr>
      <w:tr>
        <w:trPr/>
        <w:tc>
          <w:tcPr>
            <w:tcW w:w="1113" w:type="dxa"/>
            <w:tcBorders/>
            <w:vAlign w:val="center"/>
          </w:tcPr>
          <w:p>
            <w:pPr>
              <w:pStyle w:val="TableContents"/>
              <w:bidi w:val="0"/>
              <w:spacing w:before="0" w:after="0"/>
              <w:jc w:val="left"/>
              <w:rPr>
                <w:rFonts w:ascii="ARIAL" w:hAnsi="ARIAL"/>
                <w:sz w:val="20"/>
              </w:rPr>
            </w:pPr>
            <w:r>
              <w:rPr>
                <w:rFonts w:ascii="ARIAL" w:hAnsi="ARIAL"/>
                <w:sz w:val="20"/>
              </w:rPr>
              <w:t>Thomas Pike</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07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 </w:t>
            </w:r>
          </w:p>
        </w:tc>
        <w:tc>
          <w:tcPr>
            <w:tcW w:w="170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 </w:t>
            </w:r>
          </w:p>
        </w:tc>
        <w:tc>
          <w:tcPr>
            <w:tcW w:w="1607"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 </w:t>
            </w:r>
          </w:p>
        </w:tc>
        <w:tc>
          <w:tcPr>
            <w:tcW w:w="1435" w:type="dxa"/>
            <w:tcBorders/>
            <w:vAlign w:val="center"/>
          </w:tcPr>
          <w:p>
            <w:pPr>
              <w:pStyle w:val="TableContents"/>
              <w:bidi w:val="0"/>
              <w:spacing w:before="0" w:after="283"/>
              <w:jc w:val="right"/>
              <w:rPr/>
            </w:pPr>
            <w:r>
              <w:rPr/>
              <w:t>—</w:t>
            </w:r>
          </w:p>
        </w:tc>
        <w:tc>
          <w:tcPr>
            <w:tcW w:w="76" w:type="dxa"/>
            <w:tcBorders/>
            <w:vAlign w:val="center"/>
          </w:tcPr>
          <w:p>
            <w:pPr>
              <w:pStyle w:val="TableContents"/>
              <w:bidi w:val="0"/>
              <w:spacing w:before="0" w:after="283"/>
              <w:jc w:val="left"/>
              <w:rPr/>
            </w:pPr>
            <w:r>
              <w:rPr/>
              <w:t> </w:t>
            </w:r>
          </w:p>
        </w:tc>
      </w:tr>
      <w:tr>
        <w:trPr/>
        <w:tc>
          <w:tcPr>
            <w:tcW w:w="1113" w:type="dxa"/>
            <w:tcBorders/>
            <w:shd w:fill="EDEDED" w:val="clear"/>
            <w:vAlign w:val="center"/>
          </w:tcPr>
          <w:p>
            <w:pPr>
              <w:pStyle w:val="TableContents"/>
              <w:bidi w:val="0"/>
              <w:spacing w:before="0" w:after="0"/>
              <w:jc w:val="left"/>
              <w:rPr>
                <w:rFonts w:ascii="ARIAL" w:hAnsi="ARIAL"/>
                <w:sz w:val="20"/>
              </w:rPr>
            </w:pPr>
            <w:r>
              <w:rPr>
                <w:rFonts w:ascii="ARIAL" w:hAnsi="ARIAL"/>
                <w:sz w:val="20"/>
              </w:rPr>
              <w:t>Jill McConnell</w:t>
            </w:r>
          </w:p>
        </w:tc>
        <w:tc>
          <w:tcPr>
            <w:tcW w:w="120" w:type="dxa"/>
            <w:tcBorders/>
            <w:shd w:fill="EDEDED" w:val="clear"/>
            <w:vAlign w:val="center"/>
          </w:tcPr>
          <w:p>
            <w:pPr>
              <w:pStyle w:val="TableContents"/>
              <w:bidi w:val="0"/>
              <w:spacing w:before="0" w:after="283"/>
              <w:jc w:val="left"/>
              <w:rPr/>
            </w:pPr>
            <w:r>
              <w:rPr/>
              <w:t>  </w:t>
            </w:r>
          </w:p>
        </w:tc>
        <w:tc>
          <w:tcPr>
            <w:tcW w:w="425" w:type="dxa"/>
            <w:tcBorders/>
            <w:shd w:fill="EDEDED" w:val="clear"/>
            <w:vAlign w:val="center"/>
          </w:tcPr>
          <w:p>
            <w:pPr>
              <w:pStyle w:val="TableContents"/>
              <w:bidi w:val="0"/>
              <w:spacing w:before="0" w:after="283"/>
              <w:jc w:val="left"/>
              <w:rPr/>
            </w:pPr>
            <w:r>
              <w:rPr/>
              <w:t> </w:t>
            </w:r>
          </w:p>
        </w:tc>
        <w:tc>
          <w:tcPr>
            <w:tcW w:w="207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351" w:type="dxa"/>
            <w:tcBorders/>
            <w:shd w:fill="EDEDED" w:val="clear"/>
            <w:vAlign w:val="center"/>
          </w:tcPr>
          <w:p>
            <w:pPr>
              <w:pStyle w:val="TableContents"/>
              <w:bidi w:val="0"/>
              <w:spacing w:before="0" w:after="283"/>
              <w:jc w:val="left"/>
              <w:rPr/>
            </w:pPr>
            <w:r>
              <w:rPr/>
              <w:t> </w:t>
            </w:r>
          </w:p>
        </w:tc>
        <w:tc>
          <w:tcPr>
            <w:tcW w:w="1709"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509" w:type="dxa"/>
            <w:tcBorders/>
            <w:shd w:fill="EDEDED" w:val="clear"/>
            <w:vAlign w:val="center"/>
          </w:tcPr>
          <w:p>
            <w:pPr>
              <w:pStyle w:val="TableContents"/>
              <w:bidi w:val="0"/>
              <w:spacing w:before="0" w:after="283"/>
              <w:jc w:val="left"/>
              <w:rPr/>
            </w:pPr>
            <w:r>
              <w:rPr/>
              <w:t> </w:t>
            </w:r>
          </w:p>
        </w:tc>
        <w:tc>
          <w:tcPr>
            <w:tcW w:w="1607"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50" w:type="dxa"/>
            <w:tcBorders/>
            <w:shd w:fill="EDEDED" w:val="clear"/>
            <w:vAlign w:val="center"/>
          </w:tcPr>
          <w:p>
            <w:pPr>
              <w:pStyle w:val="TableContents"/>
              <w:bidi w:val="0"/>
              <w:spacing w:before="0" w:after="283"/>
              <w:jc w:val="left"/>
              <w:rPr/>
            </w:pPr>
            <w:r>
              <w:rPr/>
              <w:t> </w:t>
            </w:r>
          </w:p>
        </w:tc>
        <w:tc>
          <w:tcPr>
            <w:tcW w:w="1435" w:type="dxa"/>
            <w:tcBorders/>
            <w:shd w:fill="EDEDED" w:val="clear"/>
            <w:vAlign w:val="center"/>
          </w:tcPr>
          <w:p>
            <w:pPr>
              <w:pStyle w:val="TableContents"/>
              <w:bidi w:val="0"/>
              <w:spacing w:before="0" w:after="283"/>
              <w:jc w:val="right"/>
              <w:rPr/>
            </w:pPr>
            <w:r>
              <w:rPr/>
              <w:t>—</w:t>
            </w:r>
          </w:p>
        </w:tc>
        <w:tc>
          <w:tcPr>
            <w:tcW w:w="76" w:type="dxa"/>
            <w:tcBorders/>
            <w:shd w:fill="EDEDED" w:val="clear"/>
            <w:vAlign w:val="center"/>
          </w:tcPr>
          <w:p>
            <w:pPr>
              <w:pStyle w:val="TableContents"/>
              <w:bidi w:val="0"/>
              <w:spacing w:before="0" w:after="283"/>
              <w:jc w:val="left"/>
              <w:rPr/>
            </w:pPr>
            <w:r>
              <w:rPr/>
              <w:t> </w:t>
            </w:r>
          </w:p>
        </w:tc>
      </w:tr>
      <w:tr>
        <w:trPr/>
        <w:tc>
          <w:tcPr>
            <w:tcW w:w="1113" w:type="dxa"/>
            <w:tcBorders/>
            <w:vAlign w:val="center"/>
          </w:tcPr>
          <w:p>
            <w:pPr>
              <w:pStyle w:val="TableContents"/>
              <w:bidi w:val="0"/>
              <w:spacing w:before="0" w:after="0"/>
              <w:jc w:val="left"/>
              <w:rPr>
                <w:rFonts w:ascii="ARIAL" w:hAnsi="ARIAL"/>
                <w:sz w:val="20"/>
              </w:rPr>
            </w:pPr>
            <w:r>
              <w:rPr>
                <w:rFonts w:ascii="ARIAL" w:hAnsi="ARIAL"/>
                <w:sz w:val="20"/>
              </w:rPr>
              <w:t>Mark Morais</w:t>
            </w:r>
          </w:p>
        </w:tc>
        <w:tc>
          <w:tcPr>
            <w:tcW w:w="120"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w:t>
            </w:r>
          </w:p>
        </w:tc>
        <w:tc>
          <w:tcPr>
            <w:tcW w:w="2070" w:type="dxa"/>
            <w:tcBorders/>
            <w:vAlign w:val="center"/>
          </w:tcPr>
          <w:p>
            <w:pPr>
              <w:pStyle w:val="TableContents"/>
              <w:bidi w:val="0"/>
              <w:spacing w:before="0" w:after="283"/>
              <w:jc w:val="right"/>
              <w:rPr/>
            </w:pPr>
            <w:r>
              <w:rPr/>
              <w:t>13,707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51" w:type="dxa"/>
            <w:tcBorders/>
            <w:vAlign w:val="center"/>
          </w:tcPr>
          <w:p>
            <w:pPr>
              <w:pStyle w:val="TableContents"/>
              <w:bidi w:val="0"/>
              <w:spacing w:before="0" w:after="283"/>
              <w:jc w:val="left"/>
              <w:rPr/>
            </w:pPr>
            <w:r>
              <w:rPr/>
              <w:t>$</w:t>
            </w:r>
          </w:p>
        </w:tc>
        <w:tc>
          <w:tcPr>
            <w:tcW w:w="1709" w:type="dxa"/>
            <w:tcBorders/>
            <w:vAlign w:val="center"/>
          </w:tcPr>
          <w:p>
            <w:pPr>
              <w:pStyle w:val="TableContents"/>
              <w:bidi w:val="0"/>
              <w:spacing w:before="0" w:after="283"/>
              <w:jc w:val="right"/>
              <w:rPr/>
            </w:pPr>
            <w:r>
              <w:rPr/>
              <w:t>24,197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9" w:type="dxa"/>
            <w:tcBorders/>
            <w:vAlign w:val="center"/>
          </w:tcPr>
          <w:p>
            <w:pPr>
              <w:pStyle w:val="TableContents"/>
              <w:bidi w:val="0"/>
              <w:spacing w:before="0" w:after="283"/>
              <w:jc w:val="left"/>
              <w:rPr/>
            </w:pPr>
            <w:r>
              <w:rPr/>
              <w:t>$</w:t>
            </w:r>
          </w:p>
        </w:tc>
        <w:tc>
          <w:tcPr>
            <w:tcW w:w="1607" w:type="dxa"/>
            <w:tcBorders/>
            <w:vAlign w:val="center"/>
          </w:tcPr>
          <w:p>
            <w:pPr>
              <w:pStyle w:val="TableContents"/>
              <w:bidi w:val="0"/>
              <w:spacing w:before="0" w:after="283"/>
              <w:jc w:val="right"/>
              <w:rPr/>
            </w:pPr>
            <w:r>
              <w:rPr/>
              <w:t>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w:t>
            </w:r>
          </w:p>
        </w:tc>
        <w:tc>
          <w:tcPr>
            <w:tcW w:w="1435" w:type="dxa"/>
            <w:tcBorders/>
            <w:vAlign w:val="center"/>
          </w:tcPr>
          <w:p>
            <w:pPr>
              <w:pStyle w:val="TableContents"/>
              <w:bidi w:val="0"/>
              <w:spacing w:before="0" w:after="283"/>
              <w:jc w:val="right"/>
              <w:rPr/>
            </w:pPr>
            <w:r>
              <w:rPr/>
              <w:t>119,530</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42</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p>
      <w:pPr>
        <w:pStyle w:val="TextBody"/>
        <w:bidi w:val="0"/>
        <w:spacing w:before="0" w:after="0"/>
        <w:jc w:val="left"/>
        <w:rPr>
          <w:rFonts w:ascii="ARIAL" w:hAnsi="ARIAL"/>
          <w:b/>
          <w:sz w:val="20"/>
        </w:rPr>
      </w:pPr>
      <w:bookmarkStart w:id="43" w:name="toc814840_41"/>
      <w:bookmarkEnd w:id="43"/>
      <w:r>
        <w:rPr>
          <w:rFonts w:ascii="ARIAL" w:hAnsi="ARIAL"/>
          <w:b/>
          <w:sz w:val="20"/>
        </w:rPr>
        <w:t xml:space="preserve">Potential Payments Upon Termination or Change in Control </w:t>
      </w:r>
    </w:p>
    <w:p>
      <w:pPr>
        <w:pStyle w:val="TextBody"/>
        <w:bidi w:val="0"/>
        <w:spacing w:before="160" w:after="0"/>
        <w:jc w:val="left"/>
        <w:rPr>
          <w:rFonts w:ascii="ARIAL" w:hAnsi="ARIAL"/>
          <w:sz w:val="18"/>
        </w:rPr>
      </w:pPr>
      <w:r>
        <w:rPr>
          <w:rFonts w:ascii="ARIAL" w:hAnsi="ARIAL"/>
          <w:sz w:val="18"/>
        </w:rPr>
        <w:t xml:space="preserve">The tables that follow provide information related to compensation payable to each NEO, assuming termination of such executive’s employment on December 31, 2023, or assuming a change in control with a corresponding qualifying termination occurring on December 31, 2023. Amounts also assume the price of our common stock was $34.90, the closing price on December 29, 2023, the last trading day of 2023. </w:t>
      </w:r>
    </w:p>
    <w:p>
      <w:pPr>
        <w:pStyle w:val="TextBody"/>
        <w:bidi w:val="0"/>
        <w:spacing w:before="360" w:after="0"/>
        <w:jc w:val="left"/>
        <w:rPr>
          <w:rFonts w:ascii="ARIAL" w:hAnsi="ARIAL"/>
          <w:b/>
          <w:i/>
          <w:sz w:val="18"/>
        </w:rPr>
      </w:pPr>
      <w:r>
        <w:rPr>
          <w:rFonts w:ascii="ARIAL" w:hAnsi="ARIAL"/>
          <w:b/>
          <w:i/>
          <w:sz w:val="18"/>
        </w:rPr>
        <w:t xml:space="preserve">Potential Payments Upon Termination per Employment Arrangements of Mr. Pike </w:t>
      </w:r>
    </w:p>
    <w:p>
      <w:pPr>
        <w:pStyle w:val="TextBody"/>
        <w:bidi w:val="0"/>
        <w:spacing w:before="160" w:after="0"/>
        <w:jc w:val="left"/>
        <w:rPr>
          <w:rFonts w:ascii="ARIAL" w:hAnsi="ARIAL"/>
          <w:sz w:val="18"/>
        </w:rPr>
      </w:pPr>
      <w:r>
        <w:rPr>
          <w:rFonts w:ascii="ARIAL" w:hAnsi="ARIAL"/>
          <w:sz w:val="18"/>
        </w:rPr>
        <w:t xml:space="preserve">Pursuant to the Pike Employment Agreement, if Mr. Pike’s employment is terminated without “cause” or by Mr. Pike for “good reason” (as such terms as defined in the Pike Employment Agreement), or if Fortrea does not renew the term, Mr. Pike will receive a partial year bonus as well as severance benefits (subject to his execution of a release of claims) equal to (i) two times the sum of his base salary and average annual bonus for the last three years if the applicable termination does not occur within 36 months following a “change in control” (as defined in the Pike Employment Agreement) of Fortrea, or (ii) three times the sum of his base salary and average annual bonus for the last three years, if the applicable termination of employment occurs within 36 months following a change in control of Fortrea. The Pike Employment Agreement contains a cutback provision, which provides that if any payments to Mr. Pike would constitute “parachute payments” within the meaning of Section 280G of the Internal Revenue Code of 1986, as amended, then those payments will be subject to a reduction in order to avoid application of any applicable Section 280G excise tax, but only if the reduction would result in a greater net after-tax amount payable to Mr. Pike. </w:t>
      </w:r>
    </w:p>
    <w:p>
      <w:pPr>
        <w:pStyle w:val="TextBody"/>
        <w:bidi w:val="0"/>
        <w:spacing w:before="160" w:after="0"/>
        <w:jc w:val="left"/>
        <w:rPr>
          <w:rFonts w:ascii="ARIAL" w:hAnsi="ARIAL"/>
          <w:sz w:val="18"/>
        </w:rPr>
      </w:pPr>
      <w:r>
        <w:rPr>
          <w:rFonts w:ascii="ARIAL" w:hAnsi="ARIAL"/>
          <w:sz w:val="18"/>
        </w:rPr>
        <w:t xml:space="preserve">Vesting of the equity grants made to Mr. Pike called for under the Pike Employment Agreement described above as the Sign-On Equity Grant and the Initial Fortrea Equity Grant will be accelerated upon a “separation from service” due to Mr. Pike’s death, disability, or termination without “cause” or for “good reason” within 24 months after a “change in control” (as such terms are defined in the award agreement). The Sign-On Equity Grant and the Initial Fortrea Equity Grant also include certain accelerated vesting provisions in the event of termination of Mr. Pike’s employment for similar reasons as described above outside of a change in control or in the event of his “retirement” as defined in the award agreement. </w:t>
      </w:r>
    </w:p>
    <w:p>
      <w:pPr>
        <w:pStyle w:val="TextBody"/>
        <w:bidi w:val="0"/>
        <w:spacing w:before="360" w:after="0"/>
        <w:jc w:val="left"/>
        <w:rPr>
          <w:rFonts w:ascii="ARIAL" w:hAnsi="ARIAL"/>
          <w:b/>
          <w:i/>
          <w:sz w:val="18"/>
        </w:rPr>
      </w:pPr>
      <w:r>
        <w:rPr>
          <w:rFonts w:ascii="ARIAL" w:hAnsi="ARIAL"/>
          <w:b/>
          <w:i/>
          <w:sz w:val="18"/>
        </w:rPr>
        <w:t xml:space="preserve">Potential Payments Upon Termination per Executive Severance Plan </w:t>
      </w:r>
    </w:p>
    <w:p>
      <w:pPr>
        <w:pStyle w:val="TextBody"/>
        <w:bidi w:val="0"/>
        <w:spacing w:before="120" w:after="0"/>
        <w:jc w:val="left"/>
        <w:rPr>
          <w:rFonts w:ascii="ARIAL" w:hAnsi="ARIAL"/>
          <w:sz w:val="18"/>
        </w:rPr>
      </w:pPr>
      <w:r>
        <w:rPr>
          <w:rFonts w:ascii="ARIAL" w:hAnsi="ARIAL"/>
          <w:sz w:val="18"/>
        </w:rPr>
        <w:t xml:space="preserve">Ms. McConnell and Mr. Morais are eligible to participate in the Executive Severance Plan adopted by Fortrea in connection with the Spin, which provides participants with financial protection in circumstances involving a qualifying termination (which will generally include an involuntary termination without “cause” or voluntary termination with “good reason” (as such terms are defined in the Executive Severance Plan)). The severance payments for executives employed at or above Executive Vice President under the Executive Severance Plan in the event of a qualifying termination will be equal to the sum of the executive’s annual base salary and annual target bonus for the year of the qualifying termination (or, in the event that the qualifying termination occurs within 24 months following a “change in control” (as defined in the Executive Severance Plan), two times the sum of the executive’s annual base salary and annual target bonus for the year of the qualifying termination).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43</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rFonts w:ascii="Times New Roman" w:hAnsi="Times New Roman"/>
          <w:b/>
          <w:sz w:val="24"/>
        </w:rPr>
      </w:pPr>
      <w:r>
        <w:rPr>
          <w:rFonts w:ascii="Times New Roman" w:hAnsi="Times New Roman"/>
          <w:b/>
          <w:sz w:val="24"/>
        </w:rPr>
        <w:t xml:space="preserve">EXECUTIVE COMPENSATION </w:t>
      </w:r>
    </w:p>
    <w:p>
      <w:pPr>
        <w:pStyle w:val="TextBody"/>
        <w:bidi w:val="0"/>
        <w:spacing w:before="0" w:after="0"/>
        <w:jc w:val="left"/>
        <w:rPr/>
      </w:pPr>
      <w:r>
        <w:rPr/>
        <w:t> </w:t>
      </w:r>
    </w:p>
    <w:tbl>
      <w:tblPr>
        <w:tblW w:w="11005" w:type="dxa"/>
        <w:jc w:val="left"/>
        <w:tblInd w:w="0" w:type="dxa"/>
        <w:tblLayout w:type="fixed"/>
        <w:tblCellMar>
          <w:top w:w="0" w:type="dxa"/>
          <w:left w:w="0" w:type="dxa"/>
          <w:bottom w:w="0" w:type="dxa"/>
          <w:right w:w="0" w:type="dxa"/>
        </w:tblCellMar>
      </w:tblPr>
      <w:tblGrid>
        <w:gridCol w:w="800"/>
        <w:gridCol w:w="60"/>
        <w:gridCol w:w="1700"/>
        <w:gridCol w:w="60"/>
        <w:gridCol w:w="231"/>
        <w:gridCol w:w="1004"/>
        <w:gridCol w:w="60"/>
        <w:gridCol w:w="60"/>
        <w:gridCol w:w="208"/>
        <w:gridCol w:w="1462"/>
        <w:gridCol w:w="60"/>
        <w:gridCol w:w="60"/>
        <w:gridCol w:w="203"/>
        <w:gridCol w:w="882"/>
        <w:gridCol w:w="60"/>
        <w:gridCol w:w="60"/>
        <w:gridCol w:w="140"/>
        <w:gridCol w:w="1100"/>
        <w:gridCol w:w="60"/>
        <w:gridCol w:w="60"/>
        <w:gridCol w:w="140"/>
        <w:gridCol w:w="1100"/>
        <w:gridCol w:w="60"/>
        <w:gridCol w:w="60"/>
        <w:gridCol w:w="140"/>
        <w:gridCol w:w="1100"/>
        <w:gridCol w:w="75"/>
      </w:tblGrid>
      <w:tr>
        <w:trPr/>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00" w:type="dxa"/>
            <w:tcBorders/>
            <w:shd w:fill="0BC11C" w:val="clear"/>
            <w:vAlign w:val="center"/>
          </w:tcPr>
          <w:p>
            <w:pPr>
              <w:pStyle w:val="TableContents"/>
              <w:bidi w:val="0"/>
              <w:spacing w:before="0" w:after="283"/>
              <w:jc w:val="left"/>
              <w:rPr>
                <w:sz w:val="4"/>
                <w:szCs w:val="4"/>
              </w:rPr>
            </w:pPr>
            <w:r>
              <w:rPr>
                <w:sz w:val="4"/>
                <w:szCs w:val="4"/>
              </w:rPr>
            </w:r>
          </w:p>
        </w:tc>
        <w:tc>
          <w:tcPr>
            <w:tcW w:w="1760" w:type="dxa"/>
            <w:gridSpan w:val="2"/>
            <w:tcBorders/>
            <w:shd w:fill="0BC11C" w:val="clear"/>
            <w:vAlign w:val="center"/>
          </w:tcPr>
          <w:p>
            <w:pPr>
              <w:pStyle w:val="TableContents"/>
              <w:bidi w:val="0"/>
              <w:spacing w:before="0" w:after="283"/>
              <w:jc w:val="left"/>
              <w:rPr>
                <w:sz w:val="4"/>
                <w:szCs w:val="4"/>
              </w:rPr>
            </w:pPr>
            <w:r>
              <w:rPr>
                <w:sz w:val="4"/>
                <w:szCs w:val="4"/>
              </w:rPr>
            </w:r>
          </w:p>
        </w:tc>
        <w:tc>
          <w:tcPr>
            <w:tcW w:w="1355" w:type="dxa"/>
            <w:gridSpan w:val="4"/>
            <w:tcBorders/>
            <w:shd w:fill="0BC11C" w:val="clear"/>
            <w:vAlign w:val="center"/>
          </w:tcPr>
          <w:p>
            <w:pPr>
              <w:pStyle w:val="TableContents"/>
              <w:bidi w:val="0"/>
              <w:spacing w:before="0" w:after="283"/>
              <w:jc w:val="left"/>
              <w:rPr>
                <w:sz w:val="4"/>
                <w:szCs w:val="4"/>
              </w:rPr>
            </w:pPr>
            <w:r>
              <w:rPr>
                <w:sz w:val="4"/>
                <w:szCs w:val="4"/>
              </w:rPr>
            </w:r>
          </w:p>
        </w:tc>
        <w:tc>
          <w:tcPr>
            <w:tcW w:w="1790" w:type="dxa"/>
            <w:gridSpan w:val="4"/>
            <w:tcBorders/>
            <w:shd w:fill="0BC11C" w:val="clear"/>
            <w:vAlign w:val="center"/>
          </w:tcPr>
          <w:p>
            <w:pPr>
              <w:pStyle w:val="TableContents"/>
              <w:bidi w:val="0"/>
              <w:spacing w:before="0" w:after="283"/>
              <w:jc w:val="left"/>
              <w:rPr>
                <w:sz w:val="4"/>
                <w:szCs w:val="4"/>
              </w:rPr>
            </w:pPr>
            <w:r>
              <w:rPr>
                <w:sz w:val="4"/>
                <w:szCs w:val="4"/>
              </w:rPr>
            </w:r>
          </w:p>
        </w:tc>
        <w:tc>
          <w:tcPr>
            <w:tcW w:w="1205" w:type="dxa"/>
            <w:gridSpan w:val="4"/>
            <w:tcBorders/>
            <w:shd w:fill="0BC11C" w:val="clear"/>
            <w:vAlign w:val="center"/>
          </w:tcPr>
          <w:p>
            <w:pPr>
              <w:pStyle w:val="TableContents"/>
              <w:bidi w:val="0"/>
              <w:spacing w:before="0" w:after="283"/>
              <w:jc w:val="left"/>
              <w:rPr>
                <w:sz w:val="4"/>
                <w:szCs w:val="4"/>
              </w:rPr>
            </w:pPr>
            <w:r>
              <w:rPr>
                <w:sz w:val="4"/>
                <w:szCs w:val="4"/>
              </w:rPr>
            </w:r>
          </w:p>
        </w:tc>
        <w:tc>
          <w:tcPr>
            <w:tcW w:w="1360" w:type="dxa"/>
            <w:gridSpan w:val="4"/>
            <w:tcBorders/>
            <w:shd w:fill="0BC11C" w:val="clear"/>
            <w:vAlign w:val="center"/>
          </w:tcPr>
          <w:p>
            <w:pPr>
              <w:pStyle w:val="TableContents"/>
              <w:bidi w:val="0"/>
              <w:spacing w:before="0" w:after="283"/>
              <w:jc w:val="left"/>
              <w:rPr>
                <w:sz w:val="4"/>
                <w:szCs w:val="4"/>
              </w:rPr>
            </w:pPr>
            <w:r>
              <w:rPr>
                <w:sz w:val="4"/>
                <w:szCs w:val="4"/>
              </w:rPr>
            </w:r>
          </w:p>
        </w:tc>
        <w:tc>
          <w:tcPr>
            <w:tcW w:w="1360" w:type="dxa"/>
            <w:gridSpan w:val="4"/>
            <w:tcBorders/>
            <w:shd w:fill="0BC11C" w:val="clear"/>
            <w:vAlign w:val="center"/>
          </w:tcPr>
          <w:p>
            <w:pPr>
              <w:pStyle w:val="TableContents"/>
              <w:bidi w:val="0"/>
              <w:spacing w:before="0" w:after="283"/>
              <w:jc w:val="left"/>
              <w:rPr>
                <w:sz w:val="4"/>
                <w:szCs w:val="4"/>
              </w:rPr>
            </w:pPr>
            <w:r>
              <w:rPr>
                <w:sz w:val="4"/>
                <w:szCs w:val="4"/>
              </w:rPr>
            </w:r>
          </w:p>
        </w:tc>
        <w:tc>
          <w:tcPr>
            <w:tcW w:w="1375" w:type="dxa"/>
            <w:gridSpan w:val="4"/>
            <w:tcBorders/>
            <w:shd w:fill="0BC11C" w:val="clear"/>
            <w:vAlign w:val="center"/>
          </w:tcPr>
          <w:p>
            <w:pPr>
              <w:pStyle w:val="TableContents"/>
              <w:bidi w:val="0"/>
              <w:spacing w:before="0" w:after="283"/>
              <w:jc w:val="left"/>
              <w:rPr>
                <w:sz w:val="4"/>
                <w:szCs w:val="4"/>
              </w:rPr>
            </w:pPr>
            <w:r>
              <w:rPr>
                <w:sz w:val="4"/>
                <w:szCs w:val="4"/>
              </w:rPr>
            </w:r>
          </w:p>
        </w:tc>
      </w:tr>
      <w:tr>
        <w:trPr/>
        <w:tc>
          <w:tcPr>
            <w:tcW w:w="800" w:type="dxa"/>
            <w:tcBorders/>
            <w:shd w:fill="0BC11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60" w:type="dxa"/>
            <w:tcBorders/>
            <w:shd w:fill="0BC11C" w:val="clear"/>
            <w:vAlign w:val="center"/>
          </w:tcPr>
          <w:p>
            <w:pPr>
              <w:pStyle w:val="TableContents"/>
              <w:bidi w:val="0"/>
              <w:spacing w:before="0" w:after="283"/>
              <w:jc w:val="left"/>
              <w:rPr/>
            </w:pPr>
            <w:r>
              <w:rPr/>
              <w:t> </w:t>
            </w:r>
          </w:p>
        </w:tc>
        <w:tc>
          <w:tcPr>
            <w:tcW w:w="1700" w:type="dxa"/>
            <w:tcBorders/>
            <w:shd w:fill="0BC11C" w:val="clear"/>
            <w:vAlign w:val="center"/>
          </w:tcPr>
          <w:p>
            <w:pPr>
              <w:pStyle w:val="TableContents"/>
              <w:bidi w:val="0"/>
              <w:spacing w:before="0" w:after="283"/>
              <w:jc w:val="left"/>
              <w:rPr>
                <w:b/>
                <w:color w:val="FFFFFF"/>
              </w:rPr>
            </w:pPr>
            <w:r>
              <w:rPr>
                <w:b/>
                <w:color w:val="FFFFFF"/>
              </w:rPr>
              <w:t>Benefit</w:t>
            </w:r>
          </w:p>
        </w:tc>
        <w:tc>
          <w:tcPr>
            <w:tcW w:w="60" w:type="dxa"/>
            <w:tcBorders/>
            <w:shd w:fill="0BC11C" w:val="clear"/>
            <w:vAlign w:val="center"/>
          </w:tcPr>
          <w:p>
            <w:pPr>
              <w:pStyle w:val="TableContents"/>
              <w:bidi w:val="0"/>
              <w:spacing w:before="0" w:after="283"/>
              <w:jc w:val="left"/>
              <w:rPr/>
            </w:pPr>
            <w:r>
              <w:rPr/>
              <w:t> </w:t>
            </w:r>
          </w:p>
        </w:tc>
        <w:tc>
          <w:tcPr>
            <w:tcW w:w="1235" w:type="dxa"/>
            <w:gridSpan w:val="2"/>
            <w:tcBorders/>
            <w:shd w:fill="0BC11C" w:val="clear"/>
            <w:vAlign w:val="center"/>
          </w:tcPr>
          <w:p>
            <w:pPr>
              <w:pStyle w:val="TableContents"/>
              <w:bidi w:val="0"/>
              <w:spacing w:before="0" w:after="283"/>
              <w:jc w:val="center"/>
              <w:rPr>
                <w:b/>
                <w:color w:val="FFFFFF"/>
              </w:rPr>
            </w:pPr>
            <w:r>
              <w:rPr>
                <w:b/>
                <w:color w:val="FFFFFF"/>
              </w:rPr>
              <w:t>Early or</w:t>
              <w:br/>
              <w:t>Normal</w:t>
              <w:br/>
              <w:t>Retirement(1)</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670" w:type="dxa"/>
            <w:gridSpan w:val="2"/>
            <w:tcBorders/>
            <w:shd w:fill="0BC11C" w:val="clear"/>
            <w:vAlign w:val="center"/>
          </w:tcPr>
          <w:p>
            <w:pPr>
              <w:pStyle w:val="TableContents"/>
              <w:bidi w:val="0"/>
              <w:spacing w:before="0" w:after="283"/>
              <w:jc w:val="center"/>
              <w:rPr>
                <w:b/>
                <w:color w:val="FFFFFF"/>
              </w:rPr>
            </w:pPr>
            <w:r>
              <w:rPr>
                <w:b/>
                <w:color w:val="FFFFFF"/>
              </w:rPr>
              <w:t>Involuntary Not</w:t>
              <w:br/>
              <w:t>for Cause or</w:t>
              <w:br/>
              <w:t>Good Reason</w:t>
              <w:br/>
              <w:t>Termination</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085" w:type="dxa"/>
            <w:gridSpan w:val="2"/>
            <w:tcBorders/>
            <w:shd w:fill="0BC11C" w:val="clear"/>
            <w:vAlign w:val="center"/>
          </w:tcPr>
          <w:p>
            <w:pPr>
              <w:pStyle w:val="TableContents"/>
              <w:bidi w:val="0"/>
              <w:spacing w:before="0" w:after="283"/>
              <w:jc w:val="center"/>
              <w:rPr>
                <w:b/>
                <w:color w:val="FFFFFF"/>
              </w:rPr>
            </w:pPr>
            <w:r>
              <w:rPr>
                <w:b/>
                <w:color w:val="FFFFFF"/>
              </w:rPr>
              <w:t>For Cause</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240" w:type="dxa"/>
            <w:gridSpan w:val="2"/>
            <w:tcBorders/>
            <w:shd w:fill="0BC11C" w:val="clear"/>
            <w:vAlign w:val="center"/>
          </w:tcPr>
          <w:p>
            <w:pPr>
              <w:pStyle w:val="TableContents"/>
              <w:bidi w:val="0"/>
              <w:spacing w:before="0" w:after="283"/>
              <w:jc w:val="center"/>
              <w:rPr>
                <w:b/>
                <w:color w:val="FFFFFF"/>
              </w:rPr>
            </w:pPr>
            <w:r>
              <w:rPr>
                <w:b/>
                <w:color w:val="FFFFFF"/>
              </w:rPr>
              <w:t>Change-In-</w:t>
              <w:br/>
              <w:t>Control</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240" w:type="dxa"/>
            <w:gridSpan w:val="2"/>
            <w:tcBorders/>
            <w:shd w:fill="0BC11C" w:val="clear"/>
            <w:vAlign w:val="center"/>
          </w:tcPr>
          <w:p>
            <w:pPr>
              <w:pStyle w:val="TableContents"/>
              <w:bidi w:val="0"/>
              <w:spacing w:before="0" w:after="283"/>
              <w:jc w:val="center"/>
              <w:rPr>
                <w:b/>
                <w:color w:val="FFFFFF"/>
              </w:rPr>
            </w:pPr>
            <w:r>
              <w:rPr>
                <w:b/>
                <w:color w:val="FFFFFF"/>
              </w:rPr>
              <w:t>Disability(2)</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240" w:type="dxa"/>
            <w:gridSpan w:val="2"/>
            <w:tcBorders/>
            <w:shd w:fill="0BC11C" w:val="clear"/>
            <w:vAlign w:val="center"/>
          </w:tcPr>
          <w:p>
            <w:pPr>
              <w:pStyle w:val="TableContents"/>
              <w:bidi w:val="0"/>
              <w:spacing w:before="0" w:after="283"/>
              <w:jc w:val="center"/>
              <w:rPr>
                <w:b/>
                <w:color w:val="FFFFFF"/>
              </w:rPr>
            </w:pPr>
            <w:r>
              <w:rPr>
                <w:b/>
                <w:color w:val="FFFFFF"/>
              </w:rPr>
              <w:t>Death(3)</w:t>
            </w:r>
          </w:p>
        </w:tc>
        <w:tc>
          <w:tcPr>
            <w:tcW w:w="75" w:type="dxa"/>
            <w:tcBorders/>
            <w:shd w:fill="0BC11C"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ARIAL" w:hAnsi="ARIAL"/>
                <w:sz w:val="17"/>
              </w:rPr>
            </w:pPr>
            <w:r>
              <w:rPr>
                <w:rFonts w:ascii="ARIAL" w:hAnsi="ARIAL"/>
                <w:sz w:val="17"/>
              </w:rPr>
              <w:t>Thomas Pike</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Severance – Base Salary</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462" w:type="dxa"/>
            <w:tcBorders/>
            <w:vAlign w:val="center"/>
          </w:tcPr>
          <w:p>
            <w:pPr>
              <w:pStyle w:val="TableContents"/>
              <w:bidi w:val="0"/>
              <w:spacing w:before="0" w:after="283"/>
              <w:jc w:val="right"/>
              <w:rPr/>
            </w:pPr>
            <w:r>
              <w:rPr/>
              <w:t>2,200,000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3,300,000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Severance – Fortrea Bonus Plan</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462" w:type="dxa"/>
            <w:tcBorders/>
            <w:vAlign w:val="center"/>
          </w:tcPr>
          <w:p>
            <w:pPr>
              <w:pStyle w:val="TableContents"/>
              <w:bidi w:val="0"/>
              <w:spacing w:before="0" w:after="283"/>
              <w:jc w:val="right"/>
              <w:rPr/>
            </w:pPr>
            <w:r>
              <w:rPr/>
              <w:t>4,950,000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6,600,000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1,100,000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1,100,000</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Non-Qualified Stock Options</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6,697,899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6,697,899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6,697,899</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Restricted Stock Units(4)</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462" w:type="dxa"/>
            <w:tcBorders/>
            <w:vAlign w:val="center"/>
          </w:tcPr>
          <w:p>
            <w:pPr>
              <w:pStyle w:val="TableContents"/>
              <w:bidi w:val="0"/>
              <w:spacing w:before="0" w:after="283"/>
              <w:jc w:val="right"/>
              <w:rPr/>
            </w:pPr>
            <w:r>
              <w:rPr/>
              <w:t>197,290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13,751,787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13,751,787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13,751,787</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Performance Shares(4)</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Health &amp; Welfare Plans(5)(6)</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700,000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1,500,000</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Total</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462" w:type="dxa"/>
            <w:tcBorders/>
            <w:vAlign w:val="center"/>
          </w:tcPr>
          <w:p>
            <w:pPr>
              <w:pStyle w:val="TableContents"/>
              <w:bidi w:val="0"/>
              <w:spacing w:before="0" w:after="283"/>
              <w:jc w:val="right"/>
              <w:rPr/>
            </w:pPr>
            <w:r>
              <w:rPr/>
              <w:t>7,347,290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30,349,686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22,249,686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23,049,686</w:t>
            </w:r>
          </w:p>
        </w:tc>
        <w:tc>
          <w:tcPr>
            <w:tcW w:w="75" w:type="dxa"/>
            <w:tcBorders/>
            <w:vAlign w:val="center"/>
          </w:tcPr>
          <w:p>
            <w:pPr>
              <w:pStyle w:val="TableContents"/>
              <w:bidi w:val="0"/>
              <w:spacing w:before="0" w:after="283"/>
              <w:jc w:val="left"/>
              <w:rPr/>
            </w:pPr>
            <w:r>
              <w:rPr/>
              <w:t> </w:t>
            </w:r>
          </w:p>
        </w:tc>
      </w:tr>
      <w:tr>
        <w:trPr/>
        <w:tc>
          <w:tcPr>
            <w:tcW w:w="800" w:type="dxa"/>
            <w:tcBorders/>
            <w:shd w:fill="EDEDED" w:val="clear"/>
            <w:vAlign w:val="center"/>
          </w:tcPr>
          <w:p>
            <w:pPr>
              <w:pStyle w:val="TableContents"/>
              <w:bidi w:val="0"/>
              <w:spacing w:before="0" w:after="283"/>
              <w:jc w:val="left"/>
              <w:rPr>
                <w:sz w:val="4"/>
                <w:szCs w:val="4"/>
              </w:rPr>
            </w:pPr>
            <w:r>
              <w:rPr>
                <w:sz w:val="4"/>
                <w:szCs w:val="4"/>
              </w:rPr>
            </w:r>
          </w:p>
        </w:tc>
        <w:tc>
          <w:tcPr>
            <w:tcW w:w="1760" w:type="dxa"/>
            <w:gridSpan w:val="2"/>
            <w:tcBorders/>
            <w:shd w:fill="EDEDED" w:val="clear"/>
            <w:vAlign w:val="center"/>
          </w:tcPr>
          <w:p>
            <w:pPr>
              <w:pStyle w:val="TableContents"/>
              <w:bidi w:val="0"/>
              <w:spacing w:before="0" w:after="283"/>
              <w:jc w:val="left"/>
              <w:rPr>
                <w:sz w:val="4"/>
                <w:szCs w:val="4"/>
              </w:rPr>
            </w:pPr>
            <w:r>
              <w:rPr>
                <w:sz w:val="4"/>
                <w:szCs w:val="4"/>
              </w:rPr>
            </w:r>
          </w:p>
        </w:tc>
        <w:tc>
          <w:tcPr>
            <w:tcW w:w="1355" w:type="dxa"/>
            <w:gridSpan w:val="4"/>
            <w:tcBorders/>
            <w:shd w:fill="EDEDED" w:val="clear"/>
            <w:vAlign w:val="center"/>
          </w:tcPr>
          <w:p>
            <w:pPr>
              <w:pStyle w:val="TableContents"/>
              <w:bidi w:val="0"/>
              <w:spacing w:before="0" w:after="283"/>
              <w:jc w:val="left"/>
              <w:rPr>
                <w:sz w:val="4"/>
                <w:szCs w:val="4"/>
              </w:rPr>
            </w:pPr>
            <w:r>
              <w:rPr>
                <w:sz w:val="4"/>
                <w:szCs w:val="4"/>
              </w:rPr>
            </w:r>
          </w:p>
        </w:tc>
        <w:tc>
          <w:tcPr>
            <w:tcW w:w="1790" w:type="dxa"/>
            <w:gridSpan w:val="4"/>
            <w:tcBorders/>
            <w:shd w:fill="EDEDED" w:val="clear"/>
            <w:vAlign w:val="center"/>
          </w:tcPr>
          <w:p>
            <w:pPr>
              <w:pStyle w:val="TableContents"/>
              <w:bidi w:val="0"/>
              <w:spacing w:before="0" w:after="283"/>
              <w:jc w:val="left"/>
              <w:rPr>
                <w:sz w:val="4"/>
                <w:szCs w:val="4"/>
              </w:rPr>
            </w:pPr>
            <w:r>
              <w:rPr>
                <w:sz w:val="4"/>
                <w:szCs w:val="4"/>
              </w:rPr>
            </w:r>
          </w:p>
        </w:tc>
        <w:tc>
          <w:tcPr>
            <w:tcW w:w="1205" w:type="dxa"/>
            <w:gridSpan w:val="4"/>
            <w:tcBorders/>
            <w:shd w:fill="EDEDED" w:val="clear"/>
            <w:vAlign w:val="center"/>
          </w:tcPr>
          <w:p>
            <w:pPr>
              <w:pStyle w:val="TableContents"/>
              <w:bidi w:val="0"/>
              <w:spacing w:before="0" w:after="283"/>
              <w:jc w:val="left"/>
              <w:rPr>
                <w:sz w:val="4"/>
                <w:szCs w:val="4"/>
              </w:rPr>
            </w:pPr>
            <w:r>
              <w:rPr>
                <w:sz w:val="4"/>
                <w:szCs w:val="4"/>
              </w:rPr>
            </w:r>
          </w:p>
        </w:tc>
        <w:tc>
          <w:tcPr>
            <w:tcW w:w="1360" w:type="dxa"/>
            <w:gridSpan w:val="4"/>
            <w:tcBorders/>
            <w:shd w:fill="EDEDED" w:val="clear"/>
            <w:vAlign w:val="center"/>
          </w:tcPr>
          <w:p>
            <w:pPr>
              <w:pStyle w:val="TableContents"/>
              <w:bidi w:val="0"/>
              <w:spacing w:before="0" w:after="283"/>
              <w:jc w:val="left"/>
              <w:rPr>
                <w:sz w:val="4"/>
                <w:szCs w:val="4"/>
              </w:rPr>
            </w:pPr>
            <w:r>
              <w:rPr>
                <w:sz w:val="4"/>
                <w:szCs w:val="4"/>
              </w:rPr>
            </w:r>
          </w:p>
        </w:tc>
        <w:tc>
          <w:tcPr>
            <w:tcW w:w="1360" w:type="dxa"/>
            <w:gridSpan w:val="4"/>
            <w:tcBorders/>
            <w:shd w:fill="EDEDED" w:val="clear"/>
            <w:vAlign w:val="center"/>
          </w:tcPr>
          <w:p>
            <w:pPr>
              <w:pStyle w:val="TableContents"/>
              <w:bidi w:val="0"/>
              <w:spacing w:before="0" w:after="283"/>
              <w:jc w:val="left"/>
              <w:rPr>
                <w:sz w:val="4"/>
                <w:szCs w:val="4"/>
              </w:rPr>
            </w:pPr>
            <w:r>
              <w:rPr>
                <w:sz w:val="4"/>
                <w:szCs w:val="4"/>
              </w:rPr>
            </w:r>
          </w:p>
        </w:tc>
        <w:tc>
          <w:tcPr>
            <w:tcW w:w="137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800" w:type="dxa"/>
            <w:tcBorders/>
            <w:shd w:fill="EDEDED" w:val="clear"/>
            <w:vAlign w:val="center"/>
          </w:tcPr>
          <w:p>
            <w:pPr>
              <w:pStyle w:val="TableContents"/>
              <w:bidi w:val="0"/>
              <w:spacing w:before="0" w:after="0"/>
              <w:jc w:val="left"/>
              <w:rPr>
                <w:rFonts w:ascii="ARIAL" w:hAnsi="ARIAL"/>
                <w:sz w:val="17"/>
              </w:rPr>
            </w:pPr>
            <w:r>
              <w:rPr>
                <w:rFonts w:ascii="ARIAL" w:hAnsi="ARIAL"/>
                <w:sz w:val="17"/>
              </w:rPr>
              <w:t>Jill McConnell</w:t>
            </w:r>
          </w:p>
        </w:tc>
        <w:tc>
          <w:tcPr>
            <w:tcW w:w="60" w:type="dxa"/>
            <w:tcBorders/>
            <w:shd w:fill="EDEDED" w:val="clear"/>
            <w:vAlign w:val="center"/>
          </w:tcPr>
          <w:p>
            <w:pPr>
              <w:pStyle w:val="TableContents"/>
              <w:bidi w:val="0"/>
              <w:spacing w:before="0" w:after="283"/>
              <w:jc w:val="left"/>
              <w:rPr/>
            </w:pPr>
            <w:r>
              <w:rPr/>
              <w:t> </w:t>
            </w:r>
          </w:p>
        </w:tc>
        <w:tc>
          <w:tcPr>
            <w:tcW w:w="1700" w:type="dxa"/>
            <w:tcBorders/>
            <w:shd w:fill="EDEDED" w:val="clear"/>
            <w:vAlign w:val="center"/>
          </w:tcPr>
          <w:p>
            <w:pPr>
              <w:pStyle w:val="TableContents"/>
              <w:bidi w:val="0"/>
              <w:spacing w:before="0" w:after="283"/>
              <w:jc w:val="left"/>
              <w:rPr/>
            </w:pPr>
            <w:r>
              <w:rPr/>
              <w:t>Severance – Base Salary</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8" w:type="dxa"/>
            <w:tcBorders/>
            <w:shd w:fill="EDEDED" w:val="clear"/>
            <w:vAlign w:val="center"/>
          </w:tcPr>
          <w:p>
            <w:pPr>
              <w:pStyle w:val="TableContents"/>
              <w:bidi w:val="0"/>
              <w:spacing w:before="0" w:after="283"/>
              <w:jc w:val="left"/>
              <w:rPr/>
            </w:pPr>
            <w:r>
              <w:rPr/>
              <w:t>$</w:t>
            </w:r>
          </w:p>
        </w:tc>
        <w:tc>
          <w:tcPr>
            <w:tcW w:w="1462" w:type="dxa"/>
            <w:tcBorders/>
            <w:shd w:fill="EDEDED" w:val="clear"/>
            <w:vAlign w:val="center"/>
          </w:tcPr>
          <w:p>
            <w:pPr>
              <w:pStyle w:val="TableContents"/>
              <w:bidi w:val="0"/>
              <w:spacing w:before="0" w:after="283"/>
              <w:jc w:val="right"/>
              <w:rPr/>
            </w:pPr>
            <w:r>
              <w:rPr/>
              <w:t>500,000</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3" w:type="dxa"/>
            <w:tcBorders/>
            <w:shd w:fill="EDEDED" w:val="clear"/>
            <w:vAlign w:val="center"/>
          </w:tcPr>
          <w:p>
            <w:pPr>
              <w:pStyle w:val="TableContents"/>
              <w:bidi w:val="0"/>
              <w:spacing w:before="0" w:after="283"/>
              <w:jc w:val="left"/>
              <w:rPr/>
            </w:pPr>
            <w:r>
              <w:rPr/>
              <w:t> </w:t>
            </w:r>
          </w:p>
        </w:tc>
        <w:tc>
          <w:tcPr>
            <w:tcW w:w="882"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1,000,000</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 </w:t>
            </w:r>
          </w:p>
        </w:tc>
        <w:tc>
          <w:tcPr>
            <w:tcW w:w="110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 </w:t>
            </w:r>
          </w:p>
        </w:tc>
        <w:tc>
          <w:tcPr>
            <w:tcW w:w="1100" w:type="dxa"/>
            <w:tcBorders/>
            <w:shd w:fill="EDEDED" w:val="clear"/>
            <w:vAlign w:val="center"/>
          </w:tcPr>
          <w:p>
            <w:pPr>
              <w:pStyle w:val="TableContents"/>
              <w:bidi w:val="0"/>
              <w:spacing w:before="0" w:after="283"/>
              <w:jc w:val="right"/>
              <w:rPr/>
            </w:pPr>
            <w:r>
              <w:rPr/>
              <w:t>—</w:t>
            </w:r>
          </w:p>
        </w:tc>
        <w:tc>
          <w:tcPr>
            <w:tcW w:w="75" w:type="dxa"/>
            <w:tcBorders/>
            <w:shd w:fill="EDEDED" w:val="clear"/>
            <w:vAlign w:val="center"/>
          </w:tcPr>
          <w:p>
            <w:pPr>
              <w:pStyle w:val="TableContents"/>
              <w:bidi w:val="0"/>
              <w:spacing w:before="0" w:after="283"/>
              <w:jc w:val="left"/>
              <w:rPr/>
            </w:pPr>
            <w:r>
              <w:rPr/>
              <w:t> </w:t>
            </w:r>
          </w:p>
        </w:tc>
      </w:tr>
      <w:tr>
        <w:trPr/>
        <w:tc>
          <w:tcPr>
            <w:tcW w:w="80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700" w:type="dxa"/>
            <w:tcBorders/>
            <w:shd w:fill="EDEDED" w:val="clear"/>
            <w:vAlign w:val="center"/>
          </w:tcPr>
          <w:p>
            <w:pPr>
              <w:pStyle w:val="TableContents"/>
              <w:bidi w:val="0"/>
              <w:spacing w:before="0" w:after="283"/>
              <w:jc w:val="left"/>
              <w:rPr/>
            </w:pPr>
            <w:r>
              <w:rPr/>
              <w:t>Severance – Fortrea Bonus Plan</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8" w:type="dxa"/>
            <w:tcBorders/>
            <w:shd w:fill="EDEDED" w:val="clear"/>
            <w:vAlign w:val="center"/>
          </w:tcPr>
          <w:p>
            <w:pPr>
              <w:pStyle w:val="TableContents"/>
              <w:bidi w:val="0"/>
              <w:spacing w:before="0" w:after="283"/>
              <w:jc w:val="left"/>
              <w:rPr/>
            </w:pPr>
            <w:r>
              <w:rPr/>
              <w:t>$</w:t>
            </w:r>
          </w:p>
        </w:tc>
        <w:tc>
          <w:tcPr>
            <w:tcW w:w="1462" w:type="dxa"/>
            <w:tcBorders/>
            <w:shd w:fill="EDEDED" w:val="clear"/>
            <w:vAlign w:val="center"/>
          </w:tcPr>
          <w:p>
            <w:pPr>
              <w:pStyle w:val="TableContents"/>
              <w:bidi w:val="0"/>
              <w:spacing w:before="0" w:after="283"/>
              <w:jc w:val="right"/>
              <w:rPr/>
            </w:pPr>
            <w:r>
              <w:rPr/>
              <w:t>425,000</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3" w:type="dxa"/>
            <w:tcBorders/>
            <w:shd w:fill="EDEDED" w:val="clear"/>
            <w:vAlign w:val="center"/>
          </w:tcPr>
          <w:p>
            <w:pPr>
              <w:pStyle w:val="TableContents"/>
              <w:bidi w:val="0"/>
              <w:spacing w:before="0" w:after="283"/>
              <w:jc w:val="left"/>
              <w:rPr/>
            </w:pPr>
            <w:r>
              <w:rPr/>
              <w:t> </w:t>
            </w:r>
          </w:p>
        </w:tc>
        <w:tc>
          <w:tcPr>
            <w:tcW w:w="882"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850,000</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 </w:t>
            </w:r>
          </w:p>
        </w:tc>
        <w:tc>
          <w:tcPr>
            <w:tcW w:w="110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 </w:t>
            </w:r>
          </w:p>
        </w:tc>
        <w:tc>
          <w:tcPr>
            <w:tcW w:w="1100" w:type="dxa"/>
            <w:tcBorders/>
            <w:shd w:fill="EDEDED" w:val="clear"/>
            <w:vAlign w:val="center"/>
          </w:tcPr>
          <w:p>
            <w:pPr>
              <w:pStyle w:val="TableContents"/>
              <w:bidi w:val="0"/>
              <w:spacing w:before="0" w:after="283"/>
              <w:jc w:val="right"/>
              <w:rPr/>
            </w:pPr>
            <w:r>
              <w:rPr/>
              <w:t>—</w:t>
            </w:r>
          </w:p>
        </w:tc>
        <w:tc>
          <w:tcPr>
            <w:tcW w:w="75" w:type="dxa"/>
            <w:tcBorders/>
            <w:shd w:fill="EDEDED" w:val="clear"/>
            <w:vAlign w:val="center"/>
          </w:tcPr>
          <w:p>
            <w:pPr>
              <w:pStyle w:val="TableContents"/>
              <w:bidi w:val="0"/>
              <w:spacing w:before="0" w:after="283"/>
              <w:jc w:val="left"/>
              <w:rPr/>
            </w:pPr>
            <w:r>
              <w:rPr/>
              <w:t> </w:t>
            </w:r>
          </w:p>
        </w:tc>
      </w:tr>
      <w:tr>
        <w:trPr/>
        <w:tc>
          <w:tcPr>
            <w:tcW w:w="80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700" w:type="dxa"/>
            <w:tcBorders/>
            <w:shd w:fill="EDEDED" w:val="clear"/>
            <w:vAlign w:val="center"/>
          </w:tcPr>
          <w:p>
            <w:pPr>
              <w:pStyle w:val="TableContents"/>
              <w:bidi w:val="0"/>
              <w:spacing w:before="0" w:after="283"/>
              <w:jc w:val="left"/>
              <w:rPr/>
            </w:pPr>
            <w:r>
              <w:rPr/>
              <w:t>Non-Qualified Stock Options</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8" w:type="dxa"/>
            <w:tcBorders/>
            <w:shd w:fill="EDEDED" w:val="clear"/>
            <w:vAlign w:val="center"/>
          </w:tcPr>
          <w:p>
            <w:pPr>
              <w:pStyle w:val="TableContents"/>
              <w:bidi w:val="0"/>
              <w:spacing w:before="0" w:after="283"/>
              <w:jc w:val="left"/>
              <w:rPr/>
            </w:pPr>
            <w:r>
              <w:rPr/>
              <w:t> </w:t>
            </w:r>
          </w:p>
        </w:tc>
        <w:tc>
          <w:tcPr>
            <w:tcW w:w="1462"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3" w:type="dxa"/>
            <w:tcBorders/>
            <w:shd w:fill="EDEDED" w:val="clear"/>
            <w:vAlign w:val="center"/>
          </w:tcPr>
          <w:p>
            <w:pPr>
              <w:pStyle w:val="TableContents"/>
              <w:bidi w:val="0"/>
              <w:spacing w:before="0" w:after="283"/>
              <w:jc w:val="left"/>
              <w:rPr/>
            </w:pPr>
            <w:r>
              <w:rPr/>
              <w:t> </w:t>
            </w:r>
          </w:p>
        </w:tc>
        <w:tc>
          <w:tcPr>
            <w:tcW w:w="882"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 </w:t>
            </w:r>
          </w:p>
        </w:tc>
        <w:tc>
          <w:tcPr>
            <w:tcW w:w="110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 </w:t>
            </w:r>
          </w:p>
        </w:tc>
        <w:tc>
          <w:tcPr>
            <w:tcW w:w="1100"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 </w:t>
            </w:r>
          </w:p>
        </w:tc>
        <w:tc>
          <w:tcPr>
            <w:tcW w:w="1100" w:type="dxa"/>
            <w:tcBorders/>
            <w:shd w:fill="EDEDED" w:val="clear"/>
            <w:vAlign w:val="center"/>
          </w:tcPr>
          <w:p>
            <w:pPr>
              <w:pStyle w:val="TableContents"/>
              <w:bidi w:val="0"/>
              <w:spacing w:before="0" w:after="283"/>
              <w:jc w:val="right"/>
              <w:rPr/>
            </w:pPr>
            <w:r>
              <w:rPr/>
              <w:t>—</w:t>
            </w:r>
          </w:p>
        </w:tc>
        <w:tc>
          <w:tcPr>
            <w:tcW w:w="75" w:type="dxa"/>
            <w:tcBorders/>
            <w:shd w:fill="EDEDED" w:val="clear"/>
            <w:vAlign w:val="center"/>
          </w:tcPr>
          <w:p>
            <w:pPr>
              <w:pStyle w:val="TableContents"/>
              <w:bidi w:val="0"/>
              <w:spacing w:before="0" w:after="283"/>
              <w:jc w:val="left"/>
              <w:rPr/>
            </w:pPr>
            <w:r>
              <w:rPr/>
              <w:t> </w:t>
            </w:r>
          </w:p>
        </w:tc>
      </w:tr>
      <w:tr>
        <w:trPr/>
        <w:tc>
          <w:tcPr>
            <w:tcW w:w="80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700" w:type="dxa"/>
            <w:tcBorders/>
            <w:shd w:fill="EDEDED" w:val="clear"/>
            <w:vAlign w:val="center"/>
          </w:tcPr>
          <w:p>
            <w:pPr>
              <w:pStyle w:val="TableContents"/>
              <w:bidi w:val="0"/>
              <w:spacing w:before="0" w:after="283"/>
              <w:jc w:val="left"/>
              <w:rPr/>
            </w:pPr>
            <w:r>
              <w:rPr/>
              <w:t>Restricted Stock Units(4)</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8" w:type="dxa"/>
            <w:tcBorders/>
            <w:shd w:fill="EDEDED" w:val="clear"/>
            <w:vAlign w:val="center"/>
          </w:tcPr>
          <w:p>
            <w:pPr>
              <w:pStyle w:val="TableContents"/>
              <w:bidi w:val="0"/>
              <w:spacing w:before="0" w:after="283"/>
              <w:jc w:val="left"/>
              <w:rPr/>
            </w:pPr>
            <w:r>
              <w:rPr/>
              <w:t>$</w:t>
            </w:r>
          </w:p>
        </w:tc>
        <w:tc>
          <w:tcPr>
            <w:tcW w:w="1462" w:type="dxa"/>
            <w:tcBorders/>
            <w:shd w:fill="EDEDED" w:val="clear"/>
            <w:vAlign w:val="center"/>
          </w:tcPr>
          <w:p>
            <w:pPr>
              <w:pStyle w:val="TableContents"/>
              <w:bidi w:val="0"/>
              <w:spacing w:before="0" w:after="283"/>
              <w:jc w:val="right"/>
              <w:rPr/>
            </w:pPr>
            <w:r>
              <w:rPr/>
              <w:t>1,281,109</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3" w:type="dxa"/>
            <w:tcBorders/>
            <w:shd w:fill="EDEDED" w:val="clear"/>
            <w:vAlign w:val="center"/>
          </w:tcPr>
          <w:p>
            <w:pPr>
              <w:pStyle w:val="TableContents"/>
              <w:bidi w:val="0"/>
              <w:spacing w:before="0" w:after="283"/>
              <w:jc w:val="left"/>
              <w:rPr/>
            </w:pPr>
            <w:r>
              <w:rPr/>
              <w:t> </w:t>
            </w:r>
          </w:p>
        </w:tc>
        <w:tc>
          <w:tcPr>
            <w:tcW w:w="882"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3,405,333</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3,405,333</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3,405,333</w:t>
            </w:r>
          </w:p>
        </w:tc>
        <w:tc>
          <w:tcPr>
            <w:tcW w:w="75" w:type="dxa"/>
            <w:tcBorders/>
            <w:shd w:fill="EDEDED" w:val="clear"/>
            <w:vAlign w:val="center"/>
          </w:tcPr>
          <w:p>
            <w:pPr>
              <w:pStyle w:val="TableContents"/>
              <w:bidi w:val="0"/>
              <w:spacing w:before="0" w:after="283"/>
              <w:jc w:val="left"/>
              <w:rPr/>
            </w:pPr>
            <w:r>
              <w:rPr/>
              <w:t> </w:t>
            </w:r>
          </w:p>
        </w:tc>
      </w:tr>
      <w:tr>
        <w:trPr/>
        <w:tc>
          <w:tcPr>
            <w:tcW w:w="80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700" w:type="dxa"/>
            <w:tcBorders/>
            <w:shd w:fill="EDEDED" w:val="clear"/>
            <w:vAlign w:val="center"/>
          </w:tcPr>
          <w:p>
            <w:pPr>
              <w:pStyle w:val="TableContents"/>
              <w:bidi w:val="0"/>
              <w:spacing w:before="0" w:after="283"/>
              <w:jc w:val="left"/>
              <w:rPr/>
            </w:pPr>
            <w:r>
              <w:rPr/>
              <w:t>Performance Shares(4)</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8" w:type="dxa"/>
            <w:tcBorders/>
            <w:shd w:fill="EDEDED" w:val="clear"/>
            <w:vAlign w:val="center"/>
          </w:tcPr>
          <w:p>
            <w:pPr>
              <w:pStyle w:val="TableContents"/>
              <w:bidi w:val="0"/>
              <w:spacing w:before="0" w:after="283"/>
              <w:jc w:val="left"/>
              <w:rPr/>
            </w:pPr>
            <w:r>
              <w:rPr/>
              <w:t>$</w:t>
            </w:r>
          </w:p>
        </w:tc>
        <w:tc>
          <w:tcPr>
            <w:tcW w:w="1462" w:type="dxa"/>
            <w:tcBorders/>
            <w:shd w:fill="EDEDED" w:val="clear"/>
            <w:vAlign w:val="center"/>
          </w:tcPr>
          <w:p>
            <w:pPr>
              <w:pStyle w:val="TableContents"/>
              <w:bidi w:val="0"/>
              <w:spacing w:before="0" w:after="283"/>
              <w:jc w:val="right"/>
              <w:rPr/>
            </w:pPr>
            <w:r>
              <w:rPr/>
              <w:t>169,719</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3" w:type="dxa"/>
            <w:tcBorders/>
            <w:shd w:fill="EDEDED" w:val="clear"/>
            <w:vAlign w:val="center"/>
          </w:tcPr>
          <w:p>
            <w:pPr>
              <w:pStyle w:val="TableContents"/>
              <w:bidi w:val="0"/>
              <w:spacing w:before="0" w:after="283"/>
              <w:jc w:val="left"/>
              <w:rPr/>
            </w:pPr>
            <w:r>
              <w:rPr/>
              <w:t> </w:t>
            </w:r>
          </w:p>
        </w:tc>
        <w:tc>
          <w:tcPr>
            <w:tcW w:w="882"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387,390</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387,390</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387,390</w:t>
            </w:r>
          </w:p>
        </w:tc>
        <w:tc>
          <w:tcPr>
            <w:tcW w:w="75" w:type="dxa"/>
            <w:tcBorders/>
            <w:shd w:fill="EDEDED" w:val="clear"/>
            <w:vAlign w:val="center"/>
          </w:tcPr>
          <w:p>
            <w:pPr>
              <w:pStyle w:val="TableContents"/>
              <w:bidi w:val="0"/>
              <w:spacing w:before="0" w:after="283"/>
              <w:jc w:val="left"/>
              <w:rPr/>
            </w:pPr>
            <w:r>
              <w:rPr/>
              <w:t> </w:t>
            </w:r>
          </w:p>
        </w:tc>
      </w:tr>
      <w:tr>
        <w:trPr/>
        <w:tc>
          <w:tcPr>
            <w:tcW w:w="80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700" w:type="dxa"/>
            <w:tcBorders/>
            <w:shd w:fill="EDEDED" w:val="clear"/>
            <w:vAlign w:val="center"/>
          </w:tcPr>
          <w:p>
            <w:pPr>
              <w:pStyle w:val="TableContents"/>
              <w:bidi w:val="0"/>
              <w:spacing w:before="0" w:after="283"/>
              <w:jc w:val="left"/>
              <w:rPr/>
            </w:pPr>
            <w:r>
              <w:rPr/>
              <w:t>Health &amp; Welfare Plans(5)(6)</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8" w:type="dxa"/>
            <w:tcBorders/>
            <w:shd w:fill="EDEDED" w:val="clear"/>
            <w:vAlign w:val="center"/>
          </w:tcPr>
          <w:p>
            <w:pPr>
              <w:pStyle w:val="TableContents"/>
              <w:bidi w:val="0"/>
              <w:spacing w:before="0" w:after="283"/>
              <w:jc w:val="left"/>
              <w:rPr/>
            </w:pPr>
            <w:r>
              <w:rPr/>
              <w:t>$</w:t>
            </w:r>
          </w:p>
        </w:tc>
        <w:tc>
          <w:tcPr>
            <w:tcW w:w="1462" w:type="dxa"/>
            <w:tcBorders/>
            <w:shd w:fill="EDEDED" w:val="clear"/>
            <w:vAlign w:val="center"/>
          </w:tcPr>
          <w:p>
            <w:pPr>
              <w:pStyle w:val="TableContents"/>
              <w:bidi w:val="0"/>
              <w:spacing w:before="0" w:after="283"/>
              <w:jc w:val="right"/>
              <w:rPr/>
            </w:pPr>
            <w:r>
              <w:rPr/>
              <w:t>38,547</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3" w:type="dxa"/>
            <w:tcBorders/>
            <w:shd w:fill="EDEDED" w:val="clear"/>
            <w:vAlign w:val="center"/>
          </w:tcPr>
          <w:p>
            <w:pPr>
              <w:pStyle w:val="TableContents"/>
              <w:bidi w:val="0"/>
              <w:spacing w:before="0" w:after="283"/>
              <w:jc w:val="left"/>
              <w:rPr/>
            </w:pPr>
            <w:r>
              <w:rPr/>
              <w:t> </w:t>
            </w:r>
          </w:p>
        </w:tc>
        <w:tc>
          <w:tcPr>
            <w:tcW w:w="882"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38,547</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400,000</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1,000,000</w:t>
            </w:r>
          </w:p>
        </w:tc>
        <w:tc>
          <w:tcPr>
            <w:tcW w:w="75" w:type="dxa"/>
            <w:tcBorders/>
            <w:shd w:fill="EDEDED" w:val="clear"/>
            <w:vAlign w:val="center"/>
          </w:tcPr>
          <w:p>
            <w:pPr>
              <w:pStyle w:val="TableContents"/>
              <w:bidi w:val="0"/>
              <w:spacing w:before="0" w:after="283"/>
              <w:jc w:val="left"/>
              <w:rPr/>
            </w:pPr>
            <w:r>
              <w:rPr/>
              <w:t> </w:t>
            </w:r>
          </w:p>
        </w:tc>
      </w:tr>
      <w:tr>
        <w:trPr/>
        <w:tc>
          <w:tcPr>
            <w:tcW w:w="80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700" w:type="dxa"/>
            <w:tcBorders/>
            <w:shd w:fill="EDEDED" w:val="clear"/>
            <w:vAlign w:val="center"/>
          </w:tcPr>
          <w:p>
            <w:pPr>
              <w:pStyle w:val="TableContents"/>
              <w:bidi w:val="0"/>
              <w:spacing w:before="0" w:after="283"/>
              <w:jc w:val="right"/>
              <w:rPr/>
            </w:pPr>
            <w:r>
              <w:rPr/>
              <w:t>Total</w:t>
            </w:r>
          </w:p>
        </w:tc>
        <w:tc>
          <w:tcPr>
            <w:tcW w:w="60" w:type="dxa"/>
            <w:tcBorders/>
            <w:shd w:fill="EDEDED" w:val="clear"/>
            <w:vAlign w:val="center"/>
          </w:tcPr>
          <w:p>
            <w:pPr>
              <w:pStyle w:val="TableContents"/>
              <w:bidi w:val="0"/>
              <w:spacing w:before="0" w:after="283"/>
              <w:jc w:val="left"/>
              <w:rPr/>
            </w:pPr>
            <w:r>
              <w:rPr/>
              <w:t> </w:t>
            </w:r>
          </w:p>
        </w:tc>
        <w:tc>
          <w:tcPr>
            <w:tcW w:w="231" w:type="dxa"/>
            <w:tcBorders/>
            <w:shd w:fill="EDEDED" w:val="clear"/>
            <w:vAlign w:val="center"/>
          </w:tcPr>
          <w:p>
            <w:pPr>
              <w:pStyle w:val="TableContents"/>
              <w:bidi w:val="0"/>
              <w:spacing w:before="0" w:after="283"/>
              <w:jc w:val="left"/>
              <w:rPr/>
            </w:pPr>
            <w:r>
              <w:rPr/>
              <w:t> </w:t>
            </w:r>
          </w:p>
        </w:tc>
        <w:tc>
          <w:tcPr>
            <w:tcW w:w="1004"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8" w:type="dxa"/>
            <w:tcBorders/>
            <w:shd w:fill="EDEDED" w:val="clear"/>
            <w:vAlign w:val="center"/>
          </w:tcPr>
          <w:p>
            <w:pPr>
              <w:pStyle w:val="TableContents"/>
              <w:bidi w:val="0"/>
              <w:spacing w:before="0" w:after="283"/>
              <w:jc w:val="left"/>
              <w:rPr/>
            </w:pPr>
            <w:r>
              <w:rPr/>
              <w:t>$</w:t>
            </w:r>
          </w:p>
        </w:tc>
        <w:tc>
          <w:tcPr>
            <w:tcW w:w="1462" w:type="dxa"/>
            <w:tcBorders/>
            <w:shd w:fill="EDEDED" w:val="clear"/>
            <w:vAlign w:val="center"/>
          </w:tcPr>
          <w:p>
            <w:pPr>
              <w:pStyle w:val="TableContents"/>
              <w:bidi w:val="0"/>
              <w:spacing w:before="0" w:after="283"/>
              <w:jc w:val="right"/>
              <w:rPr/>
            </w:pPr>
            <w:r>
              <w:rPr/>
              <w:t>2,414,375</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203" w:type="dxa"/>
            <w:tcBorders/>
            <w:shd w:fill="EDEDED" w:val="clear"/>
            <w:vAlign w:val="center"/>
          </w:tcPr>
          <w:p>
            <w:pPr>
              <w:pStyle w:val="TableContents"/>
              <w:bidi w:val="0"/>
              <w:spacing w:before="0" w:after="283"/>
              <w:jc w:val="left"/>
              <w:rPr/>
            </w:pPr>
            <w:r>
              <w:rPr/>
              <w:t> </w:t>
            </w:r>
          </w:p>
        </w:tc>
        <w:tc>
          <w:tcPr>
            <w:tcW w:w="882"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5,681,270</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4,192,723</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1100" w:type="dxa"/>
            <w:tcBorders/>
            <w:shd w:fill="EDEDED" w:val="clear"/>
            <w:vAlign w:val="center"/>
          </w:tcPr>
          <w:p>
            <w:pPr>
              <w:pStyle w:val="TableContents"/>
              <w:bidi w:val="0"/>
              <w:spacing w:before="0" w:after="283"/>
              <w:jc w:val="right"/>
              <w:rPr/>
            </w:pPr>
            <w:r>
              <w:rPr/>
              <w:t>4,792,723</w:t>
            </w:r>
          </w:p>
        </w:tc>
        <w:tc>
          <w:tcPr>
            <w:tcW w:w="75" w:type="dxa"/>
            <w:tcBorders/>
            <w:shd w:fill="EDEDED" w:val="clear"/>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c>
          <w:tcPr>
            <w:tcW w:w="1790" w:type="dxa"/>
            <w:gridSpan w:val="4"/>
            <w:tcBorders/>
            <w:vAlign w:val="center"/>
          </w:tcPr>
          <w:p>
            <w:pPr>
              <w:pStyle w:val="TableContents"/>
              <w:bidi w:val="0"/>
              <w:spacing w:before="0" w:after="283"/>
              <w:jc w:val="left"/>
              <w:rPr>
                <w:sz w:val="4"/>
                <w:szCs w:val="4"/>
              </w:rPr>
            </w:pPr>
            <w:r>
              <w:rPr>
                <w:sz w:val="4"/>
                <w:szCs w:val="4"/>
              </w:rPr>
            </w:r>
          </w:p>
        </w:tc>
        <w:tc>
          <w:tcPr>
            <w:tcW w:w="1205"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60" w:type="dxa"/>
            <w:gridSpan w:val="4"/>
            <w:tcBorders/>
            <w:vAlign w:val="center"/>
          </w:tcPr>
          <w:p>
            <w:pPr>
              <w:pStyle w:val="TableContents"/>
              <w:bidi w:val="0"/>
              <w:spacing w:before="0" w:after="283"/>
              <w:jc w:val="left"/>
              <w:rPr>
                <w:sz w:val="4"/>
                <w:szCs w:val="4"/>
              </w:rPr>
            </w:pPr>
            <w:r>
              <w:rPr>
                <w:sz w:val="4"/>
                <w:szCs w:val="4"/>
              </w:rPr>
            </w:r>
          </w:p>
        </w:tc>
        <w:tc>
          <w:tcPr>
            <w:tcW w:w="1375" w:type="dxa"/>
            <w:gridSpan w:val="4"/>
            <w:tcBorders/>
            <w:vAlign w:val="center"/>
          </w:tcPr>
          <w:p>
            <w:pPr>
              <w:pStyle w:val="TableContents"/>
              <w:bidi w:val="0"/>
              <w:spacing w:before="0" w:after="283"/>
              <w:jc w:val="left"/>
              <w:rPr>
                <w:sz w:val="4"/>
                <w:szCs w:val="4"/>
              </w:rPr>
            </w:pPr>
            <w:r>
              <w:rPr>
                <w:sz w:val="4"/>
                <w:szCs w:val="4"/>
              </w:rPr>
            </w:r>
          </w:p>
        </w:tc>
      </w:tr>
      <w:tr>
        <w:trPr/>
        <w:tc>
          <w:tcPr>
            <w:tcW w:w="800" w:type="dxa"/>
            <w:tcBorders/>
            <w:vAlign w:val="center"/>
          </w:tcPr>
          <w:p>
            <w:pPr>
              <w:pStyle w:val="TableContents"/>
              <w:bidi w:val="0"/>
              <w:spacing w:before="0" w:after="0"/>
              <w:jc w:val="left"/>
              <w:rPr>
                <w:rFonts w:ascii="ARIAL" w:hAnsi="ARIAL"/>
                <w:sz w:val="17"/>
              </w:rPr>
            </w:pPr>
            <w:r>
              <w:rPr>
                <w:rFonts w:ascii="ARIAL" w:hAnsi="ARIAL"/>
                <w:sz w:val="17"/>
              </w:rPr>
              <w:t>Mark Morais</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Severance – Base Salary</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462"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Severance – Fortrea Bonus Plan</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462" w:type="dxa"/>
            <w:tcBorders/>
            <w:vAlign w:val="center"/>
          </w:tcPr>
          <w:p>
            <w:pPr>
              <w:pStyle w:val="TableContents"/>
              <w:bidi w:val="0"/>
              <w:spacing w:before="0" w:after="283"/>
              <w:jc w:val="right"/>
              <w:rPr/>
            </w:pPr>
            <w:r>
              <w:rPr/>
              <w:t>425,000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Non-Qualified Stock Options</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46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jc w:val="left"/>
              <w:rPr/>
            </w:pPr>
            <w:r>
              <w:rPr/>
              <w:t> </w:t>
            </w:r>
          </w:p>
        </w:tc>
        <w:tc>
          <w:tcPr>
            <w:tcW w:w="11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Restricted Stock Units(4)</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462" w:type="dxa"/>
            <w:tcBorders/>
            <w:vAlign w:val="center"/>
          </w:tcPr>
          <w:p>
            <w:pPr>
              <w:pStyle w:val="TableContents"/>
              <w:bidi w:val="0"/>
              <w:spacing w:before="0" w:after="283"/>
              <w:jc w:val="right"/>
              <w:rPr/>
            </w:pPr>
            <w:r>
              <w:rPr/>
              <w:t>1,117,498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3,324,714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3,324,714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3,324,714</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Performance Shares(4)</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462" w:type="dxa"/>
            <w:tcBorders/>
            <w:vAlign w:val="center"/>
          </w:tcPr>
          <w:p>
            <w:pPr>
              <w:pStyle w:val="TableContents"/>
              <w:bidi w:val="0"/>
              <w:spacing w:before="0" w:after="283"/>
              <w:jc w:val="right"/>
              <w:rPr/>
            </w:pPr>
            <w:r>
              <w:rPr/>
              <w:t>181,306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449,477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449,477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449,477</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left"/>
              <w:rPr/>
            </w:pPr>
            <w:r>
              <w:rPr/>
              <w:t>Health &amp; Welfare Plans(5)(6)</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462" w:type="dxa"/>
            <w:tcBorders/>
            <w:vAlign w:val="center"/>
          </w:tcPr>
          <w:p>
            <w:pPr>
              <w:pStyle w:val="TableContents"/>
              <w:bidi w:val="0"/>
              <w:spacing w:before="0" w:after="283"/>
              <w:jc w:val="right"/>
              <w:rPr/>
            </w:pPr>
            <w:r>
              <w:rPr/>
              <w:t>20,591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20,591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1,000,000</w:t>
            </w:r>
          </w:p>
        </w:tc>
        <w:tc>
          <w:tcPr>
            <w:tcW w:w="75" w:type="dxa"/>
            <w:tcBorders/>
            <w:vAlign w:val="center"/>
          </w:tcPr>
          <w:p>
            <w:pPr>
              <w:pStyle w:val="TableContents"/>
              <w:bidi w:val="0"/>
              <w:spacing w:before="0" w:after="283"/>
              <w:jc w:val="left"/>
              <w:rPr/>
            </w:pPr>
            <w:r>
              <w:rPr/>
              <w:t> </w:t>
            </w:r>
          </w:p>
        </w:tc>
      </w:tr>
      <w:tr>
        <w:trPr/>
        <w:tc>
          <w:tcPr>
            <w:tcW w:w="80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700" w:type="dxa"/>
            <w:tcBorders/>
            <w:vAlign w:val="center"/>
          </w:tcPr>
          <w:p>
            <w:pPr>
              <w:pStyle w:val="TableContents"/>
              <w:bidi w:val="0"/>
              <w:spacing w:before="0" w:after="283"/>
              <w:jc w:val="right"/>
              <w:rPr/>
            </w:pPr>
            <w:r>
              <w:rPr/>
              <w:t>Total</w:t>
            </w:r>
          </w:p>
        </w:tc>
        <w:tc>
          <w:tcPr>
            <w:tcW w:w="60"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 </w:t>
            </w:r>
          </w:p>
        </w:tc>
        <w:tc>
          <w:tcPr>
            <w:tcW w:w="1004"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w:t>
            </w:r>
          </w:p>
        </w:tc>
        <w:tc>
          <w:tcPr>
            <w:tcW w:w="1462" w:type="dxa"/>
            <w:tcBorders/>
            <w:vAlign w:val="center"/>
          </w:tcPr>
          <w:p>
            <w:pPr>
              <w:pStyle w:val="TableContents"/>
              <w:bidi w:val="0"/>
              <w:spacing w:before="0" w:after="283"/>
              <w:jc w:val="right"/>
              <w:rPr/>
            </w:pPr>
            <w:r>
              <w:rPr/>
              <w:t>2,247,024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283"/>
              <w:jc w:val="left"/>
              <w:rPr/>
            </w:pPr>
            <w:r>
              <w:rPr/>
              <w:t> </w:t>
            </w:r>
          </w:p>
        </w:tc>
        <w:tc>
          <w:tcPr>
            <w:tcW w:w="882"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5,647,411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4,074,191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4,774,191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2920" w:type="dxa"/>
        <w:jc w:val="left"/>
        <w:tblInd w:w="0" w:type="dxa"/>
        <w:tblLayout w:type="fixed"/>
        <w:tblCellMar>
          <w:top w:w="0" w:type="dxa"/>
          <w:left w:w="0" w:type="dxa"/>
          <w:bottom w:w="0" w:type="dxa"/>
          <w:right w:w="0" w:type="dxa"/>
        </w:tblCellMar>
      </w:tblPr>
      <w:tblGrid>
        <w:gridCol w:w="305"/>
        <w:gridCol w:w="2615"/>
      </w:tblGrid>
      <w:tr>
        <w:trPr/>
        <w:tc>
          <w:tcPr>
            <w:tcW w:w="305" w:type="dxa"/>
            <w:tcBorders/>
            <w:vAlign w:val="center"/>
          </w:tcPr>
          <w:p>
            <w:pPr>
              <w:pStyle w:val="TableContents"/>
              <w:bidi w:val="0"/>
              <w:spacing w:before="0" w:after="283"/>
              <w:jc w:val="left"/>
              <w:rPr/>
            </w:pPr>
            <w:r>
              <w:rPr/>
              <w:t>(1)</w:t>
            </w:r>
          </w:p>
        </w:tc>
        <w:tc>
          <w:tcPr>
            <w:tcW w:w="2615" w:type="dxa"/>
            <w:tcBorders/>
            <w:vAlign w:val="center"/>
          </w:tcPr>
          <w:p>
            <w:pPr>
              <w:pStyle w:val="TableContents"/>
              <w:bidi w:val="0"/>
              <w:spacing w:before="0" w:after="0"/>
              <w:jc w:val="left"/>
              <w:rPr>
                <w:rFonts w:ascii="ARIAL" w:hAnsi="ARIAL"/>
                <w:sz w:val="14"/>
              </w:rPr>
            </w:pPr>
            <w:r>
              <w:rPr>
                <w:rFonts w:ascii="ARIAL" w:hAnsi="ARIAL"/>
                <w:sz w:val="14"/>
              </w:rPr>
              <w:t xml:space="preserve">None of the NEOs are retirement eligible.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(2)</w:t>
            </w:r>
          </w:p>
        </w:tc>
        <w:tc>
          <w:tcPr>
            <w:tcW w:w="9955" w:type="dxa"/>
            <w:tcBorders/>
            <w:vAlign w:val="center"/>
          </w:tcPr>
          <w:p>
            <w:pPr>
              <w:pStyle w:val="TableContents"/>
              <w:bidi w:val="0"/>
              <w:spacing w:before="0" w:after="0"/>
              <w:jc w:val="left"/>
              <w:rPr>
                <w:rFonts w:ascii="ARIAL" w:hAnsi="ARIAL"/>
                <w:sz w:val="14"/>
              </w:rPr>
            </w:pPr>
            <w:r>
              <w:rPr>
                <w:rFonts w:ascii="ARIAL" w:hAnsi="ARIAL"/>
                <w:sz w:val="14"/>
              </w:rPr>
              <w:t xml:space="preserve">Under Disability, amounts represent the value to be paid to respective executive under Fortrea’s short and long-term disability plans. Fortrea’s short-term disability allows for 100% of the executive’s salary to be paid for 6 months. Fortrea’s supplemental long-term disability program, which the NEOs are eligible for, allows for a payment of up to $25,000 per month, with the maximum benefit to be determined by the length of eligibility and age. For the sake of this calculation, a term of one year has been used to determine the amount paid to the executive.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(3)</w:t>
            </w:r>
          </w:p>
        </w:tc>
        <w:tc>
          <w:tcPr>
            <w:tcW w:w="9908" w:type="dxa"/>
            <w:tcBorders/>
            <w:vAlign w:val="center"/>
          </w:tcPr>
          <w:p>
            <w:pPr>
              <w:pStyle w:val="TableContents"/>
              <w:bidi w:val="0"/>
              <w:spacing w:before="0" w:after="0"/>
              <w:jc w:val="left"/>
              <w:rPr>
                <w:rFonts w:ascii="ARIAL" w:hAnsi="ARIAL"/>
                <w:sz w:val="14"/>
              </w:rPr>
            </w:pPr>
            <w:r>
              <w:rPr>
                <w:rFonts w:ascii="ARIAL" w:hAnsi="ARIAL"/>
                <w:sz w:val="14"/>
              </w:rPr>
              <w:t xml:space="preserve">Under Death, amount represents the death benefit under Fortrea’s company-sponsored life insurance plan - 2x an executive’s annual base pay with a maximum of $1.5 million.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305"/>
        <w:gridCol w:w="6260"/>
      </w:tblGrid>
      <w:tr>
        <w:trPr/>
        <w:tc>
          <w:tcPr>
            <w:tcW w:w="305" w:type="dxa"/>
            <w:tcBorders/>
            <w:vAlign w:val="center"/>
          </w:tcPr>
          <w:p>
            <w:pPr>
              <w:pStyle w:val="TableContents"/>
              <w:bidi w:val="0"/>
              <w:spacing w:before="0" w:after="283"/>
              <w:jc w:val="left"/>
              <w:rPr/>
            </w:pPr>
            <w:r>
              <w:rPr/>
              <w:t>(4)</w:t>
            </w:r>
          </w:p>
        </w:tc>
        <w:tc>
          <w:tcPr>
            <w:tcW w:w="6260" w:type="dxa"/>
            <w:tcBorders/>
            <w:vAlign w:val="center"/>
          </w:tcPr>
          <w:p>
            <w:pPr>
              <w:pStyle w:val="TableContents"/>
              <w:bidi w:val="0"/>
              <w:spacing w:before="0" w:after="0"/>
              <w:jc w:val="left"/>
              <w:rPr>
                <w:rFonts w:ascii="ARIAL" w:hAnsi="ARIAL"/>
                <w:sz w:val="14"/>
              </w:rPr>
            </w:pPr>
            <w:r>
              <w:rPr>
                <w:rFonts w:ascii="ARIAL" w:hAnsi="ARIAL"/>
                <w:sz w:val="14"/>
              </w:rPr>
              <w:t xml:space="preserve">Amounts represented by RSUs include 2021 and 2022 PSAs that converted to RSUs at time of Spin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(5)</w:t>
            </w:r>
          </w:p>
        </w:tc>
        <w:tc>
          <w:tcPr>
            <w:tcW w:w="9950" w:type="dxa"/>
            <w:tcBorders/>
            <w:vAlign w:val="center"/>
          </w:tcPr>
          <w:p>
            <w:pPr>
              <w:pStyle w:val="TableContents"/>
              <w:bidi w:val="0"/>
              <w:spacing w:before="0" w:after="0"/>
              <w:jc w:val="left"/>
              <w:rPr>
                <w:rFonts w:ascii="ARIAL" w:hAnsi="ARIAL"/>
                <w:sz w:val="14"/>
              </w:rPr>
            </w:pPr>
            <w:r>
              <w:rPr>
                <w:rFonts w:ascii="ARIAL" w:hAnsi="ARIAL"/>
                <w:sz w:val="14"/>
              </w:rPr>
              <w:t xml:space="preserve">Under Involuntary Not for Cause or Good Reason as well as Change-in-Control, Health &amp; Welfare represent one year of reimbursement of executive for COBRA coverage for medical, dental and vision, an additional Medical Stipend which was determined to be $17,773 for Ms. McConnell and $8,795 for Mr. Morais. Per his employment agreement, Mr. Pike is not eligible for these benefits in the event of these two termination scenarios.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(6)</w:t>
            </w:r>
          </w:p>
        </w:tc>
        <w:tc>
          <w:tcPr>
            <w:tcW w:w="9909" w:type="dxa"/>
            <w:tcBorders/>
            <w:vAlign w:val="center"/>
          </w:tcPr>
          <w:p>
            <w:pPr>
              <w:pStyle w:val="TableContents"/>
              <w:bidi w:val="0"/>
              <w:spacing w:before="0" w:after="0"/>
              <w:jc w:val="left"/>
              <w:rPr>
                <w:rFonts w:ascii="ARIAL" w:hAnsi="ARIAL"/>
                <w:sz w:val="14"/>
              </w:rPr>
            </w:pPr>
            <w:r>
              <w:rPr>
                <w:rFonts w:ascii="ARIAL" w:hAnsi="ARIAL"/>
                <w:sz w:val="14"/>
              </w:rPr>
              <w:t xml:space="preserve">Any executive perquisites are cancelled effective date of separation. However, executives are eligible for reimbursement of eligible expenses up to effective date of termination.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44</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4"/>
          <w:shd w:fill="FFFFFF" w:val="clear"/>
        </w:rPr>
      </w:pPr>
      <w:r>
        <w:rPr>
          <w:rFonts w:ascii="Times New Roman" w:hAnsi="Times New Roman"/>
          <w:b/>
          <w:sz w:val="24"/>
          <w:shd w:fill="FFFFFF" w:val="clear"/>
        </w:rPr>
        <w:t xml:space="preserve">EXECUTIVE COMPENSATION </w:t>
      </w:r>
    </w:p>
    <w:p>
      <w:pPr>
        <w:pStyle w:val="TextBody"/>
        <w:bidi w:val="0"/>
        <w:spacing w:before="0" w:after="0"/>
        <w:jc w:val="left"/>
        <w:rPr>
          <w:shd w:fill="FFFFFF" w:val="clear"/>
        </w:rPr>
      </w:pPr>
      <w:r>
        <w:rPr>
          <w:shd w:fill="FFFFFF" w:val="clea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sz w:val="28"/>
        </w:rPr>
      </w:pPr>
      <w:r>
        <w:rPr>
          <w:rFonts w:ascii="ARIAL" w:hAnsi="ARIAL"/>
          <w:sz w:val="28"/>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0"/>
        <w:jc w:val="left"/>
        <w:rPr>
          <w:rFonts w:ascii="ARIAL" w:hAnsi="ARIAL"/>
          <w:sz w:val="18"/>
          <w:shd w:fill="FFFFFF" w:val="clear"/>
        </w:rPr>
      </w:pPr>
      <w:r>
        <w:rPr>
          <w:rFonts w:ascii="ARIAL" w:hAnsi="ARIAL"/>
          <w:sz w:val="18"/>
          <w:shd w:fill="FFFFFF" w:val="clear"/>
        </w:rPr>
        <w:t xml:space="preserve">The disclosure included in this section is prescribed by SEC rules and does not necessarily align with how the Company or the Fortrea MDCC views the link between our performance and our NEOs’ pay. For a discussion of how the Company views its executive compensation structure, including alignment with Company performance, see the Compensation Discussion and Analysis beginning on page 25. Due to the mid-year timing of our separation from Labcorp, many of the decisions impacting our 2023 NEO compensation were made by Labcorp and were grounded in Labcorp’s compensation philosophy, programs and policies. Moving forward from July 1, 2023, using the information, procedures and policies developed by Labcorp, the Fortrea MDCC and our Board of Directors makes independent decisions related to compensation. The Fortrea MDCC did not consider the pay versus performance disclosure below in making its pay decisions. </w:t>
      </w:r>
    </w:p>
    <w:p>
      <w:pPr>
        <w:pStyle w:val="TextBody"/>
        <w:bidi w:val="0"/>
        <w:spacing w:before="160" w:after="0"/>
        <w:jc w:val="left"/>
        <w:rPr>
          <w:rFonts w:ascii="ARIAL" w:hAnsi="ARIAL"/>
          <w:sz w:val="18"/>
          <w:shd w:fill="FFFFFF" w:val="clear"/>
        </w:rPr>
      </w:pPr>
      <w:r>
        <w:rPr>
          <w:rFonts w:ascii="ARIAL" w:hAnsi="ARIAL"/>
          <w:sz w:val="18"/>
          <w:shd w:fill="FFFFFF" w:val="clear"/>
        </w:rPr>
        <w:t xml:space="preserve">In accordance with SEC rules, the following table sets forth information concerning compensation actually paid (“CAP”), Total Shareholder Return (“TSR”), Net Income, and Adjusted EBITDA. These disclosures and the calculating of CAP is required by the SEC’s rules. Neither CAP nor the amount reported in the Summary Compensation Table (“SCT”) reflect the amount of compensation actually paid, earned or received during the applicable year. Per SEC rules, CAP was calculated by adjusting SCT Total values for the applicable year as described in the footnotes to the following table. </w:t>
      </w:r>
    </w:p>
    <w:p>
      <w:pPr>
        <w:pStyle w:val="TextBody"/>
        <w:bidi w:val="0"/>
        <w:spacing w:before="0" w:after="0"/>
        <w:jc w:val="left"/>
        <w:rPr>
          <w:shd w:fill="FFFFFF" w:val="clear"/>
        </w:rPr>
      </w:pPr>
      <w:r>
        <w:rPr>
          <w:shd w:fill="FFFFFF" w:val="clear"/>
        </w:rPr>
        <w:t> </w:t>
      </w:r>
    </w:p>
    <w:tbl>
      <w:tblPr>
        <w:tblW w:w="12871" w:type="dxa"/>
        <w:jc w:val="left"/>
        <w:tblInd w:w="0" w:type="dxa"/>
        <w:tblLayout w:type="fixed"/>
        <w:tblCellMar>
          <w:top w:w="0" w:type="dxa"/>
          <w:left w:w="0" w:type="dxa"/>
          <w:bottom w:w="0" w:type="dxa"/>
          <w:right w:w="0" w:type="dxa"/>
        </w:tblCellMar>
      </w:tblPr>
      <w:tblGrid>
        <w:gridCol w:w="635"/>
        <w:gridCol w:w="120"/>
        <w:gridCol w:w="159"/>
        <w:gridCol w:w="1256"/>
        <w:gridCol w:w="60"/>
        <w:gridCol w:w="120"/>
        <w:gridCol w:w="171"/>
        <w:gridCol w:w="1349"/>
        <w:gridCol w:w="60"/>
        <w:gridCol w:w="120"/>
        <w:gridCol w:w="223"/>
        <w:gridCol w:w="1567"/>
        <w:gridCol w:w="60"/>
        <w:gridCol w:w="120"/>
        <w:gridCol w:w="201"/>
        <w:gridCol w:w="1409"/>
        <w:gridCol w:w="60"/>
        <w:gridCol w:w="120"/>
        <w:gridCol w:w="220"/>
        <w:gridCol w:w="1075"/>
        <w:gridCol w:w="93"/>
        <w:gridCol w:w="187"/>
        <w:gridCol w:w="218"/>
        <w:gridCol w:w="1063"/>
        <w:gridCol w:w="60"/>
        <w:gridCol w:w="120"/>
        <w:gridCol w:w="415"/>
        <w:gridCol w:w="415"/>
        <w:gridCol w:w="155"/>
        <w:gridCol w:w="60"/>
        <w:gridCol w:w="243"/>
        <w:gridCol w:w="662"/>
        <w:gridCol w:w="75"/>
      </w:tblGrid>
      <w:tr>
        <w:trPr/>
        <w:tc>
          <w:tcPr>
            <w:tcW w:w="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35" w:type="dxa"/>
            <w:tcBorders>
              <w:top w:val="single" w:sz="6" w:space="0" w:color="000000"/>
            </w:tcBorders>
            <w:shd w:fill="0BC11C" w:val="clear"/>
            <w:tcMar>
              <w:top w:w="28" w:type="dxa"/>
            </w:tcMar>
            <w:vAlign w:val="center"/>
          </w:tcPr>
          <w:p>
            <w:pPr>
              <w:pStyle w:val="TableContents"/>
              <w:bidi w:val="0"/>
              <w:spacing w:before="0" w:after="283"/>
              <w:jc w:val="left"/>
              <w:rPr/>
            </w:pPr>
            <w:r>
              <w:rPr/>
              <w:t> </w:t>
            </w:r>
          </w:p>
        </w:tc>
        <w:tc>
          <w:tcPr>
            <w:tcW w:w="1595" w:type="dxa"/>
            <w:gridSpan w:val="4"/>
            <w:tcBorders>
              <w:top w:val="single" w:sz="6" w:space="0" w:color="000000"/>
            </w:tcBorders>
            <w:shd w:fill="0BC11C" w:val="clear"/>
            <w:tcMar>
              <w:top w:w="28" w:type="dxa"/>
            </w:tcMar>
            <w:vAlign w:val="center"/>
          </w:tcPr>
          <w:p>
            <w:pPr>
              <w:pStyle w:val="TableContents"/>
              <w:bidi w:val="0"/>
              <w:spacing w:before="0" w:after="283"/>
              <w:jc w:val="left"/>
              <w:rPr/>
            </w:pPr>
            <w:r>
              <w:rPr/>
              <w:t> </w:t>
            </w:r>
          </w:p>
        </w:tc>
        <w:tc>
          <w:tcPr>
            <w:tcW w:w="1700" w:type="dxa"/>
            <w:gridSpan w:val="4"/>
            <w:tcBorders>
              <w:top w:val="single" w:sz="6" w:space="0" w:color="000000"/>
            </w:tcBorders>
            <w:shd w:fill="0BC11C" w:val="clear"/>
            <w:tcMar>
              <w:top w:w="28" w:type="dxa"/>
            </w:tcMar>
            <w:vAlign w:val="center"/>
          </w:tcPr>
          <w:p>
            <w:pPr>
              <w:pStyle w:val="TableContents"/>
              <w:bidi w:val="0"/>
              <w:spacing w:before="0" w:after="283"/>
              <w:jc w:val="left"/>
              <w:rPr/>
            </w:pPr>
            <w:r>
              <w:rPr/>
              <w:t> </w:t>
            </w:r>
          </w:p>
        </w:tc>
        <w:tc>
          <w:tcPr>
            <w:tcW w:w="1970" w:type="dxa"/>
            <w:gridSpan w:val="4"/>
            <w:tcBorders>
              <w:top w:val="single" w:sz="6" w:space="0" w:color="000000"/>
            </w:tcBorders>
            <w:shd w:fill="0BC11C" w:val="clear"/>
            <w:tcMar>
              <w:top w:w="28" w:type="dxa"/>
            </w:tcMar>
            <w:vAlign w:val="center"/>
          </w:tcPr>
          <w:p>
            <w:pPr>
              <w:pStyle w:val="TableContents"/>
              <w:bidi w:val="0"/>
              <w:spacing w:before="0" w:after="283"/>
              <w:jc w:val="left"/>
              <w:rPr/>
            </w:pPr>
            <w:r>
              <w:rPr/>
              <w:t> </w:t>
            </w:r>
          </w:p>
        </w:tc>
        <w:tc>
          <w:tcPr>
            <w:tcW w:w="1790" w:type="dxa"/>
            <w:gridSpan w:val="4"/>
            <w:tcBorders>
              <w:top w:val="single" w:sz="6" w:space="0" w:color="000000"/>
            </w:tcBorders>
            <w:shd w:fill="0BC11C" w:val="clear"/>
            <w:tcMar>
              <w:top w:w="28" w:type="dxa"/>
            </w:tcMar>
            <w:vAlign w:val="center"/>
          </w:tcPr>
          <w:p>
            <w:pPr>
              <w:pStyle w:val="TableContents"/>
              <w:bidi w:val="0"/>
              <w:spacing w:before="0" w:after="283"/>
              <w:jc w:val="left"/>
              <w:rPr/>
            </w:pPr>
            <w:r>
              <w:rPr/>
              <w:t> </w:t>
            </w:r>
          </w:p>
        </w:tc>
        <w:tc>
          <w:tcPr>
            <w:tcW w:w="3036" w:type="dxa"/>
            <w:gridSpan w:val="8"/>
            <w:tcBorders>
              <w:top w:val="single" w:sz="6" w:space="0" w:color="000000"/>
            </w:tcBorders>
            <w:shd w:fill="0BC11C" w:val="clear"/>
            <w:tcMar>
              <w:top w:w="28" w:type="dxa"/>
            </w:tcMar>
            <w:vAlign w:val="center"/>
          </w:tcPr>
          <w:p>
            <w:pPr>
              <w:pStyle w:val="TableContents"/>
              <w:bidi w:val="0"/>
              <w:spacing w:before="0" w:after="283"/>
              <w:jc w:val="left"/>
              <w:rPr/>
            </w:pPr>
            <w:r>
              <w:rPr/>
              <w:t> </w:t>
            </w:r>
          </w:p>
        </w:tc>
        <w:tc>
          <w:tcPr>
            <w:tcW w:w="1105" w:type="dxa"/>
            <w:gridSpan w:val="4"/>
            <w:tcBorders>
              <w:top w:val="single" w:sz="6" w:space="0" w:color="000000"/>
            </w:tcBorders>
            <w:shd w:fill="0BC11C" w:val="clear"/>
            <w:tcMar>
              <w:top w:w="28" w:type="dxa"/>
            </w:tcMar>
            <w:vAlign w:val="center"/>
          </w:tcPr>
          <w:p>
            <w:pPr>
              <w:pStyle w:val="TableContents"/>
              <w:bidi w:val="0"/>
              <w:spacing w:before="0" w:after="283"/>
              <w:jc w:val="left"/>
              <w:rPr/>
            </w:pPr>
            <w:r>
              <w:rPr/>
              <w:t> </w:t>
            </w:r>
          </w:p>
        </w:tc>
        <w:tc>
          <w:tcPr>
            <w:tcW w:w="1040" w:type="dxa"/>
            <w:gridSpan w:val="4"/>
            <w:tcBorders>
              <w:top w:val="single" w:sz="6" w:space="0" w:color="000000"/>
            </w:tcBorders>
            <w:shd w:fill="0BC11C" w:val="clear"/>
            <w:tcMar>
              <w:top w:w="28" w:type="dxa"/>
            </w:tcMar>
            <w:vAlign w:val="center"/>
          </w:tcPr>
          <w:p>
            <w:pPr>
              <w:pStyle w:val="TableContents"/>
              <w:bidi w:val="0"/>
              <w:spacing w:before="0" w:after="283"/>
              <w:jc w:val="left"/>
              <w:rPr/>
            </w:pPr>
            <w:r>
              <w:rPr/>
              <w:t> </w:t>
            </w:r>
          </w:p>
        </w:tc>
      </w:tr>
      <w:tr>
        <w:trPr/>
        <w:tc>
          <w:tcPr>
            <w:tcW w:w="635" w:type="dxa"/>
            <w:tcBorders/>
            <w:shd w:fill="0BC11C"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120" w:type="dxa"/>
            <w:tcBorders/>
            <w:shd w:fill="0BC11C" w:val="clear"/>
            <w:vAlign w:val="center"/>
          </w:tcPr>
          <w:p>
            <w:pPr>
              <w:pStyle w:val="TableContents"/>
              <w:bidi w:val="0"/>
              <w:spacing w:before="0" w:after="283"/>
              <w:jc w:val="left"/>
              <w:rPr/>
            </w:pPr>
            <w:r>
              <w:rPr/>
              <w:t>  </w:t>
            </w:r>
          </w:p>
        </w:tc>
        <w:tc>
          <w:tcPr>
            <w:tcW w:w="1415" w:type="dxa"/>
            <w:gridSpan w:val="2"/>
            <w:tcBorders/>
            <w:shd w:fill="0BC11C"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1520" w:type="dxa"/>
            <w:gridSpan w:val="2"/>
            <w:tcBorders/>
            <w:shd w:fill="0BC11C"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1790" w:type="dxa"/>
            <w:gridSpan w:val="2"/>
            <w:tcBorders/>
            <w:shd w:fill="0BC11C"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1610" w:type="dxa"/>
            <w:gridSpan w:val="2"/>
            <w:tcBorders/>
            <w:shd w:fill="0BC11C"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2856" w:type="dxa"/>
            <w:gridSpan w:val="6"/>
            <w:tcBorders/>
            <w:shd w:fill="0BC11C" w:val="clear"/>
            <w:vAlign w:val="center"/>
          </w:tcPr>
          <w:p>
            <w:pPr>
              <w:pStyle w:val="TableContents"/>
              <w:bidi w:val="0"/>
              <w:spacing w:before="0" w:after="0"/>
              <w:jc w:val="center"/>
              <w:rPr>
                <w:b/>
                <w:color w:val="FFFFFF"/>
                <w:spacing w:val="0"/>
              </w:rPr>
            </w:pPr>
            <w:r>
              <w:rPr>
                <w:b/>
                <w:color w:val="FFFFFF"/>
                <w:spacing w:val="0"/>
              </w:rPr>
              <w:t>VALUE OF INITIAL $100</w:t>
              <w:br/>
              <w:t>INVESTMENT BASED</w:t>
              <w:br/>
              <w:t>ON:</w:t>
            </w:r>
          </w:p>
          <w:p>
            <w:pPr>
              <w:pStyle w:val="TableContents"/>
              <w:bidi w:val="0"/>
              <w:spacing w:before="0" w:after="0"/>
              <w:jc w:val="center"/>
              <w:rPr>
                <w:b/>
                <w:color w:val="FFFFFF"/>
                <w:spacing w:val="0"/>
                <w:sz w:val="9"/>
              </w:rPr>
            </w:pPr>
            <w:r>
              <w:rPr>
                <w:b/>
                <w:color w:val="FFFFFF"/>
                <w:spacing w:val="0"/>
                <w:sz w:val="9"/>
              </w:rPr>
              <w:t>(4)</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830" w:type="dxa"/>
            <w:gridSpan w:val="2"/>
            <w:tcBorders/>
            <w:shd w:fill="0BC11C"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155"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905" w:type="dxa"/>
            <w:gridSpan w:val="2"/>
            <w:tcBorders/>
            <w:shd w:fill="0BC11C" w:val="clear"/>
            <w:vAlign w:val="center"/>
          </w:tcPr>
          <w:p>
            <w:pPr>
              <w:pStyle w:val="TableContents"/>
              <w:bidi w:val="0"/>
              <w:spacing w:before="0" w:after="0"/>
              <w:jc w:val="left"/>
              <w:rPr/>
            </w:pPr>
            <w:r>
              <w:rPr/>
              <w:t> </w:t>
            </w:r>
          </w:p>
          <w:p>
            <w:pPr>
              <w:pStyle w:val="TableContents"/>
              <w:bidi w:val="0"/>
              <w:spacing w:before="0" w:after="0"/>
              <w:jc w:val="left"/>
              <w:rPr/>
            </w:pPr>
            <w:r>
              <w:rPr/>
              <w:t> </w:t>
            </w:r>
          </w:p>
        </w:tc>
        <w:tc>
          <w:tcPr>
            <w:tcW w:w="75" w:type="dxa"/>
            <w:tcBorders/>
            <w:shd w:fill="0BC11C" w:val="clear"/>
            <w:vAlign w:val="center"/>
          </w:tcPr>
          <w:p>
            <w:pPr>
              <w:pStyle w:val="TableContents"/>
              <w:bidi w:val="0"/>
              <w:spacing w:before="0" w:after="283"/>
              <w:jc w:val="left"/>
              <w:rPr/>
            </w:pPr>
            <w:r>
              <w:rPr/>
              <w:t> </w:t>
            </w:r>
          </w:p>
        </w:tc>
      </w:tr>
      <w:tr>
        <w:trPr/>
        <w:tc>
          <w:tcPr>
            <w:tcW w:w="635" w:type="dxa"/>
            <w:tcBorders/>
            <w:shd w:fill="0BC11C" w:val="clear"/>
            <w:vAlign w:val="center"/>
          </w:tcPr>
          <w:p>
            <w:pPr>
              <w:pStyle w:val="TableContents"/>
              <w:bidi w:val="0"/>
              <w:spacing w:before="0" w:after="283"/>
              <w:jc w:val="left"/>
              <w:rPr>
                <w:sz w:val="4"/>
                <w:szCs w:val="4"/>
              </w:rPr>
            </w:pPr>
            <w:r>
              <w:rPr>
                <w:sz w:val="4"/>
                <w:szCs w:val="4"/>
              </w:rPr>
            </w:r>
          </w:p>
        </w:tc>
        <w:tc>
          <w:tcPr>
            <w:tcW w:w="1595" w:type="dxa"/>
            <w:gridSpan w:val="4"/>
            <w:tcBorders/>
            <w:shd w:fill="0BC11C" w:val="clear"/>
            <w:vAlign w:val="center"/>
          </w:tcPr>
          <w:p>
            <w:pPr>
              <w:pStyle w:val="TableContents"/>
              <w:bidi w:val="0"/>
              <w:spacing w:before="0" w:after="283"/>
              <w:jc w:val="left"/>
              <w:rPr>
                <w:sz w:val="4"/>
                <w:szCs w:val="4"/>
              </w:rPr>
            </w:pPr>
            <w:r>
              <w:rPr>
                <w:sz w:val="4"/>
                <w:szCs w:val="4"/>
              </w:rPr>
            </w:r>
          </w:p>
        </w:tc>
        <w:tc>
          <w:tcPr>
            <w:tcW w:w="1700" w:type="dxa"/>
            <w:gridSpan w:val="4"/>
            <w:tcBorders/>
            <w:shd w:fill="0BC11C" w:val="clear"/>
            <w:vAlign w:val="center"/>
          </w:tcPr>
          <w:p>
            <w:pPr>
              <w:pStyle w:val="TableContents"/>
              <w:bidi w:val="0"/>
              <w:spacing w:before="0" w:after="283"/>
              <w:jc w:val="left"/>
              <w:rPr>
                <w:sz w:val="4"/>
                <w:szCs w:val="4"/>
              </w:rPr>
            </w:pPr>
            <w:r>
              <w:rPr>
                <w:sz w:val="4"/>
                <w:szCs w:val="4"/>
              </w:rPr>
            </w:r>
          </w:p>
        </w:tc>
        <w:tc>
          <w:tcPr>
            <w:tcW w:w="1970" w:type="dxa"/>
            <w:gridSpan w:val="4"/>
            <w:tcBorders/>
            <w:shd w:fill="0BC11C" w:val="clear"/>
            <w:vAlign w:val="center"/>
          </w:tcPr>
          <w:p>
            <w:pPr>
              <w:pStyle w:val="TableContents"/>
              <w:bidi w:val="0"/>
              <w:spacing w:before="0" w:after="283"/>
              <w:jc w:val="left"/>
              <w:rPr>
                <w:sz w:val="4"/>
                <w:szCs w:val="4"/>
              </w:rPr>
            </w:pPr>
            <w:r>
              <w:rPr>
                <w:sz w:val="4"/>
                <w:szCs w:val="4"/>
              </w:rPr>
            </w:r>
          </w:p>
        </w:tc>
        <w:tc>
          <w:tcPr>
            <w:tcW w:w="1790" w:type="dxa"/>
            <w:gridSpan w:val="4"/>
            <w:tcBorders/>
            <w:shd w:fill="0BC11C" w:val="clear"/>
            <w:vAlign w:val="center"/>
          </w:tcPr>
          <w:p>
            <w:pPr>
              <w:pStyle w:val="TableContents"/>
              <w:bidi w:val="0"/>
              <w:spacing w:before="0" w:after="283"/>
              <w:jc w:val="left"/>
              <w:rPr>
                <w:sz w:val="4"/>
                <w:szCs w:val="4"/>
              </w:rPr>
            </w:pPr>
            <w:r>
              <w:rPr>
                <w:sz w:val="4"/>
                <w:szCs w:val="4"/>
              </w:rPr>
            </w:r>
          </w:p>
        </w:tc>
        <w:tc>
          <w:tcPr>
            <w:tcW w:w="1508" w:type="dxa"/>
            <w:gridSpan w:val="4"/>
            <w:tcBorders/>
            <w:shd w:fill="0BC11C" w:val="clear"/>
            <w:vAlign w:val="center"/>
          </w:tcPr>
          <w:p>
            <w:pPr>
              <w:pStyle w:val="TableContents"/>
              <w:bidi w:val="0"/>
              <w:spacing w:before="0" w:after="283"/>
              <w:jc w:val="left"/>
              <w:rPr>
                <w:sz w:val="4"/>
                <w:szCs w:val="4"/>
              </w:rPr>
            </w:pPr>
            <w:r>
              <w:rPr>
                <w:sz w:val="4"/>
                <w:szCs w:val="4"/>
              </w:rPr>
            </w:r>
          </w:p>
        </w:tc>
        <w:tc>
          <w:tcPr>
            <w:tcW w:w="1528" w:type="dxa"/>
            <w:gridSpan w:val="4"/>
            <w:tcBorders/>
            <w:shd w:fill="0BC11C" w:val="clear"/>
            <w:vAlign w:val="center"/>
          </w:tcPr>
          <w:p>
            <w:pPr>
              <w:pStyle w:val="TableContents"/>
              <w:bidi w:val="0"/>
              <w:spacing w:before="0" w:after="283"/>
              <w:jc w:val="left"/>
              <w:rPr>
                <w:sz w:val="4"/>
                <w:szCs w:val="4"/>
              </w:rPr>
            </w:pPr>
            <w:r>
              <w:rPr>
                <w:sz w:val="4"/>
                <w:szCs w:val="4"/>
              </w:rPr>
            </w:r>
          </w:p>
        </w:tc>
        <w:tc>
          <w:tcPr>
            <w:tcW w:w="1105" w:type="dxa"/>
            <w:gridSpan w:val="4"/>
            <w:tcBorders/>
            <w:shd w:fill="0BC11C" w:val="clear"/>
            <w:vAlign w:val="center"/>
          </w:tcPr>
          <w:p>
            <w:pPr>
              <w:pStyle w:val="TableContents"/>
              <w:bidi w:val="0"/>
              <w:spacing w:before="0" w:after="283"/>
              <w:jc w:val="left"/>
              <w:rPr>
                <w:sz w:val="4"/>
                <w:szCs w:val="4"/>
              </w:rPr>
            </w:pPr>
            <w:r>
              <w:rPr>
                <w:sz w:val="4"/>
                <w:szCs w:val="4"/>
              </w:rPr>
            </w:r>
          </w:p>
        </w:tc>
        <w:tc>
          <w:tcPr>
            <w:tcW w:w="1040" w:type="dxa"/>
            <w:gridSpan w:val="4"/>
            <w:tcBorders/>
            <w:shd w:fill="0BC11C" w:val="clear"/>
            <w:vAlign w:val="center"/>
          </w:tcPr>
          <w:p>
            <w:pPr>
              <w:pStyle w:val="TableContents"/>
              <w:bidi w:val="0"/>
              <w:spacing w:before="0" w:after="283"/>
              <w:jc w:val="left"/>
              <w:rPr>
                <w:sz w:val="4"/>
                <w:szCs w:val="4"/>
              </w:rPr>
            </w:pPr>
            <w:r>
              <w:rPr>
                <w:sz w:val="4"/>
                <w:szCs w:val="4"/>
              </w:rPr>
            </w:r>
          </w:p>
        </w:tc>
      </w:tr>
      <w:tr>
        <w:trPr/>
        <w:tc>
          <w:tcPr>
            <w:tcW w:w="635" w:type="dxa"/>
            <w:tcBorders>
              <w:bottom w:val="single" w:sz="6" w:space="0" w:color="000000"/>
            </w:tcBorders>
            <w:shd w:fill="0BC11C" w:val="clear"/>
            <w:tcMar>
              <w:bottom w:w="60" w:type="dxa"/>
            </w:tcMar>
            <w:vAlign w:val="center"/>
          </w:tcPr>
          <w:p>
            <w:pPr>
              <w:pStyle w:val="TableContents"/>
              <w:bidi w:val="0"/>
              <w:spacing w:before="0" w:after="0"/>
              <w:jc w:val="left"/>
              <w:rPr>
                <w:rFonts w:ascii="ARIAL" w:hAnsi="ARIAL"/>
                <w:b/>
                <w:color w:val="FFFFFF"/>
                <w:spacing w:val="0"/>
                <w:sz w:val="16"/>
              </w:rPr>
            </w:pPr>
            <w:r>
              <w:rPr>
                <w:rFonts w:ascii="ARIAL" w:hAnsi="ARIAL"/>
                <w:b/>
                <w:color w:val="FFFFFF"/>
                <w:spacing w:val="0"/>
                <w:sz w:val="16"/>
              </w:rPr>
              <w:t>FISCAL</w:t>
            </w:r>
          </w:p>
          <w:p>
            <w:pPr>
              <w:pStyle w:val="TableContents"/>
              <w:bidi w:val="0"/>
              <w:spacing w:before="0" w:after="20"/>
              <w:jc w:val="left"/>
              <w:rPr>
                <w:rFonts w:ascii="ARIAL" w:hAnsi="ARIAL"/>
                <w:b/>
                <w:color w:val="FFFFFF"/>
                <w:spacing w:val="0"/>
                <w:sz w:val="16"/>
              </w:rPr>
            </w:pPr>
            <w:r>
              <w:rPr>
                <w:rFonts w:ascii="ARIAL" w:hAnsi="ARIAL"/>
                <w:b/>
                <w:color w:val="FFFFFF"/>
                <w:spacing w:val="0"/>
                <w:sz w:val="16"/>
              </w:rPr>
              <w:t>YEAR</w:t>
            </w:r>
          </w:p>
          <w:p>
            <w:pPr>
              <w:pStyle w:val="TableContents"/>
              <w:bidi w:val="0"/>
              <w:spacing w:before="0" w:after="20"/>
              <w:jc w:val="left"/>
              <w:rPr>
                <w:rFonts w:ascii="ARIAL" w:hAnsi="ARIAL"/>
                <w:b/>
                <w:color w:val="FFFFFF"/>
                <w:spacing w:val="0"/>
                <w:sz w:val="9"/>
              </w:rPr>
            </w:pPr>
            <w:r>
              <w:rPr>
                <w:rFonts w:ascii="ARIAL" w:hAnsi="ARIAL"/>
                <w:b/>
                <w:color w:val="FFFFFF"/>
                <w:spacing w:val="0"/>
                <w:sz w:val="9"/>
              </w:rPr>
              <w:t>(1)</w:t>
            </w:r>
          </w:p>
        </w:tc>
        <w:tc>
          <w:tcPr>
            <w:tcW w:w="12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415" w:type="dxa"/>
            <w:gridSpan w:val="2"/>
            <w:tcBorders>
              <w:bottom w:val="single" w:sz="6" w:space="0" w:color="000000"/>
            </w:tcBorders>
            <w:shd w:fill="0BC11C" w:val="clear"/>
            <w:tcMar>
              <w:bottom w:w="60" w:type="dxa"/>
            </w:tcMar>
            <w:vAlign w:val="center"/>
          </w:tcPr>
          <w:p>
            <w:pPr>
              <w:pStyle w:val="TableContents"/>
              <w:bidi w:val="0"/>
              <w:spacing w:before="0" w:after="0"/>
              <w:jc w:val="center"/>
              <w:rPr>
                <w:b/>
                <w:color w:val="FFFFFF"/>
                <w:spacing w:val="0"/>
              </w:rPr>
            </w:pPr>
            <w:r>
              <w:rPr>
                <w:b/>
                <w:color w:val="FFFFFF"/>
                <w:spacing w:val="0"/>
              </w:rPr>
              <w:t>SCT TOTAL</w:t>
              <w:br/>
              <w:t>PAY FOR</w:t>
              <w:br/>
              <w:t>CEO</w:t>
            </w:r>
          </w:p>
          <w:p>
            <w:pPr>
              <w:pStyle w:val="TableContents"/>
              <w:bidi w:val="0"/>
              <w:spacing w:before="0" w:after="0"/>
              <w:jc w:val="center"/>
              <w:rPr>
                <w:b/>
                <w:color w:val="FFFFFF"/>
                <w:spacing w:val="0"/>
                <w:sz w:val="9"/>
              </w:rPr>
            </w:pPr>
            <w:r>
              <w:rPr>
                <w:b/>
                <w:color w:val="FFFFFF"/>
                <w:spacing w:val="0"/>
                <w:sz w:val="9"/>
              </w:rPr>
              <w:t>(2)</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520" w:type="dxa"/>
            <w:gridSpan w:val="2"/>
            <w:tcBorders>
              <w:bottom w:val="single" w:sz="6" w:space="0" w:color="000000"/>
            </w:tcBorders>
            <w:shd w:fill="0BC11C" w:val="clear"/>
            <w:tcMar>
              <w:bottom w:w="60" w:type="dxa"/>
            </w:tcMar>
            <w:vAlign w:val="center"/>
          </w:tcPr>
          <w:p>
            <w:pPr>
              <w:pStyle w:val="TableContents"/>
              <w:bidi w:val="0"/>
              <w:spacing w:before="0" w:after="0"/>
              <w:jc w:val="center"/>
              <w:rPr>
                <w:b/>
                <w:color w:val="FFFFFF"/>
                <w:spacing w:val="0"/>
              </w:rPr>
            </w:pPr>
            <w:r>
              <w:rPr>
                <w:b/>
                <w:color w:val="FFFFFF"/>
                <w:spacing w:val="0"/>
              </w:rPr>
              <w:t>CAP TO CEO</w:t>
            </w:r>
          </w:p>
          <w:p>
            <w:pPr>
              <w:pStyle w:val="TableContents"/>
              <w:bidi w:val="0"/>
              <w:spacing w:before="0" w:after="0"/>
              <w:jc w:val="center"/>
              <w:rPr>
                <w:b/>
                <w:color w:val="FFFFFF"/>
                <w:spacing w:val="0"/>
                <w:sz w:val="9"/>
              </w:rPr>
            </w:pPr>
            <w:r>
              <w:rPr>
                <w:b/>
                <w:color w:val="FFFFFF"/>
                <w:spacing w:val="0"/>
                <w:sz w:val="9"/>
              </w:rPr>
              <w:t>(3)</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790" w:type="dxa"/>
            <w:gridSpan w:val="2"/>
            <w:tcBorders>
              <w:bottom w:val="single" w:sz="6" w:space="0" w:color="000000"/>
            </w:tcBorders>
            <w:shd w:fill="0BC11C" w:val="clear"/>
            <w:tcMar>
              <w:bottom w:w="60" w:type="dxa"/>
            </w:tcMar>
            <w:vAlign w:val="center"/>
          </w:tcPr>
          <w:p>
            <w:pPr>
              <w:pStyle w:val="TableContents"/>
              <w:bidi w:val="0"/>
              <w:spacing w:before="0" w:after="0"/>
              <w:jc w:val="center"/>
              <w:rPr>
                <w:b/>
                <w:color w:val="FFFFFF"/>
                <w:spacing w:val="0"/>
              </w:rPr>
            </w:pPr>
            <w:r>
              <w:rPr>
                <w:b/>
                <w:color w:val="FFFFFF"/>
                <w:spacing w:val="0"/>
              </w:rPr>
              <w:t>AVERAGE SCT</w:t>
              <w:br/>
              <w:t>TOTAL PAYT</w:t>
              <w:br/>
              <w:t>FOR OTHER</w:t>
              <w:br/>
              <w:t>NEOS</w:t>
            </w:r>
          </w:p>
          <w:p>
            <w:pPr>
              <w:pStyle w:val="TableContents"/>
              <w:bidi w:val="0"/>
              <w:spacing w:before="0" w:after="0"/>
              <w:jc w:val="center"/>
              <w:rPr>
                <w:b/>
                <w:color w:val="FFFFFF"/>
                <w:spacing w:val="0"/>
                <w:sz w:val="9"/>
              </w:rPr>
            </w:pPr>
            <w:r>
              <w:rPr>
                <w:b/>
                <w:color w:val="FFFFFF"/>
                <w:spacing w:val="0"/>
                <w:sz w:val="9"/>
              </w:rPr>
              <w:t>(2)</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610" w:type="dxa"/>
            <w:gridSpan w:val="2"/>
            <w:tcBorders>
              <w:bottom w:val="single" w:sz="6" w:space="0" w:color="000000"/>
            </w:tcBorders>
            <w:shd w:fill="0BC11C" w:val="clear"/>
            <w:tcMar>
              <w:bottom w:w="60" w:type="dxa"/>
            </w:tcMar>
            <w:vAlign w:val="center"/>
          </w:tcPr>
          <w:p>
            <w:pPr>
              <w:pStyle w:val="TableContents"/>
              <w:bidi w:val="0"/>
              <w:spacing w:before="0" w:after="0"/>
              <w:jc w:val="center"/>
              <w:rPr>
                <w:b/>
                <w:color w:val="FFFFFF"/>
                <w:spacing w:val="0"/>
              </w:rPr>
            </w:pPr>
            <w:r>
              <w:rPr>
                <w:b/>
                <w:color w:val="FFFFFF"/>
                <w:spacing w:val="0"/>
              </w:rPr>
              <w:t>AVG. CAP TO</w:t>
              <w:br/>
              <w:t>OTHER NEOS</w:t>
            </w:r>
          </w:p>
          <w:p>
            <w:pPr>
              <w:pStyle w:val="TableContents"/>
              <w:bidi w:val="0"/>
              <w:spacing w:before="0" w:after="0"/>
              <w:jc w:val="center"/>
              <w:rPr>
                <w:b/>
                <w:color w:val="FFFFFF"/>
                <w:spacing w:val="0"/>
                <w:sz w:val="9"/>
              </w:rPr>
            </w:pPr>
            <w:r>
              <w:rPr>
                <w:b/>
                <w:color w:val="FFFFFF"/>
                <w:spacing w:val="0"/>
                <w:sz w:val="9"/>
              </w:rPr>
              <w:t>(3)</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295" w:type="dxa"/>
            <w:gridSpan w:val="2"/>
            <w:tcBorders>
              <w:bottom w:val="single" w:sz="6" w:space="0" w:color="000000"/>
            </w:tcBorders>
            <w:shd w:fill="0BC11C" w:val="clear"/>
            <w:tcMar>
              <w:bottom w:w="60" w:type="dxa"/>
            </w:tcMar>
            <w:vAlign w:val="center"/>
          </w:tcPr>
          <w:p>
            <w:pPr>
              <w:pStyle w:val="TableContents"/>
              <w:bidi w:val="0"/>
              <w:spacing w:before="0" w:after="0"/>
              <w:jc w:val="center"/>
              <w:rPr>
                <w:b/>
                <w:color w:val="FFFFFF"/>
                <w:spacing w:val="0"/>
              </w:rPr>
            </w:pPr>
            <w:r>
              <w:rPr>
                <w:b/>
                <w:color w:val="FFFFFF"/>
                <w:spacing w:val="0"/>
              </w:rPr>
              <w:t>COMPANY</w:t>
              <w:br/>
              <w:t>TSR</w:t>
            </w:r>
          </w:p>
        </w:tc>
        <w:tc>
          <w:tcPr>
            <w:tcW w:w="93"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87"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281" w:type="dxa"/>
            <w:gridSpan w:val="2"/>
            <w:tcBorders>
              <w:bottom w:val="single" w:sz="6" w:space="0" w:color="000000"/>
            </w:tcBorders>
            <w:shd w:fill="0BC11C" w:val="clear"/>
            <w:tcMar>
              <w:bottom w:w="60" w:type="dxa"/>
            </w:tcMar>
            <w:vAlign w:val="center"/>
          </w:tcPr>
          <w:p>
            <w:pPr>
              <w:pStyle w:val="TableContents"/>
              <w:bidi w:val="0"/>
              <w:spacing w:before="0" w:after="0"/>
              <w:jc w:val="center"/>
              <w:rPr>
                <w:b/>
                <w:color w:val="FFFFFF"/>
                <w:spacing w:val="0"/>
              </w:rPr>
            </w:pPr>
            <w:r>
              <w:rPr>
                <w:b/>
                <w:color w:val="FFFFFF"/>
                <w:spacing w:val="0"/>
              </w:rPr>
              <w:t>PEER</w:t>
              <w:br/>
              <w:t>GROUP</w:t>
              <w:br/>
              <w:t>TSR</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2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830" w:type="dxa"/>
            <w:gridSpan w:val="2"/>
            <w:tcBorders>
              <w:bottom w:val="single" w:sz="6" w:space="0" w:color="000000"/>
            </w:tcBorders>
            <w:shd w:fill="0BC11C" w:val="clear"/>
            <w:tcMar>
              <w:bottom w:w="60" w:type="dxa"/>
            </w:tcM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NET</w:t>
              <w:br/>
              <w:t>INCOME</w:t>
              <w:br/>
              <w:t>(LOSS)</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 Millions)</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(5)</w:t>
            </w:r>
          </w:p>
        </w:tc>
        <w:tc>
          <w:tcPr>
            <w:tcW w:w="155"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905" w:type="dxa"/>
            <w:gridSpan w:val="2"/>
            <w:tcBorders>
              <w:bottom w:val="single" w:sz="6" w:space="0" w:color="000000"/>
            </w:tcBorders>
            <w:shd w:fill="0BC11C" w:val="clear"/>
            <w:tcMar>
              <w:bottom w:w="60" w:type="dxa"/>
            </w:tcMar>
            <w:vAlign w:val="center"/>
          </w:tcPr>
          <w:p>
            <w:pPr>
              <w:pStyle w:val="TableContents"/>
              <w:bidi w:val="0"/>
              <w:spacing w:before="0" w:after="0"/>
              <w:jc w:val="center"/>
              <w:rPr>
                <w:rFonts w:ascii="ARIAL" w:hAnsi="ARIAL"/>
                <w:b/>
                <w:color w:val="FFFFFF"/>
                <w:spacing w:val="0"/>
                <w:sz w:val="16"/>
              </w:rPr>
            </w:pPr>
            <w:r>
              <w:rPr>
                <w:rFonts w:ascii="ARIAL" w:hAnsi="ARIAL"/>
                <w:b/>
                <w:color w:val="FFFFFF"/>
                <w:spacing w:val="0"/>
                <w:sz w:val="16"/>
              </w:rPr>
              <w:t>ADJUSTED</w:t>
              <w:br/>
              <w:t>EBITDA</w:t>
            </w:r>
          </w:p>
          <w:p>
            <w:pPr>
              <w:pStyle w:val="TableContents"/>
              <w:bidi w:val="0"/>
              <w:spacing w:before="0" w:after="20"/>
              <w:jc w:val="center"/>
              <w:rPr>
                <w:rFonts w:ascii="ARIAL" w:hAnsi="ARIAL"/>
                <w:b/>
                <w:color w:val="FFFFFF"/>
                <w:spacing w:val="0"/>
                <w:sz w:val="16"/>
              </w:rPr>
            </w:pPr>
            <w:r>
              <w:rPr>
                <w:rFonts w:ascii="ARIAL" w:hAnsi="ARIAL"/>
                <w:b/>
                <w:color w:val="FFFFFF"/>
                <w:spacing w:val="0"/>
                <w:sz w:val="16"/>
              </w:rPr>
              <w:t>($ Millions)</w:t>
            </w:r>
          </w:p>
          <w:p>
            <w:pPr>
              <w:pStyle w:val="TableContents"/>
              <w:bidi w:val="0"/>
              <w:spacing w:before="0" w:after="20"/>
              <w:jc w:val="center"/>
              <w:rPr>
                <w:rFonts w:ascii="ARIAL" w:hAnsi="ARIAL"/>
                <w:b/>
                <w:color w:val="FFFFFF"/>
                <w:spacing w:val="0"/>
                <w:sz w:val="9"/>
              </w:rPr>
            </w:pPr>
            <w:r>
              <w:rPr>
                <w:rFonts w:ascii="ARIAL" w:hAnsi="ARIAL"/>
                <w:b/>
                <w:color w:val="FFFFFF"/>
                <w:spacing w:val="0"/>
                <w:sz w:val="9"/>
              </w:rPr>
              <w:t>(6)</w:t>
            </w:r>
          </w:p>
        </w:tc>
        <w:tc>
          <w:tcPr>
            <w:tcW w:w="75"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r>
      <w:tr>
        <w:trPr/>
        <w:tc>
          <w:tcPr>
            <w:tcW w:w="635" w:type="dxa"/>
            <w:tcBorders/>
            <w:shd w:fill="EDEDED" w:val="clear"/>
            <w:vAlign w:val="center"/>
          </w:tcPr>
          <w:p>
            <w:pPr>
              <w:pStyle w:val="TableContents"/>
              <w:bidi w:val="0"/>
              <w:spacing w:before="0" w:after="283"/>
              <w:jc w:val="left"/>
              <w:rPr>
                <w:sz w:val="4"/>
                <w:szCs w:val="4"/>
              </w:rPr>
            </w:pPr>
            <w:r>
              <w:rPr>
                <w:sz w:val="4"/>
                <w:szCs w:val="4"/>
              </w:rPr>
            </w:r>
          </w:p>
        </w:tc>
        <w:tc>
          <w:tcPr>
            <w:tcW w:w="1595" w:type="dxa"/>
            <w:gridSpan w:val="4"/>
            <w:tcBorders/>
            <w:shd w:fill="EDEDED" w:val="clear"/>
            <w:vAlign w:val="center"/>
          </w:tcPr>
          <w:p>
            <w:pPr>
              <w:pStyle w:val="TableContents"/>
              <w:bidi w:val="0"/>
              <w:spacing w:before="0" w:after="283"/>
              <w:jc w:val="left"/>
              <w:rPr>
                <w:sz w:val="4"/>
                <w:szCs w:val="4"/>
              </w:rPr>
            </w:pPr>
            <w:r>
              <w:rPr>
                <w:sz w:val="4"/>
                <w:szCs w:val="4"/>
              </w:rPr>
            </w:r>
          </w:p>
        </w:tc>
        <w:tc>
          <w:tcPr>
            <w:tcW w:w="1700" w:type="dxa"/>
            <w:gridSpan w:val="4"/>
            <w:tcBorders/>
            <w:shd w:fill="EDEDED" w:val="clear"/>
            <w:vAlign w:val="center"/>
          </w:tcPr>
          <w:p>
            <w:pPr>
              <w:pStyle w:val="TableContents"/>
              <w:bidi w:val="0"/>
              <w:spacing w:before="0" w:after="283"/>
              <w:jc w:val="left"/>
              <w:rPr>
                <w:sz w:val="4"/>
                <w:szCs w:val="4"/>
              </w:rPr>
            </w:pPr>
            <w:r>
              <w:rPr>
                <w:sz w:val="4"/>
                <w:szCs w:val="4"/>
              </w:rPr>
            </w:r>
          </w:p>
        </w:tc>
        <w:tc>
          <w:tcPr>
            <w:tcW w:w="1970" w:type="dxa"/>
            <w:gridSpan w:val="4"/>
            <w:tcBorders/>
            <w:shd w:fill="EDEDED" w:val="clear"/>
            <w:vAlign w:val="center"/>
          </w:tcPr>
          <w:p>
            <w:pPr>
              <w:pStyle w:val="TableContents"/>
              <w:bidi w:val="0"/>
              <w:spacing w:before="0" w:after="283"/>
              <w:jc w:val="left"/>
              <w:rPr>
                <w:sz w:val="4"/>
                <w:szCs w:val="4"/>
              </w:rPr>
            </w:pPr>
            <w:r>
              <w:rPr>
                <w:sz w:val="4"/>
                <w:szCs w:val="4"/>
              </w:rPr>
            </w:r>
          </w:p>
        </w:tc>
        <w:tc>
          <w:tcPr>
            <w:tcW w:w="1790" w:type="dxa"/>
            <w:gridSpan w:val="4"/>
            <w:tcBorders/>
            <w:shd w:fill="EDEDED" w:val="clear"/>
            <w:vAlign w:val="center"/>
          </w:tcPr>
          <w:p>
            <w:pPr>
              <w:pStyle w:val="TableContents"/>
              <w:bidi w:val="0"/>
              <w:spacing w:before="0" w:after="283"/>
              <w:jc w:val="left"/>
              <w:rPr>
                <w:sz w:val="4"/>
                <w:szCs w:val="4"/>
              </w:rPr>
            </w:pPr>
            <w:r>
              <w:rPr>
                <w:sz w:val="4"/>
                <w:szCs w:val="4"/>
              </w:rPr>
            </w:r>
          </w:p>
        </w:tc>
        <w:tc>
          <w:tcPr>
            <w:tcW w:w="1508" w:type="dxa"/>
            <w:gridSpan w:val="4"/>
            <w:tcBorders/>
            <w:shd w:fill="EDEDED" w:val="clear"/>
            <w:vAlign w:val="center"/>
          </w:tcPr>
          <w:p>
            <w:pPr>
              <w:pStyle w:val="TableContents"/>
              <w:bidi w:val="0"/>
              <w:spacing w:before="0" w:after="283"/>
              <w:jc w:val="left"/>
              <w:rPr>
                <w:sz w:val="4"/>
                <w:szCs w:val="4"/>
              </w:rPr>
            </w:pPr>
            <w:r>
              <w:rPr>
                <w:sz w:val="4"/>
                <w:szCs w:val="4"/>
              </w:rPr>
            </w:r>
          </w:p>
        </w:tc>
        <w:tc>
          <w:tcPr>
            <w:tcW w:w="1528" w:type="dxa"/>
            <w:gridSpan w:val="4"/>
            <w:tcBorders/>
            <w:shd w:fill="EDEDED" w:val="clear"/>
            <w:vAlign w:val="center"/>
          </w:tcPr>
          <w:p>
            <w:pPr>
              <w:pStyle w:val="TableContents"/>
              <w:bidi w:val="0"/>
              <w:spacing w:before="0" w:after="283"/>
              <w:jc w:val="left"/>
              <w:rPr>
                <w:sz w:val="4"/>
                <w:szCs w:val="4"/>
              </w:rPr>
            </w:pPr>
            <w:r>
              <w:rPr>
                <w:sz w:val="4"/>
                <w:szCs w:val="4"/>
              </w:rPr>
            </w:r>
          </w:p>
        </w:tc>
        <w:tc>
          <w:tcPr>
            <w:tcW w:w="1105" w:type="dxa"/>
            <w:gridSpan w:val="4"/>
            <w:tcBorders/>
            <w:shd w:fill="EDEDED" w:val="clear"/>
            <w:vAlign w:val="center"/>
          </w:tcPr>
          <w:p>
            <w:pPr>
              <w:pStyle w:val="TableContents"/>
              <w:bidi w:val="0"/>
              <w:spacing w:before="0" w:after="283"/>
              <w:jc w:val="left"/>
              <w:rPr>
                <w:sz w:val="4"/>
                <w:szCs w:val="4"/>
              </w:rPr>
            </w:pPr>
            <w:r>
              <w:rPr>
                <w:sz w:val="4"/>
                <w:szCs w:val="4"/>
              </w:rPr>
            </w:r>
          </w:p>
        </w:tc>
        <w:tc>
          <w:tcPr>
            <w:tcW w:w="1040"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635" w:type="dxa"/>
            <w:tcBorders>
              <w:bottom w:val="single" w:sz="6" w:space="0" w:color="000000"/>
            </w:tcBorders>
            <w:shd w:fill="EDEDED" w:val="clear"/>
            <w:tcMar>
              <w:bottom w:w="40" w:type="dxa"/>
            </w:tcMar>
            <w:vAlign w:val="center"/>
          </w:tcPr>
          <w:p>
            <w:pPr>
              <w:pStyle w:val="TableContents"/>
              <w:bidi w:val="0"/>
              <w:spacing w:before="0" w:after="0"/>
              <w:jc w:val="left"/>
              <w:rPr>
                <w:rFonts w:ascii="ARIAL" w:hAnsi="ARIAL"/>
                <w:sz w:val="16"/>
              </w:rPr>
            </w:pPr>
            <w:r>
              <w:rPr>
                <w:rFonts w:ascii="ARIAL" w:hAnsi="ARIAL"/>
                <w:sz w:val="16"/>
              </w:rPr>
              <w:t>2023</w:t>
            </w:r>
          </w:p>
        </w:tc>
        <w:tc>
          <w:tcPr>
            <w:tcW w:w="12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159"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256" w:type="dxa"/>
            <w:tcBorders>
              <w:bottom w:val="single" w:sz="6" w:space="0" w:color="000000"/>
            </w:tcBorders>
            <w:shd w:fill="EDEDED" w:val="clear"/>
            <w:tcMar>
              <w:bottom w:w="40" w:type="dxa"/>
            </w:tcMar>
            <w:vAlign w:val="center"/>
          </w:tcPr>
          <w:p>
            <w:pPr>
              <w:pStyle w:val="TableContents"/>
              <w:bidi w:val="0"/>
              <w:spacing w:before="0" w:after="283"/>
              <w:jc w:val="right"/>
              <w:rPr/>
            </w:pPr>
            <w:r>
              <w:rPr/>
              <w:t>26,320,395</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171"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349" w:type="dxa"/>
            <w:tcBorders>
              <w:bottom w:val="single" w:sz="6" w:space="0" w:color="000000"/>
            </w:tcBorders>
            <w:shd w:fill="EDEDED" w:val="clear"/>
            <w:tcMar>
              <w:bottom w:w="40" w:type="dxa"/>
            </w:tcMar>
            <w:vAlign w:val="center"/>
          </w:tcPr>
          <w:p>
            <w:pPr>
              <w:pStyle w:val="TableContents"/>
              <w:bidi w:val="0"/>
              <w:spacing w:before="0" w:after="283"/>
              <w:jc w:val="right"/>
              <w:rPr/>
            </w:pPr>
            <w:r>
              <w:rPr/>
              <w:t>34,238,046</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23"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567" w:type="dxa"/>
            <w:tcBorders>
              <w:bottom w:val="single" w:sz="6" w:space="0" w:color="000000"/>
            </w:tcBorders>
            <w:shd w:fill="EDEDED" w:val="clear"/>
            <w:tcMar>
              <w:bottom w:w="40" w:type="dxa"/>
            </w:tcMar>
            <w:vAlign w:val="center"/>
          </w:tcPr>
          <w:p>
            <w:pPr>
              <w:pStyle w:val="TableContents"/>
              <w:bidi w:val="0"/>
              <w:spacing w:before="0" w:after="283"/>
              <w:jc w:val="right"/>
              <w:rPr/>
            </w:pPr>
            <w:r>
              <w:rPr/>
              <w:t>3,154,484</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01"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409" w:type="dxa"/>
            <w:tcBorders>
              <w:bottom w:val="single" w:sz="6" w:space="0" w:color="000000"/>
            </w:tcBorders>
            <w:shd w:fill="EDEDED" w:val="clear"/>
            <w:tcMar>
              <w:bottom w:w="40" w:type="dxa"/>
            </w:tcMar>
            <w:vAlign w:val="center"/>
          </w:tcPr>
          <w:p>
            <w:pPr>
              <w:pStyle w:val="TableContents"/>
              <w:bidi w:val="0"/>
              <w:spacing w:before="0" w:after="283"/>
              <w:jc w:val="right"/>
              <w:rPr/>
            </w:pPr>
            <w:r>
              <w:rPr/>
              <w:t>3,349,885</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20"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075" w:type="dxa"/>
            <w:tcBorders>
              <w:bottom w:val="single" w:sz="6" w:space="0" w:color="000000"/>
            </w:tcBorders>
            <w:shd w:fill="EDEDED" w:val="clear"/>
            <w:tcMar>
              <w:bottom w:w="40" w:type="dxa"/>
            </w:tcMar>
            <w:vAlign w:val="center"/>
          </w:tcPr>
          <w:p>
            <w:pPr>
              <w:pStyle w:val="TableContents"/>
              <w:bidi w:val="0"/>
              <w:spacing w:before="0" w:after="283"/>
              <w:jc w:val="right"/>
              <w:rPr/>
            </w:pPr>
            <w:r>
              <w:rPr/>
              <w:t>102.60</w:t>
            </w:r>
          </w:p>
        </w:tc>
        <w:tc>
          <w:tcPr>
            <w:tcW w:w="93"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187"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18"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063" w:type="dxa"/>
            <w:tcBorders>
              <w:bottom w:val="single" w:sz="6" w:space="0" w:color="000000"/>
            </w:tcBorders>
            <w:shd w:fill="EDEDED" w:val="clear"/>
            <w:tcMar>
              <w:bottom w:w="40" w:type="dxa"/>
            </w:tcMar>
            <w:vAlign w:val="center"/>
          </w:tcPr>
          <w:p>
            <w:pPr>
              <w:pStyle w:val="TableContents"/>
              <w:bidi w:val="0"/>
              <w:spacing w:before="0" w:after="283"/>
              <w:jc w:val="right"/>
              <w:rPr/>
            </w:pPr>
            <w:r>
              <w:rPr/>
              <w:t>103.20</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12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415"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415" w:type="dxa"/>
            <w:tcBorders>
              <w:bottom w:val="single" w:sz="6" w:space="0" w:color="000000"/>
            </w:tcBorders>
            <w:shd w:fill="EDEDED" w:val="clear"/>
            <w:tcMar>
              <w:bottom w:w="40" w:type="dxa"/>
            </w:tcMar>
            <w:vAlign w:val="center"/>
          </w:tcPr>
          <w:p>
            <w:pPr>
              <w:pStyle w:val="TableContents"/>
              <w:bidi w:val="0"/>
              <w:spacing w:before="0" w:after="283"/>
              <w:jc w:val="right"/>
              <w:rPr/>
            </w:pPr>
            <w:r>
              <w:rPr/>
              <w:t>3</w:t>
            </w:r>
          </w:p>
        </w:tc>
        <w:tc>
          <w:tcPr>
            <w:tcW w:w="155"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43"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662" w:type="dxa"/>
            <w:tcBorders>
              <w:bottom w:val="single" w:sz="6" w:space="0" w:color="000000"/>
            </w:tcBorders>
            <w:shd w:fill="EDEDED" w:val="clear"/>
            <w:tcMar>
              <w:bottom w:w="40" w:type="dxa"/>
            </w:tcMar>
            <w:vAlign w:val="center"/>
          </w:tcPr>
          <w:p>
            <w:pPr>
              <w:pStyle w:val="TableContents"/>
              <w:bidi w:val="0"/>
              <w:spacing w:before="0" w:after="283"/>
              <w:jc w:val="right"/>
              <w:rPr/>
            </w:pPr>
            <w:r>
              <w:rPr/>
              <w:t>306</w:t>
            </w:r>
          </w:p>
        </w:tc>
        <w:tc>
          <w:tcPr>
            <w:tcW w:w="75"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6220" w:type="dxa"/>
        <w:jc w:val="left"/>
        <w:tblInd w:w="0" w:type="dxa"/>
        <w:tblLayout w:type="fixed"/>
        <w:tblCellMar>
          <w:top w:w="0" w:type="dxa"/>
          <w:left w:w="0" w:type="dxa"/>
          <w:bottom w:w="0" w:type="dxa"/>
          <w:right w:w="0" w:type="dxa"/>
        </w:tblCellMar>
      </w:tblPr>
      <w:tblGrid>
        <w:gridCol w:w="305"/>
        <w:gridCol w:w="5915"/>
      </w:tblGrid>
      <w:tr>
        <w:trPr/>
        <w:tc>
          <w:tcPr>
            <w:tcW w:w="305" w:type="dxa"/>
            <w:tcBorders/>
            <w:vAlign w:val="center"/>
          </w:tcPr>
          <w:p>
            <w:pPr>
              <w:pStyle w:val="TableContents"/>
              <w:bidi w:val="0"/>
              <w:spacing w:before="0" w:after="0"/>
              <w:jc w:val="left"/>
              <w:rPr>
                <w:i/>
                <w:caps w:val="false"/>
                <w:smallCaps w:val="false"/>
                <w:spacing w:val="0"/>
              </w:rPr>
            </w:pPr>
            <w:r>
              <w:rPr>
                <w:i/>
                <w:caps w:val="false"/>
                <w:smallCaps w:val="false"/>
                <w:spacing w:val="0"/>
              </w:rPr>
              <w:t>(1)</w:t>
            </w:r>
          </w:p>
        </w:tc>
        <w:tc>
          <w:tcPr>
            <w:tcW w:w="5915" w:type="dxa"/>
            <w:tcBorders/>
            <w:vAlign w:val="center"/>
          </w:tcPr>
          <w:p>
            <w:pPr>
              <w:pStyle w:val="TableContents"/>
              <w:bidi w:val="0"/>
              <w:spacing w:before="0" w:after="0"/>
              <w:jc w:val="left"/>
              <w:rPr>
                <w:rFonts w:ascii="ARIAL" w:hAnsi="ARIAL"/>
                <w:i/>
                <w:caps w:val="false"/>
                <w:smallCaps w:val="false"/>
                <w:spacing w:val="0"/>
                <w:sz w:val="14"/>
              </w:rPr>
            </w:pPr>
            <w:r>
              <w:rPr>
                <w:rFonts w:ascii="ARIAL" w:hAnsi="ARIAL"/>
                <w:i/>
                <w:caps w:val="false"/>
                <w:smallCaps w:val="false"/>
                <w:spacing w:val="0"/>
                <w:sz w:val="14"/>
              </w:rPr>
              <w:t>For 2023, the CEO was Thomas Pike and the other NEOs were Jill McConnell and Mark Morais.</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0"/>
              <w:jc w:val="left"/>
              <w:rPr>
                <w:i/>
                <w:caps w:val="false"/>
                <w:smallCaps w:val="false"/>
                <w:spacing w:val="0"/>
              </w:rPr>
            </w:pPr>
            <w:r>
              <w:rPr>
                <w:i/>
                <w:caps w:val="false"/>
                <w:smallCaps w:val="false"/>
                <w:spacing w:val="0"/>
              </w:rPr>
              <w:t>(2)</w:t>
            </w:r>
          </w:p>
        </w:tc>
        <w:tc>
          <w:tcPr>
            <w:tcW w:w="9939" w:type="dxa"/>
            <w:tcBorders/>
            <w:vAlign w:val="center"/>
          </w:tcPr>
          <w:p>
            <w:pPr>
              <w:pStyle w:val="TableContents"/>
              <w:bidi w:val="0"/>
              <w:spacing w:before="0" w:after="0"/>
              <w:jc w:val="left"/>
              <w:rPr>
                <w:rFonts w:ascii="ARIAL" w:hAnsi="ARIAL"/>
                <w:i/>
                <w:caps w:val="false"/>
                <w:smallCaps w:val="false"/>
                <w:spacing w:val="0"/>
                <w:sz w:val="14"/>
              </w:rPr>
            </w:pPr>
            <w:r>
              <w:rPr>
                <w:rFonts w:ascii="ARIAL" w:hAnsi="ARIAL"/>
                <w:i/>
                <w:caps w:val="false"/>
                <w:smallCaps w:val="false"/>
                <w:spacing w:val="0"/>
                <w:sz w:val="14"/>
              </w:rPr>
              <w:t>These amounts reflect (i) the total compensation reported in the SCT for the applicable year in the case of our CEO; and (ii) the average of the total compensation reported in the SCT for the applicable year for our Other NEOs. See the footnotes to the SCT for further detail regarding the amounts in this column.</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59"/>
        <w:gridCol w:w="9946"/>
      </w:tblGrid>
      <w:tr>
        <w:trPr/>
        <w:tc>
          <w:tcPr>
            <w:tcW w:w="259" w:type="dxa"/>
            <w:tcBorders/>
            <w:vAlign w:val="center"/>
          </w:tcPr>
          <w:p>
            <w:pPr>
              <w:pStyle w:val="TableContents"/>
              <w:bidi w:val="0"/>
              <w:spacing w:before="0" w:after="0"/>
              <w:jc w:val="left"/>
              <w:rPr>
                <w:i/>
                <w:caps w:val="false"/>
                <w:smallCaps w:val="false"/>
                <w:spacing w:val="0"/>
              </w:rPr>
            </w:pPr>
            <w:r>
              <w:rPr>
                <w:i/>
                <w:caps w:val="false"/>
                <w:smallCaps w:val="false"/>
                <w:spacing w:val="0"/>
              </w:rPr>
              <w:t>(3)</w:t>
            </w:r>
          </w:p>
        </w:tc>
        <w:tc>
          <w:tcPr>
            <w:tcW w:w="9946" w:type="dxa"/>
            <w:tcBorders/>
            <w:vAlign w:val="center"/>
          </w:tcPr>
          <w:p>
            <w:pPr>
              <w:pStyle w:val="TableContents"/>
              <w:bidi w:val="0"/>
              <w:spacing w:before="0" w:after="0"/>
              <w:jc w:val="left"/>
              <w:rPr>
                <w:rFonts w:ascii="ARIAL" w:hAnsi="ARIAL"/>
                <w:i/>
                <w:caps w:val="false"/>
                <w:smallCaps w:val="false"/>
                <w:spacing w:val="0"/>
                <w:sz w:val="14"/>
              </w:rPr>
            </w:pPr>
            <w:r>
              <w:rPr>
                <w:rFonts w:ascii="ARIAL" w:hAnsi="ARIAL"/>
                <w:i/>
                <w:caps w:val="false"/>
                <w:smallCaps w:val="false"/>
                <w:spacing w:val="0"/>
                <w:sz w:val="14"/>
              </w:rPr>
              <w:t>Amounts reported in these columns represent CAP; adjustments were made to the amounts reported in the SCT for the applicable year. A reconciliation of the adjustments for our CEO and for the average of the Other NEOs is set forth in the following tables, which describe the adjustments, each of which is prescribed by the SEC rule to calculate the CAP amounts from SCT amounts.</w:t>
            </w:r>
          </w:p>
        </w:tc>
      </w:tr>
    </w:tbl>
    <w:p>
      <w:pPr>
        <w:pStyle w:val="TextBody"/>
        <w:bidi w:val="0"/>
        <w:spacing w:before="0" w:after="0"/>
        <w:jc w:val="left"/>
        <w:rPr>
          <w:shd w:fill="FFFFFF" w:val="clear"/>
        </w:rPr>
      </w:pPr>
      <w:r>
        <w:rPr>
          <w:shd w:fill="FFFFFF" w:val="clear"/>
        </w:rPr>
        <w:t> </w:t>
      </w:r>
    </w:p>
    <w:tbl>
      <w:tblPr>
        <w:tblW w:w="18215" w:type="dxa"/>
        <w:jc w:val="left"/>
        <w:tblInd w:w="0" w:type="dxa"/>
        <w:tblLayout w:type="fixed"/>
        <w:tblCellMar>
          <w:top w:w="0" w:type="dxa"/>
          <w:left w:w="0" w:type="dxa"/>
          <w:bottom w:w="0" w:type="dxa"/>
          <w:right w:w="0" w:type="dxa"/>
        </w:tblCellMar>
      </w:tblPr>
      <w:tblGrid>
        <w:gridCol w:w="395"/>
        <w:gridCol w:w="60"/>
        <w:gridCol w:w="190"/>
        <w:gridCol w:w="1495"/>
        <w:gridCol w:w="60"/>
        <w:gridCol w:w="60"/>
        <w:gridCol w:w="140"/>
        <w:gridCol w:w="1100"/>
        <w:gridCol w:w="60"/>
        <w:gridCol w:w="60"/>
        <w:gridCol w:w="207"/>
        <w:gridCol w:w="1628"/>
        <w:gridCol w:w="60"/>
        <w:gridCol w:w="60"/>
        <w:gridCol w:w="371"/>
        <w:gridCol w:w="1644"/>
        <w:gridCol w:w="60"/>
        <w:gridCol w:w="60"/>
        <w:gridCol w:w="385"/>
        <w:gridCol w:w="1375"/>
        <w:gridCol w:w="60"/>
        <w:gridCol w:w="60"/>
        <w:gridCol w:w="850"/>
        <w:gridCol w:w="850"/>
        <w:gridCol w:w="60"/>
        <w:gridCol w:w="60"/>
        <w:gridCol w:w="346"/>
        <w:gridCol w:w="1684"/>
        <w:gridCol w:w="60"/>
        <w:gridCol w:w="60"/>
        <w:gridCol w:w="692"/>
        <w:gridCol w:w="693"/>
        <w:gridCol w:w="60"/>
        <w:gridCol w:w="60"/>
        <w:gridCol w:w="857"/>
        <w:gridCol w:w="858"/>
        <w:gridCol w:w="60"/>
        <w:gridCol w:w="60"/>
        <w:gridCol w:w="140"/>
        <w:gridCol w:w="1100"/>
        <w:gridCol w:w="75"/>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000000"/>
            </w:tcBorders>
            <w:shd w:fill="0BC11C" w:val="clear"/>
            <w:tcMar>
              <w:bottom w:w="60" w:type="dxa"/>
            </w:tcMar>
            <w:vAlign w:val="center"/>
          </w:tcPr>
          <w:p>
            <w:pPr>
              <w:pStyle w:val="TableContents"/>
              <w:bidi w:val="0"/>
              <w:spacing w:before="0" w:after="0"/>
              <w:jc w:val="left"/>
              <w:rPr>
                <w:rFonts w:ascii="ARIAL" w:hAnsi="ARIAL"/>
                <w:b/>
                <w:color w:val="FFFFFF"/>
                <w:spacing w:val="0"/>
                <w:sz w:val="12"/>
              </w:rPr>
            </w:pPr>
            <w:r>
              <w:rPr>
                <w:rFonts w:ascii="ARIAL" w:hAnsi="ARIAL"/>
                <w:b/>
                <w:color w:val="FFFFFF"/>
                <w:spacing w:val="0"/>
                <w:sz w:val="12"/>
              </w:rPr>
              <w:t>YEAR</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685" w:type="dxa"/>
            <w:gridSpan w:val="2"/>
            <w:tcBorders>
              <w:bottom w:val="single" w:sz="6" w:space="0" w:color="000000"/>
            </w:tcBorders>
            <w:shd w:fill="0BC11C" w:val="clear"/>
            <w:tcMar>
              <w:bottom w:w="60" w:type="dxa"/>
            </w:tcMar>
            <w:vAlign w:val="center"/>
          </w:tcPr>
          <w:p>
            <w:pPr>
              <w:pStyle w:val="TableContents"/>
              <w:bidi w:val="0"/>
              <w:spacing w:before="0" w:after="0"/>
              <w:jc w:val="center"/>
              <w:rPr>
                <w:b/>
                <w:color w:val="FFFFFF"/>
                <w:spacing w:val="0"/>
              </w:rPr>
            </w:pPr>
            <w:r>
              <w:rPr>
                <w:b/>
                <w:color w:val="FFFFFF"/>
                <w:spacing w:val="0"/>
              </w:rPr>
              <w:t>SCT TOTAL</w:t>
              <w:br/>
              <w:t>PAY FOR CEO</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240" w:type="dxa"/>
            <w:gridSpan w:val="2"/>
            <w:tcBorders>
              <w:bottom w:val="single" w:sz="6" w:space="0" w:color="000000"/>
            </w:tcBorders>
            <w:shd w:fill="0BC11C" w:val="clear"/>
            <w:tcMar>
              <w:bottom w:w="60" w:type="dxa"/>
            </w:tcMar>
            <w:vAlign w:val="center"/>
          </w:tcPr>
          <w:p>
            <w:pPr>
              <w:pStyle w:val="TableContents"/>
              <w:bidi w:val="0"/>
              <w:spacing w:before="0" w:after="20"/>
              <w:jc w:val="center"/>
              <w:rPr>
                <w:rFonts w:ascii="ARIAL" w:hAnsi="ARIAL"/>
                <w:b/>
                <w:i/>
                <w:color w:val="FFFFFF"/>
                <w:spacing w:val="0"/>
                <w:sz w:val="12"/>
              </w:rPr>
            </w:pPr>
            <w:r>
              <w:rPr>
                <w:rFonts w:ascii="ARIAL" w:hAnsi="ARIAL"/>
                <w:b/>
                <w:i/>
                <w:color w:val="FFFFFF"/>
                <w:spacing w:val="0"/>
                <w:sz w:val="12"/>
              </w:rPr>
              <w:t>MINUS</w:t>
            </w:r>
          </w:p>
          <w:p>
            <w:pPr>
              <w:pStyle w:val="TableContents"/>
              <w:bidi w:val="0"/>
              <w:spacing w:before="0" w:after="20"/>
              <w:jc w:val="center"/>
              <w:rPr>
                <w:color w:val="FFFFFF"/>
                <w:spacing w:val="0"/>
              </w:rPr>
            </w:pPr>
            <w:r>
              <w:rPr>
                <w:color w:val="FFFFFF"/>
                <w:spacing w:val="0"/>
              </w:rPr>
              <w:t> </w:t>
            </w:r>
            <w:r>
              <w:rPr>
                <w:rFonts w:ascii="ARIAL" w:hAnsi="ARIAL"/>
                <w:b/>
                <w:color w:val="FFFFFF"/>
                <w:spacing w:val="0"/>
                <w:sz w:val="12"/>
              </w:rPr>
              <w:t>STOCK</w:t>
              <w:br/>
              <w:t>AWARD</w:t>
              <w:br/>
              <w:t>VALUE &amp;</w:t>
              <w:br/>
              <w:t>OPTION</w:t>
              <w:br/>
              <w:t>AWARD VALUE</w:t>
              <w:br/>
              <w:t>REPORTED IN</w:t>
              <w:br/>
              <w:t>SCT FOR THE</w:t>
              <w:br/>
              <w:t>COVERED</w:t>
              <w:br/>
              <w:t>YEAR</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835" w:type="dxa"/>
            <w:gridSpan w:val="2"/>
            <w:tcBorders>
              <w:bottom w:val="single" w:sz="6" w:space="0" w:color="000000"/>
            </w:tcBorders>
            <w:shd w:fill="0BC11C" w:val="clear"/>
            <w:tcMar>
              <w:bottom w:w="60" w:type="dxa"/>
            </w:tcMar>
            <w:vAlign w:val="center"/>
          </w:tcPr>
          <w:p>
            <w:pPr>
              <w:pStyle w:val="TableContents"/>
              <w:bidi w:val="0"/>
              <w:spacing w:before="0" w:after="0"/>
              <w:jc w:val="center"/>
              <w:rPr>
                <w:b/>
                <w:i/>
                <w:color w:val="FFFFFF"/>
                <w:spacing w:val="0"/>
              </w:rPr>
            </w:pPr>
            <w:r>
              <w:rPr>
                <w:b/>
                <w:i/>
                <w:color w:val="FFFFFF"/>
                <w:spacing w:val="0"/>
              </w:rPr>
              <w:t>PLUS</w:t>
            </w:r>
          </w:p>
          <w:p>
            <w:pPr>
              <w:pStyle w:val="TableContents"/>
              <w:bidi w:val="0"/>
              <w:spacing w:before="0" w:after="0"/>
              <w:jc w:val="center"/>
              <w:rPr>
                <w:color w:val="FFFFFF"/>
                <w:spacing w:val="0"/>
              </w:rPr>
            </w:pPr>
            <w:r>
              <w:rPr>
                <w:color w:val="FFFFFF"/>
                <w:spacing w:val="0"/>
              </w:rPr>
              <w:t> </w:t>
            </w:r>
            <w:r>
              <w:rPr>
                <w:b/>
                <w:color w:val="FFFFFF"/>
                <w:spacing w:val="0"/>
              </w:rPr>
              <w:t>YEAR</w:t>
              <w:br/>
              <w:t>END FAIR</w:t>
              <w:br/>
              <w:t>VALUE OF</w:t>
              <w:br/>
              <w:t>EQUITY</w:t>
              <w:br/>
              <w:t>AWARDS</w:t>
              <w:br/>
              <w:t>GRANTED</w:t>
              <w:br/>
              <w:t>DURING THE</w:t>
              <w:br/>
              <w:t>COVERED</w:t>
              <w:br/>
              <w:t>YEAR THAT</w:t>
              <w:br/>
              <w:t>REMAIN</w:t>
              <w:br/>
              <w:t>OUTSTANDING</w:t>
              <w:br/>
              <w:t>AND</w:t>
              <w:br/>
              <w:t>UNVESTED AS</w:t>
              <w:br/>
              <w:t>OF LAST DAY</w:t>
              <w:br/>
              <w:t>OF THE</w:t>
              <w:br/>
              <w:t>COVERED</w:t>
              <w:br/>
              <w:t>YEAR</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2015" w:type="dxa"/>
            <w:gridSpan w:val="2"/>
            <w:tcBorders>
              <w:bottom w:val="single" w:sz="6" w:space="0" w:color="000000"/>
            </w:tcBorders>
            <w:shd w:fill="0BC11C" w:val="clear"/>
            <w:tcMar>
              <w:bottom w:w="60" w:type="dxa"/>
            </w:tcMar>
            <w:vAlign w:val="center"/>
          </w:tcPr>
          <w:p>
            <w:pPr>
              <w:pStyle w:val="TableContents"/>
              <w:bidi w:val="0"/>
              <w:spacing w:before="0" w:after="0"/>
              <w:jc w:val="center"/>
              <w:rPr>
                <w:b/>
                <w:i/>
                <w:color w:val="FFFFFF"/>
                <w:spacing w:val="0"/>
              </w:rPr>
            </w:pPr>
            <w:r>
              <w:rPr>
                <w:b/>
                <w:i/>
                <w:color w:val="FFFFFF"/>
                <w:spacing w:val="0"/>
              </w:rPr>
              <w:t>PLUS</w:t>
            </w:r>
          </w:p>
          <w:p>
            <w:pPr>
              <w:pStyle w:val="TableContents"/>
              <w:bidi w:val="0"/>
              <w:spacing w:before="0" w:after="0"/>
              <w:jc w:val="center"/>
              <w:rPr>
                <w:color w:val="FFFFFF"/>
                <w:spacing w:val="0"/>
              </w:rPr>
            </w:pPr>
            <w:r>
              <w:rPr>
                <w:color w:val="FFFFFF"/>
                <w:spacing w:val="0"/>
              </w:rPr>
              <w:t> </w:t>
            </w:r>
            <w:r>
              <w:rPr>
                <w:b/>
                <w:color w:val="FFFFFF"/>
                <w:spacing w:val="0"/>
              </w:rPr>
              <w:t>YEAR</w:t>
              <w:br/>
              <w:t>OVER YEAR</w:t>
              <w:br/>
              <w:t>CHANGE IN</w:t>
              <w:br/>
              <w:t>FAIR VALUE AS</w:t>
              <w:br/>
              <w:t>OF THE LAST</w:t>
              <w:br/>
              <w:t>DAY OF THE</w:t>
              <w:br/>
              <w:t>COVERED YEAR</w:t>
              <w:br/>
              <w:t>OF</w:t>
              <w:br/>
              <w:t>OUTSTANDING</w:t>
              <w:br/>
              <w:t>AND</w:t>
              <w:br/>
              <w:t>UNVESTED</w:t>
              <w:br/>
              <w:t>EQUITY</w:t>
              <w:br/>
              <w:t>AWARDS</w:t>
              <w:br/>
              <w:t>GRANTED IN</w:t>
              <w:br/>
              <w:t>PRIOR YEARS</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760" w:type="dxa"/>
            <w:gridSpan w:val="2"/>
            <w:tcBorders>
              <w:bottom w:val="single" w:sz="6" w:space="0" w:color="000000"/>
            </w:tcBorders>
            <w:shd w:fill="0BC11C" w:val="clear"/>
            <w:tcMar>
              <w:bottom w:w="60" w:type="dxa"/>
            </w:tcMar>
            <w:vAlign w:val="center"/>
          </w:tcPr>
          <w:p>
            <w:pPr>
              <w:pStyle w:val="TableContents"/>
              <w:bidi w:val="0"/>
              <w:spacing w:before="0" w:after="0"/>
              <w:jc w:val="center"/>
              <w:rPr>
                <w:b/>
                <w:i/>
                <w:color w:val="FFFFFF"/>
                <w:spacing w:val="0"/>
              </w:rPr>
            </w:pPr>
            <w:r>
              <w:rPr>
                <w:b/>
                <w:i/>
                <w:color w:val="FFFFFF"/>
                <w:spacing w:val="0"/>
              </w:rPr>
              <w:t>PLUS</w:t>
            </w:r>
          </w:p>
          <w:p>
            <w:pPr>
              <w:pStyle w:val="TableContents"/>
              <w:bidi w:val="0"/>
              <w:spacing w:before="0" w:after="0"/>
              <w:jc w:val="center"/>
              <w:rPr>
                <w:color w:val="FFFFFF"/>
                <w:spacing w:val="0"/>
              </w:rPr>
            </w:pPr>
            <w:r>
              <w:rPr>
                <w:color w:val="FFFFFF"/>
                <w:spacing w:val="0"/>
              </w:rPr>
              <w:t> </w:t>
            </w:r>
            <w:r>
              <w:rPr>
                <w:b/>
                <w:color w:val="FFFFFF"/>
                <w:spacing w:val="0"/>
              </w:rPr>
              <w:t>YEAR</w:t>
              <w:br/>
              <w:t>OVER YEAR</w:t>
              <w:br/>
              <w:t>CHANGE IN</w:t>
              <w:br/>
              <w:t>FAIR VALUE</w:t>
              <w:br/>
              <w:t>AS OF THE</w:t>
              <w:br/>
              <w:t>VESTING</w:t>
              <w:br/>
              <w:t>DATE OF</w:t>
              <w:br/>
              <w:t>EQUITY</w:t>
              <w:br/>
              <w:t>AWARDS</w:t>
              <w:br/>
              <w:t>GRANTED IN</w:t>
              <w:br/>
              <w:t>PRIOR YEARS</w:t>
              <w:br/>
              <w:t>THAT VESTED</w:t>
              <w:br/>
              <w:t>DURING THE</w:t>
              <w:br/>
              <w:t>COVERED</w:t>
              <w:br/>
              <w:t>YEAR</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700" w:type="dxa"/>
            <w:gridSpan w:val="2"/>
            <w:tcBorders>
              <w:bottom w:val="single" w:sz="6" w:space="0" w:color="000000"/>
            </w:tcBorders>
            <w:shd w:fill="0BC11C" w:val="clear"/>
            <w:tcMar>
              <w:bottom w:w="60" w:type="dxa"/>
            </w:tcMar>
            <w:vAlign w:val="center"/>
          </w:tcPr>
          <w:p>
            <w:pPr>
              <w:pStyle w:val="TableContents"/>
              <w:bidi w:val="0"/>
              <w:spacing w:before="0" w:after="0"/>
              <w:jc w:val="center"/>
              <w:rPr>
                <w:b/>
                <w:i/>
                <w:color w:val="FFFFFF"/>
                <w:spacing w:val="0"/>
              </w:rPr>
            </w:pPr>
            <w:r>
              <w:rPr>
                <w:b/>
                <w:i/>
                <w:color w:val="FFFFFF"/>
                <w:spacing w:val="0"/>
              </w:rPr>
              <w:t>MINUS</w:t>
            </w:r>
          </w:p>
          <w:p>
            <w:pPr>
              <w:pStyle w:val="TableContents"/>
              <w:bidi w:val="0"/>
              <w:spacing w:before="0" w:after="0"/>
              <w:jc w:val="center"/>
              <w:rPr>
                <w:color w:val="FFFFFF"/>
                <w:spacing w:val="0"/>
              </w:rPr>
            </w:pPr>
            <w:r>
              <w:rPr>
                <w:color w:val="FFFFFF"/>
                <w:spacing w:val="0"/>
              </w:rPr>
              <w:t> </w:t>
            </w:r>
            <w:r>
              <w:rPr>
                <w:b/>
                <w:color w:val="FFFFFF"/>
                <w:spacing w:val="0"/>
              </w:rPr>
              <w:t>FAIR</w:t>
              <w:br/>
              <w:t>VALUE AT</w:t>
              <w:br/>
              <w:t>THE END OF</w:t>
              <w:br/>
              <w:t>THE PRIOR</w:t>
              <w:br/>
              <w:t>YEAR OF</w:t>
              <w:br/>
              <w:t>EQUITY</w:t>
              <w:br/>
              <w:t>AWARDS</w:t>
              <w:br/>
              <w:t>THAT FAILED</w:t>
              <w:br/>
              <w:t>TO MEET</w:t>
              <w:br/>
              <w:t>VESTING</w:t>
              <w:br/>
              <w:t>CONDITIONS</w:t>
              <w:br/>
              <w:t>IN THE</w:t>
              <w:br/>
              <w:t>COVERED</w:t>
              <w:br/>
              <w:t>YEAR</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2030" w:type="dxa"/>
            <w:gridSpan w:val="2"/>
            <w:tcBorders>
              <w:bottom w:val="single" w:sz="6" w:space="0" w:color="000000"/>
            </w:tcBorders>
            <w:shd w:fill="0BC11C" w:val="clear"/>
            <w:tcMar>
              <w:bottom w:w="60" w:type="dxa"/>
            </w:tcMar>
            <w:vAlign w:val="center"/>
          </w:tcPr>
          <w:p>
            <w:pPr>
              <w:pStyle w:val="TableContents"/>
              <w:bidi w:val="0"/>
              <w:spacing w:before="0" w:after="0"/>
              <w:jc w:val="center"/>
              <w:rPr>
                <w:b/>
                <w:i/>
                <w:color w:val="FFFFFF"/>
                <w:spacing w:val="0"/>
              </w:rPr>
            </w:pPr>
            <w:r>
              <w:rPr>
                <w:b/>
                <w:i/>
                <w:color w:val="FFFFFF"/>
                <w:spacing w:val="0"/>
              </w:rPr>
              <w:t>PLUS</w:t>
            </w:r>
          </w:p>
          <w:p>
            <w:pPr>
              <w:pStyle w:val="TableContents"/>
              <w:bidi w:val="0"/>
              <w:spacing w:before="0" w:after="0"/>
              <w:jc w:val="center"/>
              <w:rPr>
                <w:color w:val="FFFFFF"/>
                <w:spacing w:val="0"/>
              </w:rPr>
            </w:pPr>
            <w:r>
              <w:rPr>
                <w:color w:val="FFFFFF"/>
                <w:spacing w:val="0"/>
              </w:rPr>
              <w:t> </w:t>
            </w:r>
            <w:r>
              <w:rPr>
                <w:b/>
                <w:color w:val="FFFFFF"/>
                <w:spacing w:val="0"/>
              </w:rPr>
              <w:t>VALUE OF</w:t>
              <w:br/>
              <w:t>DIVIDENDS OR</w:t>
              <w:br/>
              <w:t>OTHER</w:t>
              <w:br/>
              <w:t>EARNINGS PAID</w:t>
              <w:br/>
              <w:t>ON STOCK OR</w:t>
              <w:br/>
              <w:t>OPTION</w:t>
              <w:br/>
              <w:t>AWARDS NOT</w:t>
              <w:br/>
              <w:t>OTHERWISE</w:t>
              <w:br/>
              <w:t>REFLECTED IN</w:t>
              <w:br/>
              <w:t>FAIR VALUE OR</w:t>
              <w:br/>
              <w:t>TOTRAL</w:t>
              <w:br/>
              <w:t>COMPENSATION</w:t>
              <w:br/>
              <w:t>FOR THE</w:t>
              <w:br/>
              <w:t>COVERED YEAR</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385" w:type="dxa"/>
            <w:gridSpan w:val="2"/>
            <w:tcBorders>
              <w:bottom w:val="single" w:sz="6" w:space="0" w:color="000000"/>
            </w:tcBorders>
            <w:shd w:fill="0BC11C" w:val="clear"/>
            <w:tcMar>
              <w:bottom w:w="60" w:type="dxa"/>
            </w:tcMar>
            <w:vAlign w:val="center"/>
          </w:tcPr>
          <w:p>
            <w:pPr>
              <w:pStyle w:val="TableContents"/>
              <w:bidi w:val="0"/>
              <w:spacing w:before="0" w:after="0"/>
              <w:jc w:val="center"/>
              <w:rPr>
                <w:b/>
                <w:i/>
                <w:color w:val="FFFFFF"/>
                <w:spacing w:val="0"/>
              </w:rPr>
            </w:pPr>
            <w:r>
              <w:rPr>
                <w:b/>
                <w:i/>
                <w:color w:val="FFFFFF"/>
                <w:spacing w:val="0"/>
              </w:rPr>
              <w:t>MINUS</w:t>
            </w:r>
          </w:p>
          <w:p>
            <w:pPr>
              <w:pStyle w:val="TableContents"/>
              <w:bidi w:val="0"/>
              <w:spacing w:before="0" w:after="0"/>
              <w:jc w:val="center"/>
              <w:rPr>
                <w:b/>
                <w:color w:val="FFFFFF"/>
                <w:spacing w:val="0"/>
              </w:rPr>
            </w:pPr>
            <w:r>
              <w:rPr>
                <w:b/>
                <w:color w:val="FFFFFF"/>
                <w:spacing w:val="0"/>
              </w:rPr>
              <w:br/>
              <w:t>CHANGE</w:t>
              <w:br/>
              <w:t>IN</w:t>
              <w:br/>
              <w:t>PENSION</w:t>
              <w:br/>
              <w:t>VALUE</w:t>
              <w:br/>
              <w:t>REPORTED</w:t>
              <w:br/>
              <w:t>IN SCT</w:t>
              <w:br/>
              <w:t>FOR</w:t>
              <w:br/>
              <w:t>COVERED</w:t>
              <w:br/>
              <w:t>YEAR</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715" w:type="dxa"/>
            <w:gridSpan w:val="2"/>
            <w:tcBorders>
              <w:bottom w:val="single" w:sz="6" w:space="0" w:color="000000"/>
            </w:tcBorders>
            <w:shd w:fill="0BC11C" w:val="clear"/>
            <w:tcMar>
              <w:bottom w:w="60" w:type="dxa"/>
            </w:tcMar>
            <w:vAlign w:val="center"/>
          </w:tcPr>
          <w:p>
            <w:pPr>
              <w:pStyle w:val="TableContents"/>
              <w:bidi w:val="0"/>
              <w:spacing w:before="0" w:after="0"/>
              <w:jc w:val="center"/>
              <w:rPr>
                <w:b/>
                <w:i/>
                <w:color w:val="FFFFFF"/>
                <w:spacing w:val="0"/>
              </w:rPr>
            </w:pPr>
            <w:r>
              <w:rPr>
                <w:b/>
                <w:i/>
                <w:color w:val="FFFFFF"/>
                <w:spacing w:val="0"/>
              </w:rPr>
              <w:t>PLUS</w:t>
            </w:r>
          </w:p>
          <w:p>
            <w:pPr>
              <w:pStyle w:val="TableContents"/>
              <w:bidi w:val="0"/>
              <w:spacing w:before="0" w:after="0"/>
              <w:jc w:val="center"/>
              <w:rPr>
                <w:b/>
                <w:color w:val="FFFFFF"/>
                <w:spacing w:val="0"/>
              </w:rPr>
            </w:pPr>
            <w:r>
              <w:rPr>
                <w:b/>
                <w:color w:val="FFFFFF"/>
                <w:spacing w:val="0"/>
              </w:rPr>
              <w:t>PENSION</w:t>
              <w:br/>
              <w:t>ADJUSTMENT</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240" w:type="dxa"/>
            <w:gridSpan w:val="2"/>
            <w:tcBorders>
              <w:bottom w:val="single" w:sz="6" w:space="0" w:color="000000"/>
            </w:tcBorders>
            <w:shd w:fill="0BC11C" w:val="clear"/>
            <w:tcMar>
              <w:bottom w:w="60" w:type="dxa"/>
            </w:tcMar>
            <w:vAlign w:val="center"/>
          </w:tcPr>
          <w:p>
            <w:pPr>
              <w:pStyle w:val="TableContents"/>
              <w:bidi w:val="0"/>
              <w:spacing w:before="0" w:after="0"/>
              <w:jc w:val="center"/>
              <w:rPr>
                <w:b/>
                <w:color w:val="FFFFFF"/>
                <w:spacing w:val="0"/>
              </w:rPr>
            </w:pPr>
            <w:r>
              <w:rPr>
                <w:b/>
                <w:color w:val="FFFFFF"/>
                <w:spacing w:val="0"/>
              </w:rPr>
              <w:t>CEO CAP</w:t>
            </w:r>
          </w:p>
        </w:tc>
        <w:tc>
          <w:tcPr>
            <w:tcW w:w="75"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r>
      <w:tr>
        <w:trPr/>
        <w:tc>
          <w:tcPr>
            <w:tcW w:w="395" w:type="dxa"/>
            <w:tcBorders/>
            <w:shd w:fill="EDEDED" w:val="clear"/>
            <w:vAlign w:val="center"/>
          </w:tcPr>
          <w:p>
            <w:pPr>
              <w:pStyle w:val="TableContents"/>
              <w:bidi w:val="0"/>
              <w:spacing w:before="0" w:after="283"/>
              <w:jc w:val="left"/>
              <w:rPr>
                <w:sz w:val="4"/>
                <w:szCs w:val="4"/>
              </w:rPr>
            </w:pPr>
            <w:r>
              <w:rPr>
                <w:sz w:val="4"/>
                <w:szCs w:val="4"/>
              </w:rPr>
            </w:r>
          </w:p>
        </w:tc>
        <w:tc>
          <w:tcPr>
            <w:tcW w:w="1805" w:type="dxa"/>
            <w:gridSpan w:val="4"/>
            <w:tcBorders/>
            <w:shd w:fill="EDEDED" w:val="clear"/>
            <w:vAlign w:val="center"/>
          </w:tcPr>
          <w:p>
            <w:pPr>
              <w:pStyle w:val="TableContents"/>
              <w:bidi w:val="0"/>
              <w:spacing w:before="0" w:after="283"/>
              <w:jc w:val="left"/>
              <w:rPr>
                <w:sz w:val="4"/>
                <w:szCs w:val="4"/>
              </w:rPr>
            </w:pPr>
            <w:r>
              <w:rPr>
                <w:sz w:val="4"/>
                <w:szCs w:val="4"/>
              </w:rPr>
            </w:r>
          </w:p>
        </w:tc>
        <w:tc>
          <w:tcPr>
            <w:tcW w:w="1360" w:type="dxa"/>
            <w:gridSpan w:val="4"/>
            <w:tcBorders/>
            <w:shd w:fill="EDEDED" w:val="clear"/>
            <w:vAlign w:val="center"/>
          </w:tcPr>
          <w:p>
            <w:pPr>
              <w:pStyle w:val="TableContents"/>
              <w:bidi w:val="0"/>
              <w:spacing w:before="0" w:after="283"/>
              <w:jc w:val="left"/>
              <w:rPr>
                <w:sz w:val="4"/>
                <w:szCs w:val="4"/>
              </w:rPr>
            </w:pPr>
            <w:r>
              <w:rPr>
                <w:sz w:val="4"/>
                <w:szCs w:val="4"/>
              </w:rPr>
            </w:r>
          </w:p>
        </w:tc>
        <w:tc>
          <w:tcPr>
            <w:tcW w:w="1955" w:type="dxa"/>
            <w:gridSpan w:val="4"/>
            <w:tcBorders/>
            <w:shd w:fill="EDEDED" w:val="clear"/>
            <w:vAlign w:val="center"/>
          </w:tcPr>
          <w:p>
            <w:pPr>
              <w:pStyle w:val="TableContents"/>
              <w:bidi w:val="0"/>
              <w:spacing w:before="0" w:after="283"/>
              <w:jc w:val="left"/>
              <w:rPr>
                <w:sz w:val="4"/>
                <w:szCs w:val="4"/>
              </w:rPr>
            </w:pPr>
            <w:r>
              <w:rPr>
                <w:sz w:val="4"/>
                <w:szCs w:val="4"/>
              </w:rPr>
            </w:r>
          </w:p>
        </w:tc>
        <w:tc>
          <w:tcPr>
            <w:tcW w:w="2135" w:type="dxa"/>
            <w:gridSpan w:val="4"/>
            <w:tcBorders/>
            <w:shd w:fill="EDEDED" w:val="clear"/>
            <w:vAlign w:val="center"/>
          </w:tcPr>
          <w:p>
            <w:pPr>
              <w:pStyle w:val="TableContents"/>
              <w:bidi w:val="0"/>
              <w:spacing w:before="0" w:after="283"/>
              <w:jc w:val="left"/>
              <w:rPr>
                <w:sz w:val="4"/>
                <w:szCs w:val="4"/>
              </w:rPr>
            </w:pPr>
            <w:r>
              <w:rPr>
                <w:sz w:val="4"/>
                <w:szCs w:val="4"/>
              </w:rPr>
            </w:r>
          </w:p>
        </w:tc>
        <w:tc>
          <w:tcPr>
            <w:tcW w:w="1880" w:type="dxa"/>
            <w:gridSpan w:val="4"/>
            <w:tcBorders/>
            <w:shd w:fill="EDEDED" w:val="clear"/>
            <w:vAlign w:val="center"/>
          </w:tcPr>
          <w:p>
            <w:pPr>
              <w:pStyle w:val="TableContents"/>
              <w:bidi w:val="0"/>
              <w:spacing w:before="0" w:after="283"/>
              <w:jc w:val="left"/>
              <w:rPr>
                <w:sz w:val="4"/>
                <w:szCs w:val="4"/>
              </w:rPr>
            </w:pPr>
            <w:r>
              <w:rPr>
                <w:sz w:val="4"/>
                <w:szCs w:val="4"/>
              </w:rPr>
            </w:r>
          </w:p>
        </w:tc>
        <w:tc>
          <w:tcPr>
            <w:tcW w:w="1820" w:type="dxa"/>
            <w:gridSpan w:val="4"/>
            <w:tcBorders/>
            <w:shd w:fill="EDEDED" w:val="clear"/>
            <w:vAlign w:val="center"/>
          </w:tcPr>
          <w:p>
            <w:pPr>
              <w:pStyle w:val="TableContents"/>
              <w:bidi w:val="0"/>
              <w:spacing w:before="0" w:after="283"/>
              <w:jc w:val="left"/>
              <w:rPr>
                <w:sz w:val="4"/>
                <w:szCs w:val="4"/>
              </w:rPr>
            </w:pPr>
            <w:r>
              <w:rPr>
                <w:sz w:val="4"/>
                <w:szCs w:val="4"/>
              </w:rPr>
            </w:r>
          </w:p>
        </w:tc>
        <w:tc>
          <w:tcPr>
            <w:tcW w:w="2150" w:type="dxa"/>
            <w:gridSpan w:val="4"/>
            <w:tcBorders/>
            <w:shd w:fill="EDEDED" w:val="clear"/>
            <w:vAlign w:val="center"/>
          </w:tcPr>
          <w:p>
            <w:pPr>
              <w:pStyle w:val="TableContents"/>
              <w:bidi w:val="0"/>
              <w:spacing w:before="0" w:after="283"/>
              <w:jc w:val="left"/>
              <w:rPr>
                <w:sz w:val="4"/>
                <w:szCs w:val="4"/>
              </w:rPr>
            </w:pPr>
            <w:r>
              <w:rPr>
                <w:sz w:val="4"/>
                <w:szCs w:val="4"/>
              </w:rPr>
            </w:r>
          </w:p>
        </w:tc>
        <w:tc>
          <w:tcPr>
            <w:tcW w:w="1505" w:type="dxa"/>
            <w:gridSpan w:val="4"/>
            <w:tcBorders/>
            <w:shd w:fill="EDEDED" w:val="clear"/>
            <w:vAlign w:val="center"/>
          </w:tcPr>
          <w:p>
            <w:pPr>
              <w:pStyle w:val="TableContents"/>
              <w:bidi w:val="0"/>
              <w:spacing w:before="0" w:after="283"/>
              <w:jc w:val="left"/>
              <w:rPr>
                <w:sz w:val="4"/>
                <w:szCs w:val="4"/>
              </w:rPr>
            </w:pPr>
            <w:r>
              <w:rPr>
                <w:sz w:val="4"/>
                <w:szCs w:val="4"/>
              </w:rPr>
            </w:r>
          </w:p>
        </w:tc>
        <w:tc>
          <w:tcPr>
            <w:tcW w:w="1835" w:type="dxa"/>
            <w:gridSpan w:val="4"/>
            <w:tcBorders/>
            <w:shd w:fill="EDEDED" w:val="clear"/>
            <w:vAlign w:val="center"/>
          </w:tcPr>
          <w:p>
            <w:pPr>
              <w:pStyle w:val="TableContents"/>
              <w:bidi w:val="0"/>
              <w:spacing w:before="0" w:after="283"/>
              <w:jc w:val="left"/>
              <w:rPr>
                <w:sz w:val="4"/>
                <w:szCs w:val="4"/>
              </w:rPr>
            </w:pPr>
            <w:r>
              <w:rPr>
                <w:sz w:val="4"/>
                <w:szCs w:val="4"/>
              </w:rPr>
            </w:r>
          </w:p>
        </w:tc>
        <w:tc>
          <w:tcPr>
            <w:tcW w:w="137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000000"/>
            </w:tcBorders>
            <w:shd w:fill="EDEDED" w:val="clear"/>
            <w:tcMar>
              <w:bottom w:w="40" w:type="dxa"/>
            </w:tcMar>
            <w:vAlign w:val="center"/>
          </w:tcPr>
          <w:p>
            <w:pPr>
              <w:pStyle w:val="TableContents"/>
              <w:bidi w:val="0"/>
              <w:spacing w:before="0" w:after="0"/>
              <w:jc w:val="left"/>
              <w:rPr>
                <w:rFonts w:ascii="ARIAL" w:hAnsi="ARIAL"/>
                <w:sz w:val="16"/>
              </w:rPr>
            </w:pPr>
            <w:r>
              <w:rPr>
                <w:rFonts w:ascii="ARIAL" w:hAnsi="ARIAL"/>
                <w:sz w:val="16"/>
              </w:rPr>
              <w:t>2023</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190"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495" w:type="dxa"/>
            <w:tcBorders>
              <w:bottom w:val="single" w:sz="6" w:space="0" w:color="000000"/>
            </w:tcBorders>
            <w:shd w:fill="EDEDED" w:val="clear"/>
            <w:tcMar>
              <w:bottom w:w="40" w:type="dxa"/>
            </w:tcMar>
            <w:vAlign w:val="center"/>
          </w:tcPr>
          <w:p>
            <w:pPr>
              <w:pStyle w:val="TableContents"/>
              <w:bidi w:val="0"/>
              <w:spacing w:before="0" w:after="283"/>
              <w:jc w:val="right"/>
              <w:rPr/>
            </w:pPr>
            <w:r>
              <w:rPr/>
              <w:t>26,320,395</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100" w:type="dxa"/>
            <w:tcBorders>
              <w:bottom w:val="single" w:sz="6" w:space="0" w:color="000000"/>
            </w:tcBorders>
            <w:shd w:fill="EDEDED" w:val="clear"/>
            <w:tcMar>
              <w:bottom w:w="40" w:type="dxa"/>
            </w:tcMar>
            <w:vAlign w:val="center"/>
          </w:tcPr>
          <w:p>
            <w:pPr>
              <w:pStyle w:val="TableContents"/>
              <w:bidi w:val="0"/>
              <w:spacing w:before="0" w:after="283"/>
              <w:jc w:val="right"/>
              <w:rPr/>
            </w:pPr>
            <w:r>
              <w:rPr/>
              <w:t>24,128,640</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07"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628" w:type="dxa"/>
            <w:tcBorders>
              <w:bottom w:val="single" w:sz="6" w:space="0" w:color="000000"/>
            </w:tcBorders>
            <w:shd w:fill="EDEDED" w:val="clear"/>
            <w:tcMar>
              <w:bottom w:w="40" w:type="dxa"/>
            </w:tcMar>
            <w:vAlign w:val="center"/>
          </w:tcPr>
          <w:p>
            <w:pPr>
              <w:pStyle w:val="TableContents"/>
              <w:bidi w:val="0"/>
              <w:spacing w:before="0" w:after="283"/>
              <w:jc w:val="right"/>
              <w:rPr/>
            </w:pPr>
            <w:r>
              <w:rPr/>
              <w:t>32,021,869</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371"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r>
              <w:rPr/>
              <w:t>$</w:t>
            </w:r>
          </w:p>
        </w:tc>
        <w:tc>
          <w:tcPr>
            <w:tcW w:w="1644" w:type="dxa"/>
            <w:tcBorders>
              <w:bottom w:val="single" w:sz="6" w:space="0" w:color="000000"/>
            </w:tcBorders>
            <w:shd w:fill="EDEDED" w:val="clear"/>
            <w:tcMar>
              <w:bottom w:w="40" w:type="dxa"/>
            </w:tcMar>
            <w:vAlign w:val="center"/>
          </w:tcPr>
          <w:p>
            <w:pPr>
              <w:pStyle w:val="TableContents"/>
              <w:bidi w:val="0"/>
              <w:spacing w:before="0" w:after="283"/>
              <w:jc w:val="right"/>
              <w:rPr/>
            </w:pPr>
            <w:r>
              <w:rPr/>
              <w:t>0      </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385"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r>
              <w:rPr/>
              <w:t>$</w:t>
            </w:r>
          </w:p>
        </w:tc>
        <w:tc>
          <w:tcPr>
            <w:tcW w:w="1375" w:type="dxa"/>
            <w:tcBorders>
              <w:bottom w:val="single" w:sz="6" w:space="0" w:color="000000"/>
            </w:tcBorders>
            <w:shd w:fill="EDEDED" w:val="clear"/>
            <w:tcMar>
              <w:bottom w:w="40" w:type="dxa"/>
            </w:tcMar>
            <w:vAlign w:val="center"/>
          </w:tcPr>
          <w:p>
            <w:pPr>
              <w:pStyle w:val="TableContents"/>
              <w:bidi w:val="0"/>
              <w:spacing w:before="0" w:after="283"/>
              <w:jc w:val="right"/>
              <w:rPr/>
            </w:pPr>
            <w:r>
              <w:rPr/>
              <w:t>0     </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850"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850" w:type="dxa"/>
            <w:tcBorders>
              <w:bottom w:val="single" w:sz="6" w:space="0" w:color="000000"/>
            </w:tcBorders>
            <w:shd w:fill="EDEDED" w:val="clear"/>
            <w:tcMar>
              <w:bottom w:w="40" w:type="dxa"/>
            </w:tcMar>
            <w:vAlign w:val="center"/>
          </w:tcPr>
          <w:p>
            <w:pPr>
              <w:pStyle w:val="TableContents"/>
              <w:bidi w:val="0"/>
              <w:spacing w:before="0" w:after="283"/>
              <w:jc w:val="right"/>
              <w:rPr/>
            </w:pPr>
            <w:r>
              <w:rPr/>
              <w:t>0</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346"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684" w:type="dxa"/>
            <w:tcBorders>
              <w:bottom w:val="single" w:sz="6" w:space="0" w:color="000000"/>
            </w:tcBorders>
            <w:shd w:fill="EDEDED" w:val="clear"/>
            <w:tcMar>
              <w:bottom w:w="40" w:type="dxa"/>
            </w:tcMar>
            <w:vAlign w:val="center"/>
          </w:tcPr>
          <w:p>
            <w:pPr>
              <w:pStyle w:val="TableContents"/>
              <w:bidi w:val="0"/>
              <w:spacing w:before="0" w:after="283"/>
              <w:jc w:val="right"/>
              <w:rPr/>
            </w:pPr>
            <w:r>
              <w:rPr/>
              <w:t>24,422</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92"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693" w:type="dxa"/>
            <w:tcBorders>
              <w:bottom w:val="single" w:sz="6" w:space="0" w:color="000000"/>
            </w:tcBorders>
            <w:shd w:fill="EDEDED" w:val="clear"/>
            <w:tcMar>
              <w:bottom w:w="40" w:type="dxa"/>
            </w:tcMar>
            <w:vAlign w:val="center"/>
          </w:tcPr>
          <w:p>
            <w:pPr>
              <w:pStyle w:val="TableContents"/>
              <w:bidi w:val="0"/>
              <w:spacing w:before="0" w:after="283"/>
              <w:jc w:val="right"/>
              <w:rPr/>
            </w:pPr>
            <w:r>
              <w:rPr/>
              <w:t>0</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857"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858" w:type="dxa"/>
            <w:tcBorders>
              <w:bottom w:val="single" w:sz="6" w:space="0" w:color="000000"/>
            </w:tcBorders>
            <w:shd w:fill="EDEDED" w:val="clear"/>
            <w:tcMar>
              <w:bottom w:w="40" w:type="dxa"/>
            </w:tcMar>
            <w:vAlign w:val="center"/>
          </w:tcPr>
          <w:p>
            <w:pPr>
              <w:pStyle w:val="TableContents"/>
              <w:bidi w:val="0"/>
              <w:spacing w:before="0" w:after="283"/>
              <w:jc w:val="right"/>
              <w:rPr/>
            </w:pPr>
            <w:r>
              <w:rPr/>
              <w:t>0</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100" w:type="dxa"/>
            <w:tcBorders>
              <w:bottom w:val="single" w:sz="6" w:space="0" w:color="000000"/>
            </w:tcBorders>
            <w:shd w:fill="EDEDED" w:val="clear"/>
            <w:tcMar>
              <w:bottom w:w="40" w:type="dxa"/>
            </w:tcMar>
            <w:vAlign w:val="center"/>
          </w:tcPr>
          <w:p>
            <w:pPr>
              <w:pStyle w:val="TableContents"/>
              <w:bidi w:val="0"/>
              <w:spacing w:before="0" w:after="283"/>
              <w:jc w:val="right"/>
              <w:rPr/>
            </w:pPr>
            <w:r>
              <w:rPr/>
              <w:t>34,238,046</w:t>
            </w:r>
          </w:p>
        </w:tc>
        <w:tc>
          <w:tcPr>
            <w:tcW w:w="75"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tbl>
      <w:tblPr>
        <w:tblW w:w="17710" w:type="dxa"/>
        <w:jc w:val="left"/>
        <w:tblInd w:w="0" w:type="dxa"/>
        <w:tblLayout w:type="fixed"/>
        <w:tblCellMar>
          <w:top w:w="0" w:type="dxa"/>
          <w:left w:w="0" w:type="dxa"/>
          <w:bottom w:w="0" w:type="dxa"/>
          <w:right w:w="0" w:type="dxa"/>
        </w:tblCellMar>
      </w:tblPr>
      <w:tblGrid>
        <w:gridCol w:w="395"/>
        <w:gridCol w:w="60"/>
        <w:gridCol w:w="202"/>
        <w:gridCol w:w="1588"/>
        <w:gridCol w:w="60"/>
        <w:gridCol w:w="60"/>
        <w:gridCol w:w="140"/>
        <w:gridCol w:w="1100"/>
        <w:gridCol w:w="60"/>
        <w:gridCol w:w="60"/>
        <w:gridCol w:w="207"/>
        <w:gridCol w:w="1628"/>
        <w:gridCol w:w="60"/>
        <w:gridCol w:w="60"/>
        <w:gridCol w:w="313"/>
        <w:gridCol w:w="1522"/>
        <w:gridCol w:w="155"/>
        <w:gridCol w:w="60"/>
        <w:gridCol w:w="250"/>
        <w:gridCol w:w="1000"/>
        <w:gridCol w:w="155"/>
        <w:gridCol w:w="60"/>
        <w:gridCol w:w="790"/>
        <w:gridCol w:w="790"/>
        <w:gridCol w:w="60"/>
        <w:gridCol w:w="60"/>
        <w:gridCol w:w="346"/>
        <w:gridCol w:w="1684"/>
        <w:gridCol w:w="60"/>
        <w:gridCol w:w="60"/>
        <w:gridCol w:w="692"/>
        <w:gridCol w:w="693"/>
        <w:gridCol w:w="60"/>
        <w:gridCol w:w="60"/>
        <w:gridCol w:w="857"/>
        <w:gridCol w:w="858"/>
        <w:gridCol w:w="60"/>
        <w:gridCol w:w="60"/>
        <w:gridCol w:w="141"/>
        <w:gridCol w:w="1109"/>
        <w:gridCol w:w="75"/>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000000"/>
            </w:tcBorders>
            <w:shd w:fill="0BC11C" w:val="clear"/>
            <w:tcMar>
              <w:bottom w:w="60" w:type="dxa"/>
            </w:tcMar>
            <w:vAlign w:val="center"/>
          </w:tcPr>
          <w:p>
            <w:pPr>
              <w:pStyle w:val="TableContents"/>
              <w:bidi w:val="0"/>
              <w:spacing w:before="0" w:after="0"/>
              <w:jc w:val="left"/>
              <w:rPr>
                <w:rFonts w:ascii="ARIAL" w:hAnsi="ARIAL"/>
                <w:b/>
                <w:color w:val="FFFFFF"/>
                <w:spacing w:val="0"/>
                <w:sz w:val="12"/>
              </w:rPr>
            </w:pPr>
            <w:r>
              <w:rPr>
                <w:rFonts w:ascii="ARIAL" w:hAnsi="ARIAL"/>
                <w:b/>
                <w:color w:val="FFFFFF"/>
                <w:spacing w:val="0"/>
                <w:sz w:val="12"/>
              </w:rPr>
              <w:t>YEAR</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790" w:type="dxa"/>
            <w:gridSpan w:val="2"/>
            <w:tcBorders>
              <w:bottom w:val="single" w:sz="6" w:space="0" w:color="000000"/>
            </w:tcBorders>
            <w:shd w:fill="0BC11C" w:val="clear"/>
            <w:tcMar>
              <w:bottom w:w="60" w:type="dxa"/>
            </w:tcMar>
            <w:vAlign w:val="center"/>
          </w:tcPr>
          <w:p>
            <w:pPr>
              <w:pStyle w:val="TableContents"/>
              <w:bidi w:val="0"/>
              <w:spacing w:before="0" w:after="0"/>
              <w:jc w:val="center"/>
              <w:rPr>
                <w:b/>
                <w:color w:val="FFFFFF"/>
                <w:spacing w:val="0"/>
              </w:rPr>
            </w:pPr>
            <w:r>
              <w:rPr>
                <w:b/>
                <w:color w:val="FFFFFF"/>
                <w:spacing w:val="0"/>
              </w:rPr>
              <w:t>SCT AVERAGE</w:t>
              <w:br/>
              <w:t>FOR OTHER</w:t>
              <w:br/>
              <w:t>NEOS</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240" w:type="dxa"/>
            <w:gridSpan w:val="2"/>
            <w:tcBorders>
              <w:bottom w:val="single" w:sz="6" w:space="0" w:color="000000"/>
            </w:tcBorders>
            <w:shd w:fill="0BC11C" w:val="clear"/>
            <w:tcMar>
              <w:bottom w:w="60" w:type="dxa"/>
            </w:tcMar>
            <w:vAlign w:val="center"/>
          </w:tcPr>
          <w:p>
            <w:pPr>
              <w:pStyle w:val="TableContents"/>
              <w:bidi w:val="0"/>
              <w:spacing w:before="0" w:after="20"/>
              <w:jc w:val="center"/>
              <w:rPr>
                <w:rFonts w:ascii="ARIAL" w:hAnsi="ARIAL"/>
                <w:b/>
                <w:i/>
                <w:color w:val="FFFFFF"/>
                <w:spacing w:val="0"/>
                <w:sz w:val="12"/>
              </w:rPr>
            </w:pPr>
            <w:r>
              <w:rPr>
                <w:rFonts w:ascii="ARIAL" w:hAnsi="ARIAL"/>
                <w:b/>
                <w:i/>
                <w:color w:val="FFFFFF"/>
                <w:spacing w:val="0"/>
                <w:sz w:val="12"/>
              </w:rPr>
              <w:t>MINUS </w:t>
            </w:r>
          </w:p>
          <w:p>
            <w:pPr>
              <w:pStyle w:val="TableContents"/>
              <w:bidi w:val="0"/>
              <w:spacing w:before="0" w:after="20"/>
              <w:jc w:val="center"/>
              <w:rPr>
                <w:rFonts w:ascii="ARIAL" w:hAnsi="ARIAL"/>
                <w:b/>
                <w:color w:val="FFFFFF"/>
                <w:spacing w:val="0"/>
                <w:sz w:val="12"/>
              </w:rPr>
            </w:pPr>
            <w:r>
              <w:rPr>
                <w:rFonts w:ascii="ARIAL" w:hAnsi="ARIAL"/>
                <w:b/>
                <w:color w:val="FFFFFF"/>
                <w:spacing w:val="0"/>
                <w:sz w:val="12"/>
              </w:rPr>
              <w:t>STOCK</w:t>
              <w:br/>
              <w:t>AWARD</w:t>
              <w:br/>
              <w:t>VALUE &amp;</w:t>
              <w:br/>
              <w:t>OPTION</w:t>
              <w:br/>
              <w:t>AWARD VALUE</w:t>
              <w:br/>
              <w:t>REPORTED IN</w:t>
              <w:br/>
              <w:t>SCT FOR THE</w:t>
              <w:br/>
              <w:t>COVERED</w:t>
              <w:br/>
              <w:t>YEAR</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835" w:type="dxa"/>
            <w:gridSpan w:val="2"/>
            <w:tcBorders>
              <w:bottom w:val="single" w:sz="6" w:space="0" w:color="000000"/>
            </w:tcBorders>
            <w:shd w:fill="0BC11C" w:val="clear"/>
            <w:tcMar>
              <w:bottom w:w="60" w:type="dxa"/>
            </w:tcMar>
            <w:vAlign w:val="center"/>
          </w:tcPr>
          <w:p>
            <w:pPr>
              <w:pStyle w:val="TableContents"/>
              <w:bidi w:val="0"/>
              <w:spacing w:before="0" w:after="0"/>
              <w:jc w:val="center"/>
              <w:rPr>
                <w:b/>
                <w:i/>
                <w:color w:val="FFFFFF"/>
                <w:spacing w:val="0"/>
              </w:rPr>
            </w:pPr>
            <w:r>
              <w:rPr>
                <w:b/>
                <w:i/>
                <w:color w:val="FFFFFF"/>
                <w:spacing w:val="0"/>
              </w:rPr>
              <w:t xml:space="preserve">PLUS </w:t>
            </w:r>
          </w:p>
          <w:p>
            <w:pPr>
              <w:pStyle w:val="TableContents"/>
              <w:bidi w:val="0"/>
              <w:spacing w:before="0" w:after="0"/>
              <w:jc w:val="center"/>
              <w:rPr>
                <w:b/>
                <w:color w:val="FFFFFF"/>
                <w:spacing w:val="0"/>
              </w:rPr>
            </w:pPr>
            <w:r>
              <w:rPr>
                <w:b/>
                <w:color w:val="FFFFFF"/>
                <w:spacing w:val="0"/>
              </w:rPr>
              <w:t>YEAR</w:t>
              <w:br/>
              <w:t>END FAIR</w:t>
              <w:br/>
              <w:t>VALUE OF</w:t>
              <w:br/>
              <w:t>EQUITY</w:t>
              <w:br/>
              <w:t>AWARDS</w:t>
              <w:br/>
              <w:t>GRANTED</w:t>
              <w:br/>
              <w:t>DURING THE</w:t>
              <w:br/>
              <w:t>COVERED</w:t>
              <w:br/>
              <w:t>YEAR THAT</w:t>
              <w:br/>
              <w:t>REMAIN</w:t>
              <w:br/>
              <w:t>OUTSTANDING</w:t>
              <w:br/>
              <w:t>AND</w:t>
              <w:br/>
              <w:t>UNVESTED AS</w:t>
              <w:br/>
              <w:t>OF LAST DAY</w:t>
              <w:br/>
              <w:t>OF THE</w:t>
              <w:br/>
              <w:t>COVERED</w:t>
              <w:br/>
              <w:t>YEAR</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835" w:type="dxa"/>
            <w:gridSpan w:val="2"/>
            <w:tcBorders>
              <w:bottom w:val="single" w:sz="6" w:space="0" w:color="000000"/>
            </w:tcBorders>
            <w:shd w:fill="0BC11C" w:val="clear"/>
            <w:tcMar>
              <w:bottom w:w="60" w:type="dxa"/>
            </w:tcMar>
            <w:vAlign w:val="center"/>
          </w:tcPr>
          <w:p>
            <w:pPr>
              <w:pStyle w:val="TableContents"/>
              <w:bidi w:val="0"/>
              <w:spacing w:before="0" w:after="0"/>
              <w:jc w:val="center"/>
              <w:rPr>
                <w:b/>
                <w:i/>
                <w:color w:val="FFFFFF"/>
                <w:spacing w:val="0"/>
              </w:rPr>
            </w:pPr>
            <w:r>
              <w:rPr>
                <w:b/>
                <w:i/>
                <w:color w:val="FFFFFF"/>
                <w:spacing w:val="0"/>
              </w:rPr>
              <w:t xml:space="preserve">PLUS </w:t>
            </w:r>
          </w:p>
          <w:p>
            <w:pPr>
              <w:pStyle w:val="TableContents"/>
              <w:bidi w:val="0"/>
              <w:spacing w:before="0" w:after="0"/>
              <w:jc w:val="center"/>
              <w:rPr>
                <w:b/>
                <w:color w:val="FFFFFF"/>
                <w:spacing w:val="0"/>
              </w:rPr>
            </w:pPr>
            <w:r>
              <w:rPr>
                <w:b/>
                <w:color w:val="FFFFFF"/>
                <w:spacing w:val="0"/>
              </w:rPr>
              <w:t>YEAR</w:t>
              <w:br/>
              <w:t>OVER YEAR</w:t>
              <w:br/>
              <w:t>CHANGE IN</w:t>
              <w:br/>
              <w:t>FAIR VALUE AS</w:t>
              <w:br/>
              <w:t>OF THE LAST</w:t>
              <w:br/>
              <w:t>DAY OF THE</w:t>
              <w:br/>
              <w:t>COVERED YEAR</w:t>
              <w:br/>
              <w:t>OF</w:t>
              <w:br/>
              <w:t>OUTSTANDING</w:t>
              <w:br/>
              <w:t>AND UNVESTED</w:t>
              <w:br/>
              <w:t>EQUITY</w:t>
              <w:br/>
              <w:t>AWARDS</w:t>
              <w:br/>
              <w:t>GRANTED IN</w:t>
              <w:br/>
              <w:t>PRIOR YEARS</w:t>
            </w:r>
          </w:p>
        </w:tc>
        <w:tc>
          <w:tcPr>
            <w:tcW w:w="155"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250" w:type="dxa"/>
            <w:gridSpan w:val="2"/>
            <w:tcBorders>
              <w:bottom w:val="single" w:sz="6" w:space="0" w:color="000000"/>
            </w:tcBorders>
            <w:shd w:fill="0BC11C" w:val="clear"/>
            <w:tcMar>
              <w:bottom w:w="60" w:type="dxa"/>
            </w:tcMar>
            <w:vAlign w:val="center"/>
          </w:tcPr>
          <w:p>
            <w:pPr>
              <w:pStyle w:val="TableContents"/>
              <w:bidi w:val="0"/>
              <w:spacing w:before="0" w:after="0"/>
              <w:jc w:val="center"/>
              <w:rPr>
                <w:b/>
                <w:i/>
                <w:color w:val="FFFFFF"/>
                <w:spacing w:val="0"/>
              </w:rPr>
            </w:pPr>
            <w:r>
              <w:rPr>
                <w:b/>
                <w:i/>
                <w:color w:val="FFFFFF"/>
                <w:spacing w:val="0"/>
              </w:rPr>
              <w:t>PLUS</w:t>
            </w:r>
          </w:p>
          <w:p>
            <w:pPr>
              <w:pStyle w:val="TableContents"/>
              <w:bidi w:val="0"/>
              <w:spacing w:before="0" w:after="0"/>
              <w:jc w:val="center"/>
              <w:rPr>
                <w:b/>
                <w:color w:val="FFFFFF"/>
                <w:spacing w:val="0"/>
              </w:rPr>
            </w:pPr>
            <w:r>
              <w:rPr>
                <w:b/>
                <w:color w:val="FFFFFF"/>
                <w:spacing w:val="0"/>
              </w:rPr>
              <w:t>YEAR</w:t>
              <w:br/>
              <w:t>OVER YEAR</w:t>
              <w:br/>
              <w:t>CHANGE IN</w:t>
              <w:br/>
              <w:t>FAIR VALUE</w:t>
              <w:br/>
              <w:t>AS OF THE</w:t>
              <w:br/>
              <w:t>VESTING</w:t>
              <w:br/>
              <w:t>DATE OF</w:t>
              <w:br/>
              <w:t>EQUITY</w:t>
              <w:br/>
              <w:t>AWARDS</w:t>
              <w:br/>
              <w:t>GRANTED IN</w:t>
              <w:br/>
              <w:t>PRIOR YEARS</w:t>
              <w:br/>
              <w:t>THAT VESTED</w:t>
              <w:br/>
              <w:t>DURING THE</w:t>
              <w:br/>
              <w:t>COVERED</w:t>
              <w:br/>
              <w:t>YEAR</w:t>
            </w:r>
          </w:p>
        </w:tc>
        <w:tc>
          <w:tcPr>
            <w:tcW w:w="155"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580" w:type="dxa"/>
            <w:gridSpan w:val="2"/>
            <w:tcBorders>
              <w:bottom w:val="single" w:sz="6" w:space="0" w:color="000000"/>
            </w:tcBorders>
            <w:shd w:fill="0BC11C" w:val="clear"/>
            <w:tcMar>
              <w:bottom w:w="60" w:type="dxa"/>
            </w:tcMar>
            <w:vAlign w:val="center"/>
          </w:tcPr>
          <w:p>
            <w:pPr>
              <w:pStyle w:val="TableContents"/>
              <w:bidi w:val="0"/>
              <w:spacing w:before="0" w:after="0"/>
              <w:jc w:val="center"/>
              <w:rPr>
                <w:b/>
                <w:i/>
                <w:color w:val="FFFFFF"/>
                <w:spacing w:val="0"/>
              </w:rPr>
            </w:pPr>
            <w:r>
              <w:rPr>
                <w:b/>
                <w:i/>
                <w:color w:val="FFFFFF"/>
                <w:spacing w:val="0"/>
              </w:rPr>
              <w:t>MINUS</w:t>
            </w:r>
          </w:p>
          <w:p>
            <w:pPr>
              <w:pStyle w:val="TableContents"/>
              <w:bidi w:val="0"/>
              <w:spacing w:before="0" w:after="0"/>
              <w:jc w:val="center"/>
              <w:rPr>
                <w:b/>
                <w:color w:val="FFFFFF"/>
                <w:spacing w:val="0"/>
              </w:rPr>
            </w:pPr>
            <w:r>
              <w:rPr>
                <w:b/>
                <w:color w:val="FFFFFF"/>
                <w:spacing w:val="0"/>
              </w:rPr>
              <w:t>FAIR</w:t>
              <w:br/>
              <w:t>VALUE AT</w:t>
              <w:br/>
              <w:t>THE END OF</w:t>
              <w:br/>
              <w:t>THE PRIOR</w:t>
              <w:br/>
              <w:t>YEAR OF</w:t>
              <w:br/>
              <w:t>EQUITY</w:t>
              <w:br/>
              <w:t>AWARDS</w:t>
              <w:br/>
              <w:t>THAT FAILED</w:t>
              <w:br/>
              <w:t>TO MEET</w:t>
              <w:br/>
              <w:t>VESTING</w:t>
              <w:br/>
              <w:t>CONDITIONS</w:t>
              <w:br/>
              <w:t>IN THE</w:t>
              <w:br/>
              <w:t>COVERED</w:t>
              <w:br/>
              <w:t>YEAR</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2030" w:type="dxa"/>
            <w:gridSpan w:val="2"/>
            <w:tcBorders>
              <w:bottom w:val="single" w:sz="6" w:space="0" w:color="000000"/>
            </w:tcBorders>
            <w:shd w:fill="0BC11C" w:val="clear"/>
            <w:tcMar>
              <w:bottom w:w="60" w:type="dxa"/>
            </w:tcMar>
            <w:vAlign w:val="center"/>
          </w:tcPr>
          <w:p>
            <w:pPr>
              <w:pStyle w:val="TableContents"/>
              <w:bidi w:val="0"/>
              <w:spacing w:before="0" w:after="0"/>
              <w:jc w:val="center"/>
              <w:rPr>
                <w:b/>
                <w:i/>
                <w:color w:val="FFFFFF"/>
                <w:spacing w:val="0"/>
              </w:rPr>
            </w:pPr>
            <w:r>
              <w:rPr>
                <w:b/>
                <w:i/>
                <w:color w:val="FFFFFF"/>
                <w:spacing w:val="0"/>
              </w:rPr>
              <w:t xml:space="preserve">PLUS </w:t>
            </w:r>
          </w:p>
          <w:p>
            <w:pPr>
              <w:pStyle w:val="TableContents"/>
              <w:bidi w:val="0"/>
              <w:spacing w:before="0" w:after="0"/>
              <w:jc w:val="center"/>
              <w:rPr>
                <w:b/>
                <w:color w:val="FFFFFF"/>
                <w:spacing w:val="0"/>
              </w:rPr>
            </w:pPr>
            <w:r>
              <w:rPr>
                <w:b/>
                <w:color w:val="FFFFFF"/>
                <w:spacing w:val="0"/>
              </w:rPr>
              <w:t>VALUE OF</w:t>
              <w:br/>
              <w:t>DIVIDENDS OR</w:t>
              <w:br/>
              <w:t>OTHER</w:t>
              <w:br/>
              <w:t>EARNINGS PAID</w:t>
              <w:br/>
              <w:t>ON STOCK OR</w:t>
              <w:br/>
              <w:t>OPTION</w:t>
              <w:br/>
              <w:t>AWARDS NOT</w:t>
              <w:br/>
              <w:t>OTHERWISE</w:t>
              <w:br/>
              <w:t>REFLECTED IN</w:t>
              <w:br/>
              <w:t>FAIR VALUE OR</w:t>
              <w:br/>
              <w:t>TOTRAL</w:t>
              <w:br/>
              <w:t>COMPENSATION</w:t>
              <w:br/>
              <w:t>FOR THE</w:t>
              <w:br/>
              <w:t>COVERED YEAR</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385" w:type="dxa"/>
            <w:gridSpan w:val="2"/>
            <w:tcBorders>
              <w:bottom w:val="single" w:sz="6" w:space="0" w:color="000000"/>
            </w:tcBorders>
            <w:shd w:fill="0BC11C" w:val="clear"/>
            <w:tcMar>
              <w:bottom w:w="60" w:type="dxa"/>
            </w:tcMar>
            <w:vAlign w:val="center"/>
          </w:tcPr>
          <w:p>
            <w:pPr>
              <w:pStyle w:val="TableContents"/>
              <w:bidi w:val="0"/>
              <w:spacing w:before="0" w:after="0"/>
              <w:jc w:val="center"/>
              <w:rPr>
                <w:b/>
                <w:i/>
                <w:color w:val="FFFFFF"/>
                <w:spacing w:val="0"/>
              </w:rPr>
            </w:pPr>
            <w:r>
              <w:rPr>
                <w:b/>
                <w:i/>
                <w:color w:val="FFFFFF"/>
                <w:spacing w:val="0"/>
              </w:rPr>
              <w:t>MINUS</w:t>
            </w:r>
          </w:p>
          <w:p>
            <w:pPr>
              <w:pStyle w:val="TableContents"/>
              <w:bidi w:val="0"/>
              <w:spacing w:before="0" w:after="0"/>
              <w:jc w:val="center"/>
              <w:rPr>
                <w:b/>
                <w:color w:val="FFFFFF"/>
                <w:spacing w:val="0"/>
              </w:rPr>
            </w:pPr>
            <w:r>
              <w:rPr>
                <w:b/>
                <w:color w:val="FFFFFF"/>
                <w:spacing w:val="0"/>
              </w:rPr>
              <w:t>CHANGE</w:t>
              <w:br/>
              <w:t>IN</w:t>
              <w:br/>
              <w:t>PENSION</w:t>
              <w:br/>
              <w:t>VALUE</w:t>
              <w:br/>
              <w:t>REPORTED</w:t>
              <w:br/>
              <w:t>IN SCT</w:t>
              <w:br/>
              <w:t>FOR</w:t>
              <w:br/>
              <w:t>COVERED</w:t>
              <w:br/>
              <w:t>YEAR</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715" w:type="dxa"/>
            <w:gridSpan w:val="2"/>
            <w:tcBorders>
              <w:bottom w:val="single" w:sz="6" w:space="0" w:color="000000"/>
            </w:tcBorders>
            <w:shd w:fill="0BC11C" w:val="clear"/>
            <w:tcMar>
              <w:bottom w:w="60" w:type="dxa"/>
            </w:tcMar>
            <w:vAlign w:val="center"/>
          </w:tcPr>
          <w:p>
            <w:pPr>
              <w:pStyle w:val="TableContents"/>
              <w:bidi w:val="0"/>
              <w:spacing w:before="0" w:after="0"/>
              <w:jc w:val="center"/>
              <w:rPr>
                <w:b/>
                <w:i/>
                <w:color w:val="FFFFFF"/>
                <w:spacing w:val="0"/>
              </w:rPr>
            </w:pPr>
            <w:r>
              <w:rPr>
                <w:b/>
                <w:i/>
                <w:color w:val="FFFFFF"/>
                <w:spacing w:val="0"/>
              </w:rPr>
              <w:t>PLUS</w:t>
            </w:r>
          </w:p>
          <w:p>
            <w:pPr>
              <w:pStyle w:val="TableContents"/>
              <w:bidi w:val="0"/>
              <w:spacing w:before="0" w:after="0"/>
              <w:jc w:val="center"/>
              <w:rPr>
                <w:b/>
                <w:color w:val="FFFFFF"/>
                <w:spacing w:val="0"/>
              </w:rPr>
            </w:pPr>
            <w:r>
              <w:rPr>
                <w:b/>
                <w:color w:val="FFFFFF"/>
                <w:spacing w:val="0"/>
              </w:rPr>
              <w:t>PENSION</w:t>
              <w:br/>
              <w:t>ADJUSTMENT</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c>
          <w:tcPr>
            <w:tcW w:w="1250" w:type="dxa"/>
            <w:gridSpan w:val="2"/>
            <w:tcBorders>
              <w:bottom w:val="single" w:sz="6" w:space="0" w:color="000000"/>
            </w:tcBorders>
            <w:shd w:fill="0BC11C" w:val="clear"/>
            <w:tcMar>
              <w:bottom w:w="60" w:type="dxa"/>
            </w:tcMar>
            <w:vAlign w:val="center"/>
          </w:tcPr>
          <w:p>
            <w:pPr>
              <w:pStyle w:val="TableContents"/>
              <w:bidi w:val="0"/>
              <w:spacing w:before="0" w:after="0"/>
              <w:jc w:val="center"/>
              <w:rPr>
                <w:b/>
                <w:color w:val="FFFFFF"/>
                <w:spacing w:val="0"/>
              </w:rPr>
            </w:pPr>
            <w:r>
              <w:rPr>
                <w:b/>
                <w:color w:val="FFFFFF"/>
                <w:spacing w:val="0"/>
              </w:rPr>
              <w:t>AVERAGE</w:t>
              <w:br/>
              <w:t>OTHER NEO</w:t>
              <w:br/>
              <w:t>CAP</w:t>
            </w:r>
          </w:p>
        </w:tc>
        <w:tc>
          <w:tcPr>
            <w:tcW w:w="75" w:type="dxa"/>
            <w:tcBorders>
              <w:bottom w:val="single" w:sz="6" w:space="0" w:color="000000"/>
            </w:tcBorders>
            <w:shd w:fill="0BC11C" w:val="clear"/>
            <w:tcMar>
              <w:bottom w:w="28" w:type="dxa"/>
            </w:tcMar>
            <w:vAlign w:val="center"/>
          </w:tcPr>
          <w:p>
            <w:pPr>
              <w:pStyle w:val="TableContents"/>
              <w:bidi w:val="0"/>
              <w:spacing w:before="0" w:after="283"/>
              <w:jc w:val="left"/>
              <w:rPr/>
            </w:pPr>
            <w:r>
              <w:rPr/>
              <w:t> </w:t>
            </w:r>
          </w:p>
        </w:tc>
      </w:tr>
      <w:tr>
        <w:trPr/>
        <w:tc>
          <w:tcPr>
            <w:tcW w:w="395" w:type="dxa"/>
            <w:tcBorders/>
            <w:shd w:fill="EDEDED" w:val="clear"/>
            <w:vAlign w:val="center"/>
          </w:tcPr>
          <w:p>
            <w:pPr>
              <w:pStyle w:val="TableContents"/>
              <w:bidi w:val="0"/>
              <w:spacing w:before="0" w:after="283"/>
              <w:jc w:val="left"/>
              <w:rPr>
                <w:sz w:val="4"/>
                <w:szCs w:val="4"/>
              </w:rPr>
            </w:pPr>
            <w:r>
              <w:rPr>
                <w:sz w:val="4"/>
                <w:szCs w:val="4"/>
              </w:rPr>
            </w:r>
          </w:p>
        </w:tc>
        <w:tc>
          <w:tcPr>
            <w:tcW w:w="1910" w:type="dxa"/>
            <w:gridSpan w:val="4"/>
            <w:tcBorders/>
            <w:shd w:fill="EDEDED" w:val="clear"/>
            <w:vAlign w:val="center"/>
          </w:tcPr>
          <w:p>
            <w:pPr>
              <w:pStyle w:val="TableContents"/>
              <w:bidi w:val="0"/>
              <w:spacing w:before="0" w:after="283"/>
              <w:jc w:val="left"/>
              <w:rPr>
                <w:sz w:val="4"/>
                <w:szCs w:val="4"/>
              </w:rPr>
            </w:pPr>
            <w:r>
              <w:rPr>
                <w:sz w:val="4"/>
                <w:szCs w:val="4"/>
              </w:rPr>
            </w:r>
          </w:p>
        </w:tc>
        <w:tc>
          <w:tcPr>
            <w:tcW w:w="1360" w:type="dxa"/>
            <w:gridSpan w:val="4"/>
            <w:tcBorders/>
            <w:shd w:fill="EDEDED" w:val="clear"/>
            <w:vAlign w:val="center"/>
          </w:tcPr>
          <w:p>
            <w:pPr>
              <w:pStyle w:val="TableContents"/>
              <w:bidi w:val="0"/>
              <w:spacing w:before="0" w:after="283"/>
              <w:jc w:val="left"/>
              <w:rPr>
                <w:sz w:val="4"/>
                <w:szCs w:val="4"/>
              </w:rPr>
            </w:pPr>
            <w:r>
              <w:rPr>
                <w:sz w:val="4"/>
                <w:szCs w:val="4"/>
              </w:rPr>
            </w:r>
          </w:p>
        </w:tc>
        <w:tc>
          <w:tcPr>
            <w:tcW w:w="1955" w:type="dxa"/>
            <w:gridSpan w:val="4"/>
            <w:tcBorders/>
            <w:shd w:fill="EDEDED" w:val="clear"/>
            <w:vAlign w:val="center"/>
          </w:tcPr>
          <w:p>
            <w:pPr>
              <w:pStyle w:val="TableContents"/>
              <w:bidi w:val="0"/>
              <w:spacing w:before="0" w:after="283"/>
              <w:jc w:val="left"/>
              <w:rPr>
                <w:sz w:val="4"/>
                <w:szCs w:val="4"/>
              </w:rPr>
            </w:pPr>
            <w:r>
              <w:rPr>
                <w:sz w:val="4"/>
                <w:szCs w:val="4"/>
              </w:rPr>
            </w:r>
          </w:p>
        </w:tc>
        <w:tc>
          <w:tcPr>
            <w:tcW w:w="2050" w:type="dxa"/>
            <w:gridSpan w:val="4"/>
            <w:tcBorders/>
            <w:shd w:fill="EDEDED" w:val="clear"/>
            <w:vAlign w:val="center"/>
          </w:tcPr>
          <w:p>
            <w:pPr>
              <w:pStyle w:val="TableContents"/>
              <w:bidi w:val="0"/>
              <w:spacing w:before="0" w:after="283"/>
              <w:jc w:val="left"/>
              <w:rPr>
                <w:sz w:val="4"/>
                <w:szCs w:val="4"/>
              </w:rPr>
            </w:pPr>
            <w:r>
              <w:rPr>
                <w:sz w:val="4"/>
                <w:szCs w:val="4"/>
              </w:rPr>
            </w:r>
          </w:p>
        </w:tc>
        <w:tc>
          <w:tcPr>
            <w:tcW w:w="1465" w:type="dxa"/>
            <w:gridSpan w:val="4"/>
            <w:tcBorders/>
            <w:shd w:fill="EDEDED" w:val="clear"/>
            <w:vAlign w:val="center"/>
          </w:tcPr>
          <w:p>
            <w:pPr>
              <w:pStyle w:val="TableContents"/>
              <w:bidi w:val="0"/>
              <w:spacing w:before="0" w:after="283"/>
              <w:jc w:val="left"/>
              <w:rPr>
                <w:sz w:val="4"/>
                <w:szCs w:val="4"/>
              </w:rPr>
            </w:pPr>
            <w:r>
              <w:rPr>
                <w:sz w:val="4"/>
                <w:szCs w:val="4"/>
              </w:rPr>
            </w:r>
          </w:p>
        </w:tc>
        <w:tc>
          <w:tcPr>
            <w:tcW w:w="1700" w:type="dxa"/>
            <w:gridSpan w:val="4"/>
            <w:tcBorders/>
            <w:shd w:fill="EDEDED" w:val="clear"/>
            <w:vAlign w:val="center"/>
          </w:tcPr>
          <w:p>
            <w:pPr>
              <w:pStyle w:val="TableContents"/>
              <w:bidi w:val="0"/>
              <w:spacing w:before="0" w:after="283"/>
              <w:jc w:val="left"/>
              <w:rPr>
                <w:sz w:val="4"/>
                <w:szCs w:val="4"/>
              </w:rPr>
            </w:pPr>
            <w:r>
              <w:rPr>
                <w:sz w:val="4"/>
                <w:szCs w:val="4"/>
              </w:rPr>
            </w:r>
          </w:p>
        </w:tc>
        <w:tc>
          <w:tcPr>
            <w:tcW w:w="2150" w:type="dxa"/>
            <w:gridSpan w:val="4"/>
            <w:tcBorders/>
            <w:shd w:fill="EDEDED" w:val="clear"/>
            <w:vAlign w:val="center"/>
          </w:tcPr>
          <w:p>
            <w:pPr>
              <w:pStyle w:val="TableContents"/>
              <w:bidi w:val="0"/>
              <w:spacing w:before="0" w:after="283"/>
              <w:jc w:val="left"/>
              <w:rPr>
                <w:sz w:val="4"/>
                <w:szCs w:val="4"/>
              </w:rPr>
            </w:pPr>
            <w:r>
              <w:rPr>
                <w:sz w:val="4"/>
                <w:szCs w:val="4"/>
              </w:rPr>
            </w:r>
          </w:p>
        </w:tc>
        <w:tc>
          <w:tcPr>
            <w:tcW w:w="1505" w:type="dxa"/>
            <w:gridSpan w:val="4"/>
            <w:tcBorders/>
            <w:shd w:fill="EDEDED" w:val="clear"/>
            <w:vAlign w:val="center"/>
          </w:tcPr>
          <w:p>
            <w:pPr>
              <w:pStyle w:val="TableContents"/>
              <w:bidi w:val="0"/>
              <w:spacing w:before="0" w:after="283"/>
              <w:jc w:val="left"/>
              <w:rPr>
                <w:sz w:val="4"/>
                <w:szCs w:val="4"/>
              </w:rPr>
            </w:pPr>
            <w:r>
              <w:rPr>
                <w:sz w:val="4"/>
                <w:szCs w:val="4"/>
              </w:rPr>
            </w:r>
          </w:p>
        </w:tc>
        <w:tc>
          <w:tcPr>
            <w:tcW w:w="1835" w:type="dxa"/>
            <w:gridSpan w:val="4"/>
            <w:tcBorders/>
            <w:shd w:fill="EDEDED" w:val="clear"/>
            <w:vAlign w:val="center"/>
          </w:tcPr>
          <w:p>
            <w:pPr>
              <w:pStyle w:val="TableContents"/>
              <w:bidi w:val="0"/>
              <w:spacing w:before="0" w:after="283"/>
              <w:jc w:val="left"/>
              <w:rPr>
                <w:sz w:val="4"/>
                <w:szCs w:val="4"/>
              </w:rPr>
            </w:pPr>
            <w:r>
              <w:rPr>
                <w:sz w:val="4"/>
                <w:szCs w:val="4"/>
              </w:rPr>
            </w:r>
          </w:p>
        </w:tc>
        <w:tc>
          <w:tcPr>
            <w:tcW w:w="138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395" w:type="dxa"/>
            <w:tcBorders>
              <w:bottom w:val="single" w:sz="6" w:space="0" w:color="000000"/>
            </w:tcBorders>
            <w:shd w:fill="EDEDED" w:val="clear"/>
            <w:tcMar>
              <w:bottom w:w="40" w:type="dxa"/>
            </w:tcMar>
            <w:vAlign w:val="center"/>
          </w:tcPr>
          <w:p>
            <w:pPr>
              <w:pStyle w:val="TableContents"/>
              <w:bidi w:val="0"/>
              <w:spacing w:before="0" w:after="0"/>
              <w:jc w:val="left"/>
              <w:rPr>
                <w:rFonts w:ascii="ARIAL" w:hAnsi="ARIAL"/>
                <w:sz w:val="16"/>
              </w:rPr>
            </w:pPr>
            <w:r>
              <w:rPr>
                <w:rFonts w:ascii="ARIAL" w:hAnsi="ARIAL"/>
                <w:sz w:val="16"/>
              </w:rPr>
              <w:t>2023</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02"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588" w:type="dxa"/>
            <w:tcBorders>
              <w:bottom w:val="single" w:sz="6" w:space="0" w:color="000000"/>
            </w:tcBorders>
            <w:shd w:fill="EDEDED" w:val="clear"/>
            <w:tcMar>
              <w:bottom w:w="40" w:type="dxa"/>
            </w:tcMar>
            <w:vAlign w:val="center"/>
          </w:tcPr>
          <w:p>
            <w:pPr>
              <w:pStyle w:val="TableContents"/>
              <w:bidi w:val="0"/>
              <w:spacing w:before="0" w:after="283"/>
              <w:jc w:val="right"/>
              <w:rPr/>
            </w:pPr>
            <w:r>
              <w:rPr/>
              <w:t> </w:t>
            </w:r>
            <w:r>
              <w:rPr/>
              <w:t>3,154,484</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140"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100" w:type="dxa"/>
            <w:tcBorders>
              <w:bottom w:val="single" w:sz="6" w:space="0" w:color="000000"/>
            </w:tcBorders>
            <w:shd w:fill="EDEDED" w:val="clear"/>
            <w:tcMar>
              <w:bottom w:w="40" w:type="dxa"/>
            </w:tcMar>
            <w:vAlign w:val="center"/>
          </w:tcPr>
          <w:p>
            <w:pPr>
              <w:pStyle w:val="TableContents"/>
              <w:bidi w:val="0"/>
              <w:spacing w:before="0" w:after="283"/>
              <w:jc w:val="right"/>
              <w:rPr/>
            </w:pPr>
            <w:r>
              <w:rPr/>
              <w:t> </w:t>
            </w:r>
            <w:r>
              <w:rPr/>
              <w:t>2,420,555</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07"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628" w:type="dxa"/>
            <w:tcBorders>
              <w:bottom w:val="single" w:sz="6" w:space="0" w:color="000000"/>
            </w:tcBorders>
            <w:shd w:fill="EDEDED" w:val="clear"/>
            <w:tcMar>
              <w:bottom w:w="40" w:type="dxa"/>
            </w:tcMar>
            <w:vAlign w:val="center"/>
          </w:tcPr>
          <w:p>
            <w:pPr>
              <w:pStyle w:val="TableContents"/>
              <w:bidi w:val="0"/>
              <w:spacing w:before="0" w:after="283"/>
              <w:jc w:val="right"/>
              <w:rPr/>
            </w:pPr>
            <w:r>
              <w:rPr/>
              <w:t> </w:t>
            </w:r>
            <w:r>
              <w:rPr/>
              <w:t>2,670,583</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313"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522" w:type="dxa"/>
            <w:tcBorders>
              <w:bottom w:val="single" w:sz="6" w:space="0" w:color="000000"/>
            </w:tcBorders>
            <w:shd w:fill="EDEDED" w:val="clear"/>
            <w:tcMar>
              <w:bottom w:w="40" w:type="dxa"/>
            </w:tcMar>
            <w:vAlign w:val="center"/>
          </w:tcPr>
          <w:p>
            <w:pPr>
              <w:pStyle w:val="TableContents"/>
              <w:bidi w:val="0"/>
              <w:spacing w:before="0" w:after="283"/>
              <w:jc w:val="right"/>
              <w:rPr/>
            </w:pPr>
            <w:r>
              <w:rPr/>
              <w:t>52,524</w:t>
            </w:r>
          </w:p>
        </w:tc>
        <w:tc>
          <w:tcPr>
            <w:tcW w:w="155"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250"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000" w:type="dxa"/>
            <w:tcBorders>
              <w:bottom w:val="single" w:sz="6" w:space="0" w:color="000000"/>
            </w:tcBorders>
            <w:shd w:fill="EDEDED" w:val="clear"/>
            <w:tcMar>
              <w:bottom w:w="40" w:type="dxa"/>
            </w:tcMar>
            <w:vAlign w:val="center"/>
          </w:tcPr>
          <w:p>
            <w:pPr>
              <w:pStyle w:val="TableContents"/>
              <w:bidi w:val="0"/>
              <w:spacing w:before="0" w:after="283"/>
              <w:jc w:val="right"/>
              <w:rPr/>
            </w:pPr>
            <w:r>
              <w:rPr/>
              <w:t>9,173</w:t>
            </w:r>
          </w:p>
        </w:tc>
        <w:tc>
          <w:tcPr>
            <w:tcW w:w="155"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790"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790" w:type="dxa"/>
            <w:tcBorders>
              <w:bottom w:val="single" w:sz="6" w:space="0" w:color="000000"/>
            </w:tcBorders>
            <w:shd w:fill="EDEDED" w:val="clear"/>
            <w:tcMar>
              <w:bottom w:w="40" w:type="dxa"/>
            </w:tcMar>
            <w:vAlign w:val="center"/>
          </w:tcPr>
          <w:p>
            <w:pPr>
              <w:pStyle w:val="TableContents"/>
              <w:bidi w:val="0"/>
              <w:spacing w:before="0" w:after="283"/>
              <w:jc w:val="right"/>
              <w:rPr/>
            </w:pPr>
            <w:r>
              <w:rPr/>
              <w:t>0</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346"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684" w:type="dxa"/>
            <w:tcBorders>
              <w:bottom w:val="single" w:sz="6" w:space="0" w:color="000000"/>
            </w:tcBorders>
            <w:shd w:fill="EDEDED" w:val="clear"/>
            <w:tcMar>
              <w:bottom w:w="40" w:type="dxa"/>
            </w:tcMar>
            <w:vAlign w:val="center"/>
          </w:tcPr>
          <w:p>
            <w:pPr>
              <w:pStyle w:val="TableContents"/>
              <w:bidi w:val="0"/>
              <w:spacing w:before="0" w:after="283"/>
              <w:jc w:val="right"/>
              <w:rPr/>
            </w:pPr>
            <w:r>
              <w:rPr/>
              <w:t> </w:t>
            </w:r>
            <w:r>
              <w:rPr/>
              <w:t>7,070</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692"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693" w:type="dxa"/>
            <w:tcBorders>
              <w:bottom w:val="single" w:sz="6" w:space="0" w:color="000000"/>
            </w:tcBorders>
            <w:shd w:fill="EDEDED" w:val="clear"/>
            <w:tcMar>
              <w:bottom w:w="40" w:type="dxa"/>
            </w:tcMar>
            <w:vAlign w:val="center"/>
          </w:tcPr>
          <w:p>
            <w:pPr>
              <w:pStyle w:val="TableContents"/>
              <w:bidi w:val="0"/>
              <w:spacing w:before="0" w:after="283"/>
              <w:jc w:val="right"/>
              <w:rPr/>
            </w:pPr>
            <w:r>
              <w:rPr/>
              <w:t>0</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857"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858" w:type="dxa"/>
            <w:tcBorders>
              <w:bottom w:val="single" w:sz="6" w:space="0" w:color="000000"/>
            </w:tcBorders>
            <w:shd w:fill="EDEDED" w:val="clear"/>
            <w:tcMar>
              <w:bottom w:w="40" w:type="dxa"/>
            </w:tcMar>
            <w:vAlign w:val="center"/>
          </w:tcPr>
          <w:p>
            <w:pPr>
              <w:pStyle w:val="TableContents"/>
              <w:bidi w:val="0"/>
              <w:spacing w:before="0" w:after="283"/>
              <w:jc w:val="right"/>
              <w:rPr/>
            </w:pPr>
            <w:r>
              <w:rPr/>
              <w:t>0</w:t>
            </w:r>
          </w:p>
        </w:tc>
        <w:tc>
          <w:tcPr>
            <w:tcW w:w="60"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c>
          <w:tcPr>
            <w:tcW w:w="60" w:type="dxa"/>
            <w:tcBorders>
              <w:bottom w:val="single" w:sz="6" w:space="0" w:color="000000"/>
            </w:tcBorders>
            <w:shd w:fill="EDEDED" w:val="clear"/>
            <w:tcMar>
              <w:bottom w:w="28" w:type="dxa"/>
            </w:tcMar>
            <w:vAlign w:val="center"/>
          </w:tcPr>
          <w:p>
            <w:pPr>
              <w:pStyle w:val="TableContents"/>
              <w:bidi w:val="0"/>
              <w:spacing w:before="0" w:after="283"/>
              <w:jc w:val="left"/>
              <w:rPr/>
            </w:pPr>
            <w:r>
              <w:rPr/>
              <w:t> </w:t>
            </w:r>
          </w:p>
        </w:tc>
        <w:tc>
          <w:tcPr>
            <w:tcW w:w="141" w:type="dxa"/>
            <w:tcBorders>
              <w:bottom w:val="single" w:sz="6" w:space="0" w:color="000000"/>
            </w:tcBorders>
            <w:shd w:fill="EDEDED" w:val="clear"/>
            <w:tcMar>
              <w:bottom w:w="40" w:type="dxa"/>
            </w:tcMar>
            <w:vAlign w:val="center"/>
          </w:tcPr>
          <w:p>
            <w:pPr>
              <w:pStyle w:val="TableContents"/>
              <w:bidi w:val="0"/>
              <w:spacing w:before="0" w:after="283"/>
              <w:jc w:val="left"/>
              <w:rPr/>
            </w:pPr>
            <w:r>
              <w:rPr/>
              <w:t>$</w:t>
            </w:r>
          </w:p>
        </w:tc>
        <w:tc>
          <w:tcPr>
            <w:tcW w:w="1109" w:type="dxa"/>
            <w:tcBorders>
              <w:bottom w:val="single" w:sz="6" w:space="0" w:color="000000"/>
            </w:tcBorders>
            <w:shd w:fill="EDEDED" w:val="clear"/>
            <w:tcMar>
              <w:bottom w:w="40" w:type="dxa"/>
            </w:tcMar>
            <w:vAlign w:val="center"/>
          </w:tcPr>
          <w:p>
            <w:pPr>
              <w:pStyle w:val="TableContents"/>
              <w:bidi w:val="0"/>
              <w:spacing w:before="0" w:after="283"/>
              <w:jc w:val="right"/>
              <w:rPr/>
            </w:pPr>
            <w:r>
              <w:rPr/>
              <w:t> </w:t>
            </w:r>
            <w:r>
              <w:rPr/>
              <w:t>3,349,885</w:t>
            </w:r>
          </w:p>
        </w:tc>
        <w:tc>
          <w:tcPr>
            <w:tcW w:w="75" w:type="dxa"/>
            <w:tcBorders>
              <w:bottom w:val="single" w:sz="6" w:space="0" w:color="000000"/>
            </w:tcBorders>
            <w:shd w:fill="EDEDED" w:val="clear"/>
            <w:tcMar>
              <w:bottom w:w="40" w:type="dxa"/>
            </w:tcMar>
            <w:vAlign w:val="center"/>
          </w:tcPr>
          <w:p>
            <w:pPr>
              <w:pStyle w:val="TableContents"/>
              <w:bidi w:val="0"/>
              <w:spacing w:before="0" w:after="283"/>
              <w:jc w:val="left"/>
              <w:rPr/>
            </w:pPr>
            <w:r>
              <w:rPr/>
              <w:t> </w:t>
            </w:r>
          </w:p>
        </w:tc>
      </w:tr>
    </w:tbl>
    <w:p>
      <w:pPr>
        <w:pStyle w:val="TextBody"/>
        <w:bidi w:val="0"/>
        <w:spacing w:before="0" w:after="0"/>
        <w:jc w:val="left"/>
        <w:rPr>
          <w:shd w:fill="FFFFFF" w:val="clear"/>
        </w:rPr>
      </w:pPr>
      <w:r>
        <w:rPr>
          <w:shd w:fill="FFFFFF" w:val="clear"/>
        </w:rPr>
        <w:t> </w:t>
      </w:r>
    </w:p>
    <w:p>
      <w:pPr>
        <w:pStyle w:val="TextBody"/>
        <w:bidi w:val="0"/>
        <w:spacing w:lineRule="atLeast" w:line="142" w:before="0" w:after="40"/>
        <w:jc w:val="left"/>
        <w:rPr>
          <w:bdr w:val="single" w:sz="2" w:space="1" w:color="0BC11C"/>
          <w:shd w:fill="FFFFFF" w:val="clear"/>
        </w:rPr>
      </w:pPr>
      <w:r>
        <w:rPr>
          <w:bdr w:val="single" w:sz="2" w:space="1" w:color="0BC11C"/>
          <w:shd w:fill="FFFFFF" w:val="clear"/>
        </w:rPr>
        <w:t> </w:t>
      </w:r>
    </w:p>
    <w:p>
      <w:pPr>
        <w:pStyle w:val="TextBody"/>
        <w:bidi w:val="0"/>
        <w:spacing w:before="0" w:after="0"/>
        <w:jc w:val="right"/>
        <w:rPr>
          <w:rFonts w:ascii="ARIAL" w:hAnsi="ARIAL"/>
          <w:sz w:val="14"/>
          <w:shd w:fill="FFFFFF" w:val="clear"/>
        </w:rPr>
      </w:pPr>
      <w:r>
        <w:rPr>
          <w:rFonts w:ascii="ARIAL" w:hAnsi="ARIAL"/>
          <w:sz w:val="14"/>
          <w:shd w:fill="FFFFFF" w:val="clear"/>
        </w:rPr>
        <w:t>FORTREA • 2024 Proxy Statement </w:t>
      </w:r>
    </w:p>
    <w:p>
      <w:pPr>
        <w:pStyle w:val="TextBody"/>
        <w:bidi w:val="0"/>
        <w:spacing w:before="0" w:after="0"/>
        <w:jc w:val="right"/>
        <w:rPr>
          <w:rFonts w:ascii="ARIAL" w:hAnsi="ARIAL"/>
          <w:b/>
          <w:color w:val="0BC11C"/>
          <w:spacing w:val="0"/>
          <w:sz w:val="16"/>
          <w:shd w:fill="FFFFFF" w:val="clear"/>
        </w:rPr>
      </w:pPr>
      <w:r>
        <w:rPr>
          <w:rFonts w:ascii="ARIAL" w:hAnsi="ARIAL"/>
          <w:b/>
          <w:color w:val="0BC11C"/>
          <w:spacing w:val="0"/>
          <w:sz w:val="16"/>
          <w:shd w:fill="FFFFFF" w:val="clear"/>
        </w:rPr>
        <w:t>45</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p>
      <w:pPr>
        <w:pStyle w:val="TextBody"/>
        <w:bidi w:val="0"/>
        <w:spacing w:before="0" w:after="0"/>
        <w:jc w:val="left"/>
        <w:rPr>
          <w:rFonts w:ascii="Times New Roman" w:hAnsi="Times New Roman"/>
          <w:b/>
          <w:sz w:val="24"/>
          <w:shd w:fill="FFFFFF" w:val="clear"/>
        </w:rPr>
      </w:pPr>
      <w:r>
        <w:rPr>
          <w:rFonts w:ascii="Times New Roman" w:hAnsi="Times New Roman"/>
          <w:b/>
          <w:sz w:val="24"/>
          <w:shd w:fill="FFFFFF" w:val="clear"/>
        </w:rPr>
        <w:t xml:space="preserve">EXECUTIVE COMPENSATION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caps w:val="false"/>
                <w:smallCaps w:val="false"/>
                <w:spacing w:val="0"/>
              </w:rPr>
            </w:pPr>
            <w:r>
              <w:rPr>
                <w:caps w:val="false"/>
                <w:smallCaps w:val="false"/>
                <w:spacing w:val="0"/>
              </w:rPr>
              <w:t> </w:t>
            </w:r>
          </w:p>
        </w:tc>
        <w:tc>
          <w:tcPr>
            <w:tcW w:w="10050" w:type="dxa"/>
            <w:tcBorders/>
            <w:vAlign w:val="center"/>
          </w:tcPr>
          <w:p>
            <w:pPr>
              <w:pStyle w:val="TableContents"/>
              <w:bidi w:val="0"/>
              <w:spacing w:before="0" w:after="0"/>
              <w:jc w:val="left"/>
              <w:rPr>
                <w:rFonts w:ascii="ARIAL" w:hAnsi="ARIAL"/>
                <w:i/>
                <w:caps w:val="false"/>
                <w:smallCaps w:val="false"/>
                <w:spacing w:val="0"/>
                <w:sz w:val="14"/>
              </w:rPr>
            </w:pPr>
            <w:r>
              <w:rPr>
                <w:rFonts w:ascii="ARIAL" w:hAnsi="ARIAL"/>
                <w:i/>
                <w:caps w:val="false"/>
                <w:smallCaps w:val="false"/>
                <w:spacing w:val="0"/>
                <w:sz w:val="14"/>
              </w:rPr>
              <w:t>The fair value of options was determined by using the Black-Scholes option pricing method. The fair value of the PSAs was determined by using a Monte Carlo simulation pricing model and the probable outcome of the performance vesting conditions as of each measurement date and Company actual performance payouts for each completed performance period for the respective fiscal year. The fair value of the restricted stock was determined using the stock price on the appropriate measurement date.</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i/>
                <w:caps w:val="false"/>
                <w:smallCaps w:val="false"/>
                <w:spacing w:val="0"/>
              </w:rPr>
            </w:pPr>
            <w:r>
              <w:rPr>
                <w:i/>
                <w:caps w:val="false"/>
                <w:smallCaps w:val="false"/>
                <w:spacing w:val="0"/>
              </w:rPr>
              <w:t>(4)</w:t>
            </w:r>
          </w:p>
        </w:tc>
        <w:tc>
          <w:tcPr>
            <w:tcW w:w="9947" w:type="dxa"/>
            <w:tcBorders/>
            <w:vAlign w:val="center"/>
          </w:tcPr>
          <w:p>
            <w:pPr>
              <w:pStyle w:val="TableContents"/>
              <w:bidi w:val="0"/>
              <w:spacing w:before="0" w:after="0"/>
              <w:jc w:val="left"/>
              <w:rPr>
                <w:rFonts w:ascii="ARIAL" w:hAnsi="ARIAL"/>
                <w:i/>
                <w:caps w:val="false"/>
                <w:smallCaps w:val="false"/>
                <w:spacing w:val="0"/>
                <w:sz w:val="14"/>
              </w:rPr>
            </w:pPr>
            <w:r>
              <w:rPr>
                <w:rFonts w:ascii="ARIAL" w:hAnsi="ARIAL"/>
                <w:i/>
                <w:caps w:val="false"/>
                <w:smallCaps w:val="false"/>
                <w:spacing w:val="0"/>
                <w:sz w:val="14"/>
              </w:rPr>
              <w:t>The comparison assumes $100 was invested in the Company and in the Nasdaq Healthcare Index, respectively, for the period starting July 1, 2023, the effective date of the registration of FTRE Common Stock, through the end of the year. Historical stock performance is not necessarily indicative of future stock performance. All dollar values assume reinvestment of all dividends, where applicable.</w:t>
            </w:r>
          </w:p>
          <w:p>
            <w:pPr>
              <w:pStyle w:val="TableContents"/>
              <w:bidi w:val="0"/>
              <w:spacing w:before="0" w:after="0"/>
              <w:jc w:val="left"/>
              <w:rPr>
                <w:rFonts w:ascii="ARIAL" w:hAnsi="ARIAL"/>
                <w:i/>
                <w:caps w:val="false"/>
                <w:smallCaps w:val="false"/>
                <w:spacing w:val="0"/>
                <w:sz w:val="14"/>
              </w:rPr>
            </w:pPr>
            <w:r>
              <w:rPr>
                <w:rFonts w:ascii="ARIAL" w:hAnsi="ARIAL"/>
                <w:i/>
                <w:caps w:val="false"/>
                <w:smallCaps w:val="false"/>
                <w:spacing w:val="0"/>
                <w:sz w:val="14"/>
              </w:rPr>
              <w:t>Beginning in 2024, we have been utilizing the S&amp;P 1500 Healthcare Index as our primary comparator for Total Shareholder Return.</w:t>
            </w:r>
          </w:p>
        </w:tc>
      </w:tr>
    </w:tbl>
    <w:p>
      <w:pPr>
        <w:pStyle w:val="TextBody"/>
        <w:bidi w:val="0"/>
        <w:spacing w:before="0" w:after="0"/>
        <w:jc w:val="left"/>
        <w:rPr>
          <w:shd w:fill="FFFFFF" w:val="clear"/>
        </w:rPr>
      </w:pPr>
      <w:r>
        <w:rPr>
          <w:shd w:fill="FFFFFF" w:val="clear"/>
        </w:rPr>
        <w:t> </w:t>
      </w:r>
    </w:p>
    <w:tbl>
      <w:tblPr>
        <w:tblW w:w="6280" w:type="dxa"/>
        <w:jc w:val="left"/>
        <w:tblInd w:w="0" w:type="dxa"/>
        <w:tblLayout w:type="fixed"/>
        <w:tblCellMar>
          <w:top w:w="0" w:type="dxa"/>
          <w:left w:w="0" w:type="dxa"/>
          <w:bottom w:w="0" w:type="dxa"/>
          <w:right w:w="0" w:type="dxa"/>
        </w:tblCellMar>
      </w:tblPr>
      <w:tblGrid>
        <w:gridCol w:w="305"/>
        <w:gridCol w:w="5975"/>
      </w:tblGrid>
      <w:tr>
        <w:trPr/>
        <w:tc>
          <w:tcPr>
            <w:tcW w:w="305" w:type="dxa"/>
            <w:tcBorders/>
            <w:vAlign w:val="center"/>
          </w:tcPr>
          <w:p>
            <w:pPr>
              <w:pStyle w:val="TableContents"/>
              <w:bidi w:val="0"/>
              <w:spacing w:before="0" w:after="0"/>
              <w:jc w:val="left"/>
              <w:rPr>
                <w:i/>
                <w:caps w:val="false"/>
                <w:smallCaps w:val="false"/>
                <w:spacing w:val="0"/>
              </w:rPr>
            </w:pPr>
            <w:r>
              <w:rPr>
                <w:i/>
                <w:caps w:val="false"/>
                <w:smallCaps w:val="false"/>
                <w:spacing w:val="0"/>
              </w:rPr>
              <w:t>(5)</w:t>
            </w:r>
          </w:p>
        </w:tc>
        <w:tc>
          <w:tcPr>
            <w:tcW w:w="5975" w:type="dxa"/>
            <w:tcBorders/>
            <w:vAlign w:val="center"/>
          </w:tcPr>
          <w:p>
            <w:pPr>
              <w:pStyle w:val="TableContents"/>
              <w:bidi w:val="0"/>
              <w:spacing w:before="0" w:after="0"/>
              <w:jc w:val="left"/>
              <w:rPr>
                <w:caps w:val="false"/>
                <w:smallCaps w:val="false"/>
                <w:spacing w:val="0"/>
              </w:rPr>
            </w:pPr>
            <w:r>
              <w:rPr>
                <w:caps w:val="false"/>
                <w:smallCaps w:val="false"/>
                <w:spacing w:val="0"/>
              </w:rPr>
              <w:t>“</w:t>
            </w:r>
            <w:r>
              <w:rPr>
                <w:rFonts w:ascii="ARIAL" w:hAnsi="ARIAL"/>
                <w:i/>
                <w:caps w:val="false"/>
                <w:smallCaps w:val="false"/>
                <w:spacing w:val="0"/>
                <w:sz w:val="14"/>
              </w:rPr>
              <w:t>Net income” is equivalent to “Net earnings” as reported in the Company’s financial statements.</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i/>
                <w:caps w:val="false"/>
                <w:smallCaps w:val="false"/>
                <w:spacing w:val="0"/>
              </w:rPr>
            </w:pPr>
            <w:r>
              <w:rPr>
                <w:i/>
                <w:caps w:val="false"/>
                <w:smallCaps w:val="false"/>
                <w:spacing w:val="0"/>
              </w:rPr>
              <w:t>(6)</w:t>
            </w:r>
          </w:p>
        </w:tc>
        <w:tc>
          <w:tcPr>
            <w:tcW w:w="9960" w:type="dxa"/>
            <w:tcBorders/>
            <w:vAlign w:val="center"/>
          </w:tcPr>
          <w:p>
            <w:pPr>
              <w:pStyle w:val="TableContents"/>
              <w:bidi w:val="0"/>
              <w:spacing w:before="0" w:after="0"/>
              <w:jc w:val="left"/>
              <w:rPr>
                <w:rFonts w:ascii="ARIAL" w:hAnsi="ARIAL"/>
                <w:i/>
                <w:caps w:val="false"/>
                <w:smallCaps w:val="false"/>
                <w:spacing w:val="0"/>
                <w:sz w:val="14"/>
              </w:rPr>
            </w:pPr>
            <w:r>
              <w:rPr>
                <w:rFonts w:ascii="ARIAL" w:hAnsi="ARIAL"/>
                <w:i/>
                <w:caps w:val="false"/>
                <w:smallCaps w:val="false"/>
                <w:spacing w:val="0"/>
                <w:sz w:val="14"/>
              </w:rPr>
              <w:t>SEC rules require us to designate a “company-selected measure” that in our assessment represents the most important financial performance measure (other than total stockholder return, stock price, or net income) used by the Company to link the CAP of our NEOs, for the most recently completed fiscal year, to our performance. We selected Adjusted EBITDA as this measure for 2023, as reflected in the table above. Adjusted EBITDA is a non-GAAP measure. See the reconciliation of Adjusted EBITDA on Appendix A attached to this proxy statement. We may determine a different financial performance measure to be the most important financial performance measure in future years.</w:t>
            </w:r>
          </w:p>
        </w:tc>
      </w:tr>
    </w:tbl>
    <w:p>
      <w:pPr>
        <w:pStyle w:val="TextBody"/>
        <w:bidi w:val="0"/>
        <w:spacing w:before="360" w:after="0"/>
        <w:jc w:val="left"/>
        <w:rPr>
          <w:rFonts w:ascii="ARIAL" w:hAnsi="ARIAL"/>
          <w:b/>
          <w:spacing w:val="0"/>
          <w:sz w:val="18"/>
          <w:shd w:fill="FFFFFF" w:val="clear"/>
        </w:rPr>
      </w:pPr>
      <w:r>
        <w:rPr>
          <w:rFonts w:ascii="ARIAL" w:hAnsi="ARIAL"/>
          <w:b/>
          <w:spacing w:val="0"/>
          <w:sz w:val="18"/>
          <w:shd w:fill="FFFFFF" w:val="clear"/>
        </w:rPr>
        <w:t>Financial Performance Measures</w:t>
      </w:r>
    </w:p>
    <w:p>
      <w:pPr>
        <w:pStyle w:val="TextBody"/>
        <w:bidi w:val="0"/>
        <w:spacing w:before="160" w:after="0"/>
        <w:jc w:val="left"/>
        <w:rPr>
          <w:rFonts w:ascii="ARIAL" w:hAnsi="ARIAL"/>
          <w:sz w:val="18"/>
          <w:shd w:fill="FFFFFF" w:val="clear"/>
        </w:rPr>
      </w:pPr>
      <w:r>
        <w:rPr>
          <w:rFonts w:ascii="ARIAL" w:hAnsi="ARIAL"/>
          <w:sz w:val="18"/>
          <w:shd w:fill="FFFFFF" w:val="clear"/>
        </w:rPr>
        <w:t xml:space="preserve">For fiscal year 2023, the sole financial performance measure we used in setting pay-for-performance compensation for the most recently completed fiscal year was Adjusted EBITDA. The manner in which this measure, together with certain non-financial performance measures, determined the amounts of incentive compensation paid to our NEOs is described above in the CD&amp;A section. Beginning in fiscal year 2024, we will revise and implement our approach to executive compensation, which incorporates additional financial performance measures. Specifically, (i) our annual incentive bonus plan will use Adjusted EBTIDA and net new business as performance measures to determine payouts of bonuses under the Fortrea Bonus Plan and (ii) PSU awards granted to our NEOs for fiscal year 2024 are subject to Adjusted EBITDA Margin and Revenue performance metrics, and include a relative TSR modifier. We believe these enhancements, as part of our revised compensation program commencing with fiscal year 2024 further strengthens the link between compensation actually paid to our NEOs and our performance. </w:t>
      </w:r>
    </w:p>
    <w:p>
      <w:pPr>
        <w:pStyle w:val="TextBody"/>
        <w:bidi w:val="0"/>
        <w:spacing w:before="360" w:after="0"/>
        <w:jc w:val="left"/>
        <w:rPr>
          <w:rFonts w:ascii="ARIAL" w:hAnsi="ARIAL"/>
          <w:b/>
          <w:spacing w:val="0"/>
          <w:sz w:val="18"/>
          <w:shd w:fill="FFFFFF" w:val="clear"/>
        </w:rPr>
      </w:pPr>
      <w:r>
        <w:rPr>
          <w:rFonts w:ascii="ARIAL" w:hAnsi="ARIAL"/>
          <w:b/>
          <w:spacing w:val="0"/>
          <w:sz w:val="18"/>
          <w:shd w:fill="FFFFFF" w:val="clear"/>
        </w:rPr>
        <w:t>Relationship Between Compensation Actually Paid (“CAP”) and Financial Performance Measures</w:t>
      </w:r>
    </w:p>
    <w:p>
      <w:pPr>
        <w:pStyle w:val="TextBody"/>
        <w:bidi w:val="0"/>
        <w:spacing w:before="160" w:after="0"/>
        <w:jc w:val="left"/>
        <w:rPr>
          <w:rFonts w:ascii="ARIAL" w:hAnsi="ARIAL"/>
          <w:sz w:val="18"/>
          <w:shd w:fill="FFFFFF" w:val="clear"/>
        </w:rPr>
      </w:pPr>
      <w:r>
        <w:rPr>
          <w:rFonts w:ascii="ARIAL" w:hAnsi="ARIAL"/>
          <w:sz w:val="18"/>
          <w:shd w:fill="FFFFFF" w:val="clear"/>
        </w:rPr>
        <w:t xml:space="preserve">Given the Spin in July 2023, our fiscal year 2023 compensation program did not reflect a typical public company compensation program design. The following, in accordance with the SEC rules, describes the relationship between TSR, Net Income and Adjusted EBITDA to compensation actually paid for fiscal year 2023. The cumulative TSR performance as of December 31, 2023 based on a $100 investment in Fortrea and the Nasdaq Healthcare Index on July 1, 2023 is $102.60 and $103.20, respectively. Fortrea had a net loss of $3 million and Adjusted EBITDA of $306 million for the fiscal year ending December 31, 2023. The CAP of our CEO, and the average CAP of our other NEOs, was $34,238,046 and $3,349,885, respectively. </w:t>
      </w:r>
    </w:p>
    <w:p>
      <w:pPr>
        <w:pStyle w:val="TextBody"/>
        <w:bidi w:val="0"/>
        <w:spacing w:before="160" w:after="0"/>
        <w:jc w:val="left"/>
        <w:rPr>
          <w:rFonts w:ascii="ARIAL" w:hAnsi="ARIAL"/>
          <w:sz w:val="18"/>
          <w:shd w:fill="FFFFFF" w:val="clear"/>
        </w:rPr>
      </w:pPr>
      <w:r>
        <w:rPr>
          <w:rFonts w:ascii="ARIAL" w:hAnsi="ARIAL"/>
          <w:sz w:val="18"/>
          <w:shd w:fill="FFFFFF" w:val="clear"/>
        </w:rPr>
        <w:t xml:space="preserve">Because of the Spin in July 2023, our TSR is for one partial year and there is no link yet to the CAP for our CEO and our other NEOs. For 2023, we did not consider TSR and net income in the design of our executive compensation program and, as a result, net income and TSR did not directly impact the amount of compensation actually paid to the NEOs. For additional details regarding how Adjusted EBITDA was utilized under our fiscal year 2023 compensation program to link pay with performance, please refer to the discussion of Annual Bonus (Non-Equity Short-Term Incentive Compensation) on page 32.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left"/>
        <w:rPr>
          <w:bdr w:val="single" w:sz="2" w:space="1" w:color="0BC11C"/>
          <w:shd w:fill="FFFFFF" w:val="clear"/>
        </w:rPr>
      </w:pPr>
      <w:r>
        <w:rPr>
          <w:bdr w:val="single" w:sz="2" w:space="1" w:color="0BC11C"/>
          <w:shd w:fill="FFFFFF" w:val="clear"/>
        </w:rPr>
        <w:t> </w:t>
      </w:r>
    </w:p>
    <w:p>
      <w:pPr>
        <w:pStyle w:val="TextBody"/>
        <w:bidi w:val="0"/>
        <w:spacing w:before="0" w:after="0"/>
        <w:jc w:val="left"/>
        <w:rPr>
          <w:rFonts w:ascii="ARIAL" w:hAnsi="ARIAL"/>
          <w:b/>
          <w:color w:val="0BC11C"/>
          <w:spacing w:val="0"/>
          <w:sz w:val="16"/>
          <w:shd w:fill="FFFFFF" w:val="clear"/>
        </w:rPr>
      </w:pPr>
      <w:r>
        <w:rPr>
          <w:rFonts w:ascii="ARIAL" w:hAnsi="ARIAL"/>
          <w:b/>
          <w:color w:val="0BC11C"/>
          <w:spacing w:val="0"/>
          <w:sz w:val="16"/>
          <w:shd w:fill="FFFFFF" w:val="clear"/>
        </w:rPr>
        <w:t>46</w:t>
      </w:r>
    </w:p>
    <w:p>
      <w:pPr>
        <w:pStyle w:val="TextBody"/>
        <w:bidi w:val="0"/>
        <w:jc w:val="left"/>
        <w:rPr>
          <w:spacing w:val="0"/>
          <w:shd w:fill="FFFFFF" w:val="clear"/>
        </w:rPr>
      </w:pPr>
      <w:r>
        <w:rPr>
          <w:spacing w:val="0"/>
          <w:shd w:fill="FFFFFF" w:val="clear"/>
        </w:rPr>
        <w:t> </w:t>
      </w:r>
      <w:r>
        <w:rPr>
          <w:rFonts w:ascii="ARIAL" w:hAnsi="ARIAL"/>
          <w:spacing w:val="0"/>
          <w:sz w:val="14"/>
          <w:shd w:fill="FFFFFF" w:val="clear"/>
        </w:rPr>
        <w:t xml:space="preserve">2024 Proxy Statement • FORTREA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40"/>
        </w:rPr>
      </w:pPr>
      <w:bookmarkStart w:id="44" w:name="toc814840_44"/>
      <w:bookmarkEnd w:id="44"/>
      <w:r>
        <w:rPr>
          <w:rFonts w:ascii="Times New Roman" w:hAnsi="Times New Roman"/>
          <w:sz w:val="40"/>
        </w:rPr>
        <w:t xml:space="preserve">PROPOSAL 3: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480" w:after="0"/>
        <w:jc w:val="left"/>
        <w:rPr>
          <w:rFonts w:ascii="ARIAL" w:hAnsi="ARIAL"/>
          <w:b/>
          <w:sz w:val="28"/>
        </w:rPr>
      </w:pPr>
      <w:r>
        <w:rPr>
          <w:rFonts w:ascii="ARIAL" w:hAnsi="ARIAL"/>
          <w:b/>
          <w:sz w:val="28"/>
        </w:rPr>
        <w:t xml:space="preserve">Advisory Vote on the Compensation of our Named Executive Officers </w:t>
      </w:r>
    </w:p>
    <w:p>
      <w:pPr>
        <w:pStyle w:val="TextBody"/>
        <w:bidi w:val="0"/>
        <w:spacing w:before="160" w:after="0"/>
        <w:jc w:val="left"/>
        <w:rPr>
          <w:rFonts w:ascii="ARIAL" w:hAnsi="ARIAL"/>
          <w:sz w:val="18"/>
        </w:rPr>
      </w:pPr>
      <w:r>
        <w:rPr>
          <w:rFonts w:ascii="ARIAL" w:hAnsi="ARIAL"/>
          <w:sz w:val="18"/>
        </w:rPr>
        <w:t xml:space="preserve">In accordance with Section 14A of the Exchange Act, we are asking that our stockholders approve, on an advisory basis, the compensation of the executive officers named in the Summary Compensation Table of this proxy statement. This proposal gives our stockholders the opportunity to express their views on the compensation of our named executive officers. Stockholders also may, if they wish, abstain from casting a vote on this proposal. </w:t>
      </w:r>
    </w:p>
    <w:p>
      <w:pPr>
        <w:pStyle w:val="TextBody"/>
        <w:bidi w:val="0"/>
        <w:spacing w:before="160" w:after="0"/>
        <w:jc w:val="left"/>
        <w:rPr>
          <w:rFonts w:ascii="ARIAL" w:hAnsi="ARIAL"/>
          <w:sz w:val="18"/>
        </w:rPr>
      </w:pPr>
      <w:r>
        <w:rPr>
          <w:rFonts w:ascii="ARIAL" w:hAnsi="ARIAL"/>
          <w:sz w:val="18"/>
        </w:rPr>
        <w:t xml:space="preserve">In connection with this proposal, the Board encourages stockholders to review in detail the description of the compensation program for our named executive officers that is set forth in the Compensation Discussion and Analysis beginning on page 25, as well as the information contained in the compensation related tables and narrative discussion in this proxy statement. The Board unanimously recommends a vote FOR the approval, on an advisory basis, of the compensation of our named executive officers, as our current compensation program is built on a pay-for-performance philosophy and was constructed to retain and incentivize management to successfully complete the Spin and position the Company for success as a standalone company. </w:t>
      </w:r>
    </w:p>
    <w:p>
      <w:pPr>
        <w:pStyle w:val="TextBody"/>
        <w:bidi w:val="0"/>
        <w:spacing w:before="360" w:after="0"/>
        <w:jc w:val="left"/>
        <w:rPr>
          <w:rFonts w:ascii="ARIAL" w:hAnsi="ARIAL"/>
          <w:i/>
          <w:sz w:val="18"/>
        </w:rPr>
      </w:pPr>
      <w:r>
        <w:rPr>
          <w:rFonts w:ascii="ARIAL" w:hAnsi="ARIAL"/>
          <w:i/>
          <w:sz w:val="18"/>
        </w:rPr>
        <w:t xml:space="preserve">Pay for Performance </w:t>
      </w:r>
    </w:p>
    <w:p>
      <w:pPr>
        <w:pStyle w:val="TextBody"/>
        <w:bidi w:val="0"/>
        <w:spacing w:before="120" w:after="0"/>
        <w:jc w:val="left"/>
        <w:rPr>
          <w:rFonts w:ascii="ARIAL" w:hAnsi="ARIAL"/>
          <w:sz w:val="18"/>
        </w:rPr>
      </w:pPr>
      <w:r>
        <w:rPr>
          <w:rFonts w:ascii="ARIAL" w:hAnsi="ARIAL"/>
          <w:sz w:val="18"/>
        </w:rPr>
        <w:t xml:space="preserve">As described in more detail in the Compensation Discussion and Analysis beginning on page 25, our overarching compensation philosophy is to pay for performance. This has been accomplished in a number of ways, including by placing more emphasis on pay that is performance-based and “at-risk” based on achievement of specific short-term and long-term financial, operational and strategic goals, and that pay mix should be more heavily weighted toward variable compensation. We have aligned executive compensation with the execution of our business strategy by using performance metrics that reward behaviors that support our business objectives and long-term stockholder value, balancing performance metrics in our incentive plans so that undue weight is not given to any one metric, measuring performance over annual and multi-year performance periods, and using a relative total stockholder return metric in long-term plan for strong alignment with stockholders. For the six months after Spin, the Fortrea portion of 2023, the bonus for our NEOS was funded at 0% because actual Adjusted EBITDA was below the target for the second half of 2023. This, combined with the amount paid by Labcorp for the first six months of 2023, resulted in an overall payout of approximately 20% of target 2023 bonus for Ms. McConnell and Mr. Morais (after adjusting for higher salaries and target bonuses in connection with the Spin). No discretionary adjustment was made to the bonus pool as the Fortrea MDCC believes that it is important to pay for performance. Meanwhile, the determination not to pay any bonus based on the period after the Spin is balanced by long-term incentive awards that focus on long-term performance. </w:t>
      </w:r>
    </w:p>
    <w:p>
      <w:pPr>
        <w:pStyle w:val="TextBody"/>
        <w:bidi w:val="0"/>
        <w:spacing w:before="360" w:after="0"/>
        <w:jc w:val="left"/>
        <w:rPr>
          <w:rFonts w:ascii="ARIAL" w:hAnsi="ARIAL"/>
          <w:i/>
          <w:sz w:val="18"/>
        </w:rPr>
      </w:pPr>
      <w:r>
        <w:rPr>
          <w:rFonts w:ascii="ARIAL" w:hAnsi="ARIAL"/>
          <w:i/>
          <w:sz w:val="18"/>
        </w:rPr>
        <w:t xml:space="preserve">Establishment of Competitive Compensation Packages for Standalone Company </w:t>
      </w:r>
    </w:p>
    <w:p>
      <w:pPr>
        <w:pStyle w:val="TextBody"/>
        <w:bidi w:val="0"/>
        <w:spacing w:before="120" w:after="0"/>
        <w:jc w:val="left"/>
        <w:rPr>
          <w:rFonts w:ascii="ARIAL" w:hAnsi="ARIAL"/>
          <w:sz w:val="18"/>
        </w:rPr>
      </w:pPr>
      <w:r>
        <w:rPr>
          <w:rFonts w:ascii="ARIAL" w:hAnsi="ARIAL"/>
          <w:sz w:val="18"/>
        </w:rPr>
        <w:t xml:space="preserve">We, and Labcorp prior to the Spin, have also constructed compensation packages to retain and incentivize our named executive officers to achieve a successful Spin and establish Fortrea as a standalone company. Accordingly, adjustments were made in 2023 prior to the Spin to develop competitive pay packages for Ms. McConnell and Mr. Morais in order to recognize their roles as named executive officers for a standalone public company. Additionally, in January 2023, Labcorp entered into an employment agreement with Mr. Pike. At the time of Mr. Pike’s hire, the Labcorp CHCC recognized that it was critical to recruit a proven and experienced CEO, such as Mr. Pike, who possesses relevant leadership skills, industry expertise, and IPO/spin company experience, to successfully lead Fortrea through the Spin. Mr. Pike has a strong track record as former CEO of a CRO where he led Quintiles Transnational Holdings through a successful IPO, helping it grow into a Fortune 500 company with 36,000 employees worldwide. In addition, Mr. Pike worked at Arthur Andersen/Accenture for 22 years in various positions of increasing responsibility, including serving as the Chief Risk Officer and Managing Director of the North America Health and Products business. As such, the Labcorp CHCC developed a competitive compensation package to attract and incentivize Mr. Pike to lead Fortrea and to retain him for several years. As this opportunity would require significant time, Mr. Pike also stepped down from several boards in order to devote his focus on leading Fortrea. The employment agreement entered into between Labcorp and Mr. Pike provides for a base salary of $1,100,000 and an annual target bonus equal to 150% of his base salary (with a minimum payout of 100% of base salary for 2023). Mr. Pike received the Sign-On Equity Grant in the form of time-vested RSUs. In addition, the employment agreement provided that if Labcorp successfully completed the Spin of Fortrea into an independent public company, Mr. Pike would receive the Initial Equity Award with an aggregate grant date value of $20,000,000 consisting of RSUs and stock options. As Fortrea completed the Spin, Mr. Pike was issued the Initial Equity Grant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47</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on August 17, 2023. The total value of equity granted in 2023 in connection with the employment agreement was $24,000,000, consisting of the Sign-On Equity Grant and the Initial Equity Grant. Under the employment agreement, these equity grants are intended to cover the three-year period of the initial term of the employment agreement, which ends on December 31, 2025, and no further equity grants are intended to be made during that period. In accordance with these terms, Mr. Pike did not receive an annual grant in 2024. The intended value of Mr. Pike’s long-term incentives under the full term of the employment agreement amounts to $8,000,000 per year on an annualized basis. Including his target cash compensation, Mr. Pike’s annual target direct compensation is $10,750,000, which we believe is appropriate and competitive for a highly experienced CEO. </w:t>
      </w:r>
    </w:p>
    <w:p>
      <w:pPr>
        <w:pStyle w:val="TextBody"/>
        <w:bidi w:val="0"/>
        <w:spacing w:before="360" w:after="0"/>
        <w:jc w:val="left"/>
        <w:rPr>
          <w:rFonts w:ascii="ARIAL" w:hAnsi="ARIAL"/>
          <w:i/>
          <w:sz w:val="18"/>
        </w:rPr>
      </w:pPr>
      <w:r>
        <w:rPr>
          <w:rFonts w:ascii="ARIAL" w:hAnsi="ARIAL"/>
          <w:i/>
          <w:sz w:val="18"/>
        </w:rPr>
        <w:t xml:space="preserve">Board’s Use of Stockholder Vote on Say-on-Pay </w:t>
      </w:r>
    </w:p>
    <w:p>
      <w:pPr>
        <w:pStyle w:val="TextBody"/>
        <w:bidi w:val="0"/>
        <w:spacing w:before="120" w:after="0"/>
        <w:jc w:val="left"/>
        <w:rPr>
          <w:rFonts w:ascii="ARIAL" w:hAnsi="ARIAL"/>
          <w:sz w:val="18"/>
        </w:rPr>
      </w:pPr>
      <w:r>
        <w:rPr>
          <w:rFonts w:ascii="ARIAL" w:hAnsi="ARIAL"/>
          <w:sz w:val="18"/>
        </w:rPr>
        <w:t xml:space="preserve">Although the advisory vote is non-binding, the Board of Directors values stockholders’ opinions. The Fortrea MDCC will review the results of the vote and, consistent with our record of stockholder responsiveness, the Fortrea MDCC will consider stockholders’ views and take into account the outcome of the vote when considering future decisions concerning our executive compensation program. </w:t>
      </w:r>
    </w:p>
    <w:p>
      <w:pPr>
        <w:pStyle w:val="TextBody"/>
        <w:bidi w:val="0"/>
        <w:spacing w:before="160" w:after="0"/>
        <w:jc w:val="left"/>
        <w:rPr>
          <w:rFonts w:ascii="ARIAL" w:hAnsi="ARIAL"/>
          <w:sz w:val="18"/>
        </w:rPr>
      </w:pPr>
      <w:r>
        <w:rPr>
          <w:rFonts w:ascii="ARIAL" w:hAnsi="ARIAL"/>
          <w:sz w:val="18"/>
        </w:rPr>
        <w:t xml:space="preserve">We are asking our stockholders to indicate their support for the compensation of our named executive officers as disclosed in this proxy statement by voting “FOR” the following resolution: </w:t>
      </w:r>
    </w:p>
    <w:p>
      <w:pPr>
        <w:pStyle w:val="TextBody"/>
        <w:bidi w:val="0"/>
        <w:spacing w:before="160" w:after="0"/>
        <w:jc w:val="left"/>
        <w:rPr/>
      </w:pPr>
      <w:r>
        <w:rPr/>
        <w:t>“</w:t>
      </w:r>
      <w:r>
        <w:rPr>
          <w:rFonts w:ascii="ARIAL" w:hAnsi="ARIAL"/>
          <w:sz w:val="18"/>
        </w:rPr>
        <w:t xml:space="preserve">RESOLVED, that the stockholders of Fortrea Holdings Inc. approve, on an advisory basis, the compensation paid to Fortrea Holdings Inc.’s named executive officers, as disclosed pursuant to the compensation disclosure rules of the Securities and Exchange Commission, including the Compensation Discussion and Analysis, the compensation tables and the narrative discussion in Fortrea Holdings Inc.’s 2024 Proxy Statement.” </w:t>
      </w:r>
    </w:p>
    <w:p>
      <w:pPr>
        <w:pStyle w:val="TextBody"/>
        <w:bidi w:val="0"/>
        <w:spacing w:before="360" w:after="0"/>
        <w:jc w:val="left"/>
        <w:rPr>
          <w:rFonts w:ascii="ARIAL" w:hAnsi="ARIAL"/>
          <w:b/>
          <w:sz w:val="20"/>
        </w:rPr>
      </w:pPr>
      <w:bookmarkStart w:id="45" w:name="toc814840_45"/>
      <w:bookmarkEnd w:id="45"/>
      <w:r>
        <w:rPr>
          <w:rFonts w:ascii="ARIAL" w:hAnsi="ARIAL"/>
          <w:b/>
          <w:sz w:val="20"/>
        </w:rPr>
        <w:t xml:space="preserve">Vote Required </w:t>
      </w:r>
    </w:p>
    <w:p>
      <w:pPr>
        <w:pStyle w:val="TextBody"/>
        <w:bidi w:val="0"/>
        <w:spacing w:before="160" w:after="0"/>
        <w:jc w:val="left"/>
        <w:rPr>
          <w:rFonts w:ascii="ARIAL" w:hAnsi="ARIAL"/>
          <w:sz w:val="18"/>
        </w:rPr>
      </w:pPr>
      <w:bookmarkStart w:id="46" w:name="toc814840_46"/>
      <w:bookmarkEnd w:id="46"/>
      <w:r>
        <w:rPr>
          <w:rFonts w:ascii="ARIAL" w:hAnsi="ARIAL"/>
          <w:sz w:val="18"/>
        </w:rPr>
        <w:t xml:space="preserve">The proposal to approve, on an advisory basis, the compensation of our named executive officers requires an affirmative vote of the holders of a majority in voting power of the shares present at the Annual Meeting or represented by proxy and entitled to vote on the proposal. </w:t>
      </w:r>
    </w:p>
    <w:p>
      <w:pPr>
        <w:pStyle w:val="TextBody"/>
        <w:bidi w:val="0"/>
        <w:spacing w:before="0" w:after="0"/>
        <w:jc w:val="left"/>
        <w:rPr/>
      </w:pPr>
      <w:r>
        <w:rPr/>
        <w:t> </w:t>
      </w:r>
    </w:p>
    <w:p>
      <w:pPr>
        <w:pStyle w:val="TextBody"/>
        <w:bidi w:val="0"/>
        <w:spacing w:before="0" w:after="0"/>
        <w:jc w:val="left"/>
        <w:rPr/>
      </w:pPr>
      <w:r>
        <w:rPr/>
        <w:drawing>
          <wp:inline distT="0" distB="0" distL="0" distR="0">
            <wp:extent cx="649605" cy="36830"/>
            <wp:effectExtent l="0" t="0" r="0" b="0"/>
            <wp:docPr id="3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0" descr=""/>
                    <pic:cNvPicPr>
                      <a:picLocks noChangeAspect="1" noChangeArrowheads="1"/>
                    </pic:cNvPicPr>
                  </pic:nvPicPr>
                  <pic:blipFill>
                    <a:blip r:embed="rId27"/>
                    <a:stretch>
                      <a:fillRect/>
                    </a:stretch>
                  </pic:blipFill>
                  <pic:spPr bwMode="auto">
                    <a:xfrm>
                      <a:off x="0" y="0"/>
                      <a:ext cx="649605" cy="368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48</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40"/>
        </w:rPr>
      </w:pPr>
      <w:bookmarkStart w:id="47" w:name="toc814840_47"/>
      <w:bookmarkEnd w:id="47"/>
      <w:r>
        <w:rPr>
          <w:rFonts w:ascii="Times New Roman" w:hAnsi="Times New Roman"/>
          <w:sz w:val="40"/>
        </w:rPr>
        <w:t xml:space="preserve">PROPOSAL 4: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480" w:after="0"/>
        <w:jc w:val="left"/>
        <w:rPr>
          <w:rFonts w:ascii="ARIAL" w:hAnsi="ARIAL"/>
          <w:b/>
          <w:sz w:val="28"/>
        </w:rPr>
      </w:pPr>
      <w:r>
        <w:rPr>
          <w:rFonts w:ascii="ARIAL" w:hAnsi="ARIAL"/>
          <w:b/>
          <w:sz w:val="28"/>
        </w:rPr>
        <w:t xml:space="preserve">Advisory Vote on the Frequency of Future Advisory Votes on Named Executive Officers’ Compensation </w:t>
      </w:r>
    </w:p>
    <w:p>
      <w:pPr>
        <w:pStyle w:val="TextBody"/>
        <w:bidi w:val="0"/>
        <w:spacing w:before="160" w:after="0"/>
        <w:jc w:val="left"/>
        <w:rPr>
          <w:rFonts w:ascii="ARIAL" w:hAnsi="ARIAL"/>
          <w:sz w:val="18"/>
        </w:rPr>
      </w:pPr>
      <w:r>
        <w:rPr>
          <w:rFonts w:ascii="ARIAL" w:hAnsi="ARIAL"/>
          <w:sz w:val="18"/>
        </w:rPr>
        <w:t xml:space="preserve">In addition to the advisory vote on executive compensation in Proposal 3, the Dodd-Frank Wall Street Reform and Consumer Protection Act also enables our stockholders to express their preference for having a “say-on-pay” vote every one, two, or three years, or they may abstain. This advisory (non-binding) “say-on-frequency” vote is required once every six years. The Board of Directors intend for the next say-on-frequency vote to take place in 2030. </w:t>
      </w:r>
    </w:p>
    <w:p>
      <w:pPr>
        <w:pStyle w:val="TextBody"/>
        <w:bidi w:val="0"/>
        <w:spacing w:before="160" w:after="0"/>
        <w:jc w:val="left"/>
        <w:rPr>
          <w:rFonts w:ascii="ARIAL" w:hAnsi="ARIAL"/>
          <w:sz w:val="18"/>
        </w:rPr>
      </w:pPr>
      <w:r>
        <w:rPr>
          <w:rFonts w:ascii="ARIAL" w:hAnsi="ARIAL"/>
          <w:sz w:val="18"/>
        </w:rPr>
        <w:t xml:space="preserve">After careful consideration, the Board of Directors has determined that holding an advisory vote on executive compensation every year is the most appropriate policy for the Company. An annual say-on-pay vote allows stockholders to provide frequent, direct input to the Company regarding its compensation philosophy, policies and practices. Holding the vote at one-year intervals also enhances stockholder communication by providing a clear, simple means for Fortrea to ascertain general investor sentiment regarding its executive compensation program. The Board of Directors recommends that stockholders vote for future advisory votes on executive compensation to occur annually. </w:t>
      </w:r>
    </w:p>
    <w:p>
      <w:pPr>
        <w:pStyle w:val="TextBody"/>
        <w:bidi w:val="0"/>
        <w:spacing w:before="160" w:after="0"/>
        <w:jc w:val="left"/>
        <w:rPr>
          <w:rFonts w:ascii="ARIAL" w:hAnsi="ARIAL"/>
          <w:sz w:val="18"/>
        </w:rPr>
      </w:pPr>
      <w:r>
        <w:rPr>
          <w:rFonts w:ascii="ARIAL" w:hAnsi="ARIAL"/>
          <w:sz w:val="18"/>
        </w:rPr>
        <w:t xml:space="preserve">Because this vote is non-binding, the Board of Directors may determine how frequently we will hold future non-binding executive compensation votes. However, the Board of Directors will consider the outcome of this vote in making its determination. </w:t>
      </w:r>
    </w:p>
    <w:p>
      <w:pPr>
        <w:pStyle w:val="TextBody"/>
        <w:bidi w:val="0"/>
        <w:spacing w:before="360" w:after="0"/>
        <w:jc w:val="left"/>
        <w:rPr>
          <w:rFonts w:ascii="ARIAL" w:hAnsi="ARIAL"/>
          <w:b/>
          <w:sz w:val="20"/>
        </w:rPr>
      </w:pPr>
      <w:bookmarkStart w:id="48" w:name="toc814840_48"/>
      <w:bookmarkEnd w:id="48"/>
      <w:r>
        <w:rPr>
          <w:rFonts w:ascii="ARIAL" w:hAnsi="ARIAL"/>
          <w:b/>
          <w:sz w:val="20"/>
        </w:rPr>
        <w:t xml:space="preserve">Vote Required </w:t>
      </w:r>
    </w:p>
    <w:p>
      <w:pPr>
        <w:pStyle w:val="TextBody"/>
        <w:bidi w:val="0"/>
        <w:spacing w:before="160" w:after="0"/>
        <w:jc w:val="left"/>
        <w:rPr>
          <w:rFonts w:ascii="ARIAL" w:hAnsi="ARIAL"/>
          <w:sz w:val="18"/>
        </w:rPr>
      </w:pPr>
      <w:bookmarkStart w:id="49" w:name="toc814840_49"/>
      <w:bookmarkEnd w:id="49"/>
      <w:r>
        <w:rPr>
          <w:rFonts w:ascii="ARIAL" w:hAnsi="ARIAL"/>
          <w:sz w:val="18"/>
        </w:rPr>
        <w:t xml:space="preserve">The proposal to approve, on an advisory basis, the compensation of our named executive officers requires an affirmative vote of the holders of a majority in voting power of the shares present or represented by proxy and entitled to vote on the proposal. </w:t>
      </w:r>
    </w:p>
    <w:p>
      <w:pPr>
        <w:pStyle w:val="TextBody"/>
        <w:bidi w:val="0"/>
        <w:spacing w:before="0" w:after="0"/>
        <w:jc w:val="left"/>
        <w:rPr/>
      </w:pPr>
      <w:r>
        <w:rPr/>
        <w:t> </w:t>
      </w:r>
    </w:p>
    <w:p>
      <w:pPr>
        <w:pStyle w:val="TextBody"/>
        <w:bidi w:val="0"/>
        <w:spacing w:before="0" w:after="0"/>
        <w:jc w:val="left"/>
        <w:rPr/>
      </w:pPr>
      <w:r>
        <w:rPr/>
        <w:drawing>
          <wp:inline distT="0" distB="0" distL="0" distR="0">
            <wp:extent cx="649605" cy="36830"/>
            <wp:effectExtent l="0" t="0" r="0" b="0"/>
            <wp:docPr id="3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1" descr=""/>
                    <pic:cNvPicPr>
                      <a:picLocks noChangeAspect="1" noChangeArrowheads="1"/>
                    </pic:cNvPicPr>
                  </pic:nvPicPr>
                  <pic:blipFill>
                    <a:blip r:embed="rId28"/>
                    <a:stretch>
                      <a:fillRect/>
                    </a:stretch>
                  </pic:blipFill>
                  <pic:spPr bwMode="auto">
                    <a:xfrm>
                      <a:off x="0" y="0"/>
                      <a:ext cx="649605" cy="36830"/>
                    </a:xfrm>
                    <a:prstGeom prst="rect">
                      <a:avLst/>
                    </a:prstGeom>
                  </pic:spPr>
                </pic:pic>
              </a:graphicData>
            </a:graphic>
          </wp:inline>
        </w:drawing>
      </w:r>
      <w:r>
        <w:rPr/>
        <w:t xml:space="preserve">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49</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40"/>
        </w:rPr>
      </w:pPr>
      <w:bookmarkStart w:id="50" w:name="toc814840_50"/>
      <w:bookmarkEnd w:id="50"/>
      <w:r>
        <w:rPr>
          <w:rFonts w:ascii="Times New Roman" w:hAnsi="Times New Roman"/>
          <w:sz w:val="40"/>
        </w:rPr>
        <w:t xml:space="preserve">Director Compensation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160" w:after="0"/>
        <w:jc w:val="left"/>
        <w:rPr>
          <w:rFonts w:ascii="ARIAL" w:hAnsi="ARIAL"/>
          <w:sz w:val="18"/>
        </w:rPr>
      </w:pPr>
      <w:r>
        <w:rPr>
          <w:rFonts w:ascii="ARIAL" w:hAnsi="ARIAL"/>
          <w:sz w:val="18"/>
        </w:rPr>
        <w:t xml:space="preserve">Prior to the Spin, Labcorp engaged FW Cook to assist with developing a non-employee director compensation program for us which is intended to compensate the first year of director service. Any changes post-Spin will be considered and approved by our Board of Directors and the Fortrea MDCC. In establishing such program pre-Spin, Labcorp and FW Cook analyzed the director compensation programs for Fortrea’s 16-company industry peer group (as described in more detail above under “Executive Compensation”) and companies in the general industry. As a result of such review, our initial director compensation program was approved for us, pursuant to which each director will receive compensation in the form of an annual cash retainer and an equity award. For 2023, the cash retainer was $67,500 and the equity award was in the form of Fortrea RSUs, issued after the Spin, with a grant-date fair value of $210,000 (which are subject to, among other terms and conditions, a one-year vesting requirement). The Lead Independent Director was entitled to receive an additional cash retainer of $40,000, and, after the establishment of our Audit Committee, Nominating, Corporate Governance and Compliance Committee, and the Fortrea MDCC, an additional cash retainer of $25,000 was paid to the chair of the Audit Committee and an additional cash retainer of $20,000 was paid to the chairs of each of the Nominating, Corporate Governance and Compliance Committee and Fortrea MDCC. </w:t>
      </w:r>
    </w:p>
    <w:p>
      <w:pPr>
        <w:pStyle w:val="TextBody"/>
        <w:bidi w:val="0"/>
        <w:spacing w:before="240" w:after="0"/>
        <w:jc w:val="left"/>
        <w:rPr>
          <w:rFonts w:ascii="ARIAL" w:hAnsi="ARIAL"/>
          <w:sz w:val="18"/>
        </w:rPr>
      </w:pPr>
      <w:r>
        <w:rPr>
          <w:rFonts w:ascii="ARIAL" w:hAnsi="ARIAL"/>
          <w:sz w:val="18"/>
        </w:rPr>
        <w:t xml:space="preserve">For 2024 and thereafter, non-employee members of our Board of Directors are expected to receive a cash retainer of $90,000 and an equity award in the form of Fortrea RSUs, with a grant-date fair value of $210,000 (which will be subject to, among other terms and conditions, a one year vesting requirement), and the Lead Independent Director and committee chairs will also receive the cash retainers described above. </w:t>
      </w:r>
    </w:p>
    <w:p>
      <w:pPr>
        <w:pStyle w:val="TextBody"/>
        <w:bidi w:val="0"/>
        <w:spacing w:before="240" w:after="0"/>
        <w:jc w:val="left"/>
        <w:rPr>
          <w:rFonts w:ascii="ARIAL" w:hAnsi="ARIAL"/>
          <w:b/>
          <w:sz w:val="28"/>
        </w:rPr>
      </w:pPr>
      <w:bookmarkStart w:id="51" w:name="toc814840_51"/>
      <w:bookmarkEnd w:id="51"/>
      <w:r>
        <w:rPr>
          <w:rFonts w:ascii="ARIAL" w:hAnsi="ARIAL"/>
          <w:b/>
          <w:sz w:val="28"/>
        </w:rPr>
        <w:t xml:space="preserve">2023 Director Compensation Table </w:t>
      </w:r>
    </w:p>
    <w:p>
      <w:pPr>
        <w:pStyle w:val="TextBody"/>
        <w:bidi w:val="0"/>
        <w:spacing w:before="160" w:after="0"/>
        <w:jc w:val="left"/>
        <w:rPr>
          <w:rFonts w:ascii="ARIAL" w:hAnsi="ARIAL"/>
          <w:sz w:val="18"/>
        </w:rPr>
      </w:pPr>
      <w:r>
        <w:rPr>
          <w:rFonts w:ascii="ARIAL" w:hAnsi="ARIAL"/>
          <w:sz w:val="18"/>
        </w:rPr>
        <w:t xml:space="preserve">The following table sets forth summary compensation information for our directors for the fiscal year ended December 31, 2023: </w:t>
      </w:r>
    </w:p>
    <w:p>
      <w:pPr>
        <w:pStyle w:val="TextBody"/>
        <w:bidi w:val="0"/>
        <w:spacing w:before="0" w:after="0"/>
        <w:jc w:val="left"/>
        <w:rPr/>
      </w:pPr>
      <w:r>
        <w:rPr/>
        <w:t> </w:t>
      </w:r>
    </w:p>
    <w:tbl>
      <w:tblPr>
        <w:tblW w:w="5175" w:type="dxa"/>
        <w:jc w:val="left"/>
        <w:tblInd w:w="0" w:type="dxa"/>
        <w:tblLayout w:type="fixed"/>
        <w:tblCellMar>
          <w:top w:w="0" w:type="dxa"/>
          <w:left w:w="0" w:type="dxa"/>
          <w:bottom w:w="0" w:type="dxa"/>
          <w:right w:w="0" w:type="dxa"/>
        </w:tblCellMar>
      </w:tblPr>
      <w:tblGrid>
        <w:gridCol w:w="1445"/>
        <w:gridCol w:w="120"/>
        <w:gridCol w:w="192"/>
        <w:gridCol w:w="1103"/>
        <w:gridCol w:w="60"/>
        <w:gridCol w:w="120"/>
        <w:gridCol w:w="140"/>
        <w:gridCol w:w="800"/>
        <w:gridCol w:w="60"/>
        <w:gridCol w:w="120"/>
        <w:gridCol w:w="140"/>
        <w:gridCol w:w="800"/>
        <w:gridCol w:w="75"/>
      </w:tblGrid>
      <w:tr>
        <w:trPr/>
        <w:tc>
          <w:tcPr>
            <w:tcW w:w="14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445" w:type="dxa"/>
            <w:tcBorders/>
            <w:shd w:fill="0BC11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w:t>
            </w:r>
          </w:p>
        </w:tc>
        <w:tc>
          <w:tcPr>
            <w:tcW w:w="120" w:type="dxa"/>
            <w:tcBorders/>
            <w:shd w:fill="0BC11C" w:val="clear"/>
            <w:vAlign w:val="center"/>
          </w:tcPr>
          <w:p>
            <w:pPr>
              <w:pStyle w:val="TableContents"/>
              <w:bidi w:val="0"/>
              <w:spacing w:before="0" w:after="283"/>
              <w:jc w:val="left"/>
              <w:rPr/>
            </w:pPr>
            <w:r>
              <w:rPr/>
              <w:t>  </w:t>
            </w:r>
          </w:p>
        </w:tc>
        <w:tc>
          <w:tcPr>
            <w:tcW w:w="1295" w:type="dxa"/>
            <w:gridSpan w:val="2"/>
            <w:tcBorders/>
            <w:shd w:fill="0BC11C" w:val="clear"/>
            <w:vAlign w:val="center"/>
          </w:tcPr>
          <w:p>
            <w:pPr>
              <w:pStyle w:val="TableContents"/>
              <w:bidi w:val="0"/>
              <w:spacing w:before="0" w:after="283"/>
              <w:jc w:val="center"/>
              <w:rPr>
                <w:b/>
                <w:color w:val="FFFFFF"/>
              </w:rPr>
            </w:pPr>
            <w:r>
              <w:rPr>
                <w:b/>
                <w:color w:val="FFFFFF"/>
              </w:rPr>
              <w:t>Fees Earned</w:t>
              <w:br/>
              <w:t>or Paid</w:t>
              <w:br/>
              <w:t>in Cash</w:t>
              <w:br/>
              <w:t>($)</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940" w:type="dxa"/>
            <w:gridSpan w:val="2"/>
            <w:tcBorders/>
            <w:shd w:fill="0BC11C"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Restricted</w:t>
              <w:br/>
              <w:t>Stock units</w:t>
            </w:r>
          </w:p>
          <w:p>
            <w:pPr>
              <w:pStyle w:val="TableContents"/>
              <w:bidi w:val="0"/>
              <w:spacing w:before="0" w:after="20"/>
              <w:jc w:val="center"/>
              <w:rPr>
                <w:rFonts w:ascii="ARIAL" w:hAnsi="ARIAL"/>
                <w:b/>
                <w:color w:val="FFFFFF"/>
                <w:sz w:val="16"/>
              </w:rPr>
            </w:pPr>
            <w:r>
              <w:rPr>
                <w:rFonts w:ascii="ARIAL" w:hAnsi="ARIAL"/>
                <w:b/>
                <w:color w:val="FFFFFF"/>
                <w:sz w:val="16"/>
              </w:rPr>
              <w:t>($)</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940" w:type="dxa"/>
            <w:gridSpan w:val="2"/>
            <w:tcBorders/>
            <w:shd w:fill="0BC11C" w:val="clear"/>
            <w:vAlign w:val="center"/>
          </w:tcPr>
          <w:p>
            <w:pPr>
              <w:pStyle w:val="TableContents"/>
              <w:bidi w:val="0"/>
              <w:spacing w:before="0" w:after="283"/>
              <w:jc w:val="center"/>
              <w:rPr>
                <w:b/>
                <w:color w:val="FFFFFF"/>
              </w:rPr>
            </w:pPr>
            <w:r>
              <w:rPr>
                <w:b/>
                <w:color w:val="FFFFFF"/>
              </w:rPr>
              <w:t>Total</w:t>
              <w:br/>
              <w:t>($)</w:t>
            </w:r>
          </w:p>
        </w:tc>
        <w:tc>
          <w:tcPr>
            <w:tcW w:w="75" w:type="dxa"/>
            <w:tcBorders/>
            <w:shd w:fill="0BC11C"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ARIAL" w:hAnsi="ARIAL"/>
                <w:sz w:val="18"/>
              </w:rPr>
            </w:pPr>
            <w:r>
              <w:rPr>
                <w:rFonts w:ascii="ARIAL" w:hAnsi="ARIAL"/>
                <w:sz w:val="18"/>
              </w:rPr>
              <w:t>R. Andrew Eckert</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1103" w:type="dxa"/>
            <w:tcBorders/>
            <w:vAlign w:val="center"/>
          </w:tcPr>
          <w:p>
            <w:pPr>
              <w:pStyle w:val="TableContents"/>
              <w:bidi w:val="0"/>
              <w:spacing w:before="0" w:after="283"/>
              <w:jc w:val="right"/>
              <w:rPr/>
            </w:pPr>
            <w:r>
              <w:rPr/>
              <w:t>127,500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337,500</w:t>
            </w:r>
          </w:p>
        </w:tc>
        <w:tc>
          <w:tcPr>
            <w:tcW w:w="75" w:type="dxa"/>
            <w:tcBorders/>
            <w:vAlign w:val="center"/>
          </w:tcPr>
          <w:p>
            <w:pPr>
              <w:pStyle w:val="TableContents"/>
              <w:bidi w:val="0"/>
              <w:spacing w:before="0" w:after="283"/>
              <w:jc w:val="left"/>
              <w:rPr/>
            </w:pPr>
            <w:r>
              <w:rPr/>
              <w:t> </w:t>
            </w:r>
          </w:p>
        </w:tc>
      </w:tr>
      <w:tr>
        <w:trPr/>
        <w:tc>
          <w:tcPr>
            <w:tcW w:w="1445" w:type="dxa"/>
            <w:tcBorders/>
            <w:shd w:fill="EDEDED" w:val="clear"/>
            <w:vAlign w:val="center"/>
          </w:tcPr>
          <w:p>
            <w:pPr>
              <w:pStyle w:val="TableContents"/>
              <w:bidi w:val="0"/>
              <w:spacing w:before="0" w:after="283"/>
              <w:jc w:val="left"/>
              <w:rPr>
                <w:sz w:val="4"/>
                <w:szCs w:val="4"/>
              </w:rPr>
            </w:pPr>
            <w:r>
              <w:rPr>
                <w:sz w:val="4"/>
                <w:szCs w:val="4"/>
              </w:rPr>
            </w:r>
          </w:p>
        </w:tc>
        <w:tc>
          <w:tcPr>
            <w:tcW w:w="1475" w:type="dxa"/>
            <w:gridSpan w:val="4"/>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3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445" w:type="dxa"/>
            <w:tcBorders/>
            <w:shd w:fill="EDEDED" w:val="clear"/>
            <w:vAlign w:val="center"/>
          </w:tcPr>
          <w:p>
            <w:pPr>
              <w:pStyle w:val="TableContents"/>
              <w:bidi w:val="0"/>
              <w:spacing w:before="0" w:after="0"/>
              <w:jc w:val="left"/>
              <w:rPr>
                <w:rFonts w:ascii="ARIAL" w:hAnsi="ARIAL"/>
                <w:sz w:val="18"/>
              </w:rPr>
            </w:pPr>
            <w:r>
              <w:rPr>
                <w:rFonts w:ascii="ARIAL" w:hAnsi="ARIAL"/>
                <w:sz w:val="18"/>
              </w:rPr>
              <w:t>Betty Larson</w:t>
            </w:r>
          </w:p>
        </w:tc>
        <w:tc>
          <w:tcPr>
            <w:tcW w:w="120" w:type="dxa"/>
            <w:tcBorders/>
            <w:shd w:fill="EDEDED" w:val="clear"/>
            <w:vAlign w:val="center"/>
          </w:tcPr>
          <w:p>
            <w:pPr>
              <w:pStyle w:val="TableContents"/>
              <w:bidi w:val="0"/>
              <w:spacing w:before="0" w:after="283"/>
              <w:jc w:val="left"/>
              <w:rPr/>
            </w:pPr>
            <w:r>
              <w:rPr/>
              <w:t>  </w:t>
            </w:r>
          </w:p>
        </w:tc>
        <w:tc>
          <w:tcPr>
            <w:tcW w:w="192" w:type="dxa"/>
            <w:tcBorders/>
            <w:shd w:fill="EDEDED" w:val="clear"/>
            <w:vAlign w:val="center"/>
          </w:tcPr>
          <w:p>
            <w:pPr>
              <w:pStyle w:val="TableContents"/>
              <w:bidi w:val="0"/>
              <w:spacing w:before="0" w:after="283"/>
              <w:jc w:val="left"/>
              <w:rPr/>
            </w:pPr>
            <w:r>
              <w:rPr/>
              <w:t>$</w:t>
            </w:r>
          </w:p>
        </w:tc>
        <w:tc>
          <w:tcPr>
            <w:tcW w:w="1103" w:type="dxa"/>
            <w:tcBorders/>
            <w:shd w:fill="EDEDED" w:val="clear"/>
            <w:vAlign w:val="center"/>
          </w:tcPr>
          <w:p>
            <w:pPr>
              <w:pStyle w:val="TableContents"/>
              <w:bidi w:val="0"/>
              <w:spacing w:before="0" w:after="283"/>
              <w:jc w:val="right"/>
              <w:rPr/>
            </w:pPr>
            <w:r>
              <w:rPr/>
              <w:t>67,500</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800" w:type="dxa"/>
            <w:tcBorders/>
            <w:shd w:fill="EDEDED" w:val="clear"/>
            <w:vAlign w:val="center"/>
          </w:tcPr>
          <w:p>
            <w:pPr>
              <w:pStyle w:val="TableContents"/>
              <w:bidi w:val="0"/>
              <w:spacing w:before="0" w:after="283"/>
              <w:jc w:val="right"/>
              <w:rPr/>
            </w:pPr>
            <w:r>
              <w:rPr/>
              <w:t>210,000</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800" w:type="dxa"/>
            <w:tcBorders/>
            <w:shd w:fill="EDEDED" w:val="clear"/>
            <w:vAlign w:val="center"/>
          </w:tcPr>
          <w:p>
            <w:pPr>
              <w:pStyle w:val="TableContents"/>
              <w:bidi w:val="0"/>
              <w:spacing w:before="0" w:after="283"/>
              <w:jc w:val="right"/>
              <w:rPr/>
            </w:pPr>
            <w:r>
              <w:rPr/>
              <w:t>277,000</w:t>
            </w:r>
          </w:p>
        </w:tc>
        <w:tc>
          <w:tcPr>
            <w:tcW w:w="75" w:type="dxa"/>
            <w:tcBorders/>
            <w:shd w:fill="EDEDED"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ARIAL" w:hAnsi="ARIAL"/>
                <w:sz w:val="18"/>
              </w:rPr>
            </w:pPr>
            <w:r>
              <w:rPr>
                <w:rFonts w:ascii="ARIAL" w:hAnsi="ARIAL"/>
                <w:sz w:val="18"/>
              </w:rPr>
              <w:t>Peter Neupert</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1103" w:type="dxa"/>
            <w:tcBorders/>
            <w:vAlign w:val="center"/>
          </w:tcPr>
          <w:p>
            <w:pPr>
              <w:pStyle w:val="TableContents"/>
              <w:bidi w:val="0"/>
              <w:spacing w:before="0" w:after="283"/>
              <w:jc w:val="right"/>
              <w:rPr/>
            </w:pPr>
            <w:r>
              <w:rPr/>
              <w:t>87,500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297,500</w:t>
            </w:r>
          </w:p>
        </w:tc>
        <w:tc>
          <w:tcPr>
            <w:tcW w:w="75" w:type="dxa"/>
            <w:tcBorders/>
            <w:vAlign w:val="center"/>
          </w:tcPr>
          <w:p>
            <w:pPr>
              <w:pStyle w:val="TableContents"/>
              <w:bidi w:val="0"/>
              <w:spacing w:before="0" w:after="283"/>
              <w:jc w:val="left"/>
              <w:rPr/>
            </w:pPr>
            <w:r>
              <w:rPr/>
              <w:t> </w:t>
            </w:r>
          </w:p>
        </w:tc>
      </w:tr>
      <w:tr>
        <w:trPr/>
        <w:tc>
          <w:tcPr>
            <w:tcW w:w="1445" w:type="dxa"/>
            <w:tcBorders/>
            <w:shd w:fill="EDEDED" w:val="clear"/>
            <w:vAlign w:val="center"/>
          </w:tcPr>
          <w:p>
            <w:pPr>
              <w:pStyle w:val="TableContents"/>
              <w:bidi w:val="0"/>
              <w:spacing w:before="0" w:after="283"/>
              <w:jc w:val="left"/>
              <w:rPr>
                <w:sz w:val="4"/>
                <w:szCs w:val="4"/>
              </w:rPr>
            </w:pPr>
            <w:r>
              <w:rPr>
                <w:sz w:val="4"/>
                <w:szCs w:val="4"/>
              </w:rPr>
            </w:r>
          </w:p>
        </w:tc>
        <w:tc>
          <w:tcPr>
            <w:tcW w:w="1475" w:type="dxa"/>
            <w:gridSpan w:val="4"/>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3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445" w:type="dxa"/>
            <w:tcBorders/>
            <w:shd w:fill="EDEDED" w:val="clear"/>
            <w:vAlign w:val="center"/>
          </w:tcPr>
          <w:p>
            <w:pPr>
              <w:pStyle w:val="TableContents"/>
              <w:bidi w:val="0"/>
              <w:spacing w:before="0" w:after="0"/>
              <w:jc w:val="left"/>
              <w:rPr>
                <w:rFonts w:ascii="ARIAL" w:hAnsi="ARIAL"/>
                <w:sz w:val="18"/>
              </w:rPr>
            </w:pPr>
            <w:r>
              <w:rPr>
                <w:rFonts w:ascii="ARIAL" w:hAnsi="ARIAL"/>
                <w:sz w:val="18"/>
              </w:rPr>
              <w:t>Edward Pesicka</w:t>
            </w:r>
          </w:p>
        </w:tc>
        <w:tc>
          <w:tcPr>
            <w:tcW w:w="120" w:type="dxa"/>
            <w:tcBorders/>
            <w:shd w:fill="EDEDED" w:val="clear"/>
            <w:vAlign w:val="center"/>
          </w:tcPr>
          <w:p>
            <w:pPr>
              <w:pStyle w:val="TableContents"/>
              <w:bidi w:val="0"/>
              <w:spacing w:before="0" w:after="283"/>
              <w:jc w:val="left"/>
              <w:rPr/>
            </w:pPr>
            <w:r>
              <w:rPr/>
              <w:t>  </w:t>
            </w:r>
          </w:p>
        </w:tc>
        <w:tc>
          <w:tcPr>
            <w:tcW w:w="192" w:type="dxa"/>
            <w:tcBorders/>
            <w:shd w:fill="EDEDED" w:val="clear"/>
            <w:vAlign w:val="center"/>
          </w:tcPr>
          <w:p>
            <w:pPr>
              <w:pStyle w:val="TableContents"/>
              <w:bidi w:val="0"/>
              <w:spacing w:before="0" w:after="283"/>
              <w:jc w:val="left"/>
              <w:rPr/>
            </w:pPr>
            <w:r>
              <w:rPr/>
              <w:t>$</w:t>
            </w:r>
          </w:p>
        </w:tc>
        <w:tc>
          <w:tcPr>
            <w:tcW w:w="1103" w:type="dxa"/>
            <w:tcBorders/>
            <w:shd w:fill="EDEDED" w:val="clear"/>
            <w:vAlign w:val="center"/>
          </w:tcPr>
          <w:p>
            <w:pPr>
              <w:pStyle w:val="TableContents"/>
              <w:bidi w:val="0"/>
              <w:spacing w:before="0" w:after="283"/>
              <w:jc w:val="right"/>
              <w:rPr/>
            </w:pPr>
            <w:r>
              <w:rPr/>
              <w:t>67,500</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800" w:type="dxa"/>
            <w:tcBorders/>
            <w:shd w:fill="EDEDED" w:val="clear"/>
            <w:vAlign w:val="center"/>
          </w:tcPr>
          <w:p>
            <w:pPr>
              <w:pStyle w:val="TableContents"/>
              <w:bidi w:val="0"/>
              <w:spacing w:before="0" w:after="283"/>
              <w:jc w:val="right"/>
              <w:rPr/>
            </w:pPr>
            <w:r>
              <w:rPr/>
              <w:t>210,000</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800" w:type="dxa"/>
            <w:tcBorders/>
            <w:shd w:fill="EDEDED" w:val="clear"/>
            <w:vAlign w:val="center"/>
          </w:tcPr>
          <w:p>
            <w:pPr>
              <w:pStyle w:val="TableContents"/>
              <w:bidi w:val="0"/>
              <w:spacing w:before="0" w:after="283"/>
              <w:jc w:val="right"/>
              <w:rPr/>
            </w:pPr>
            <w:r>
              <w:rPr/>
              <w:t>277,000</w:t>
            </w:r>
          </w:p>
        </w:tc>
        <w:tc>
          <w:tcPr>
            <w:tcW w:w="75" w:type="dxa"/>
            <w:tcBorders/>
            <w:shd w:fill="EDEDED"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ARIAL" w:hAnsi="ARIAL"/>
                <w:sz w:val="18"/>
              </w:rPr>
            </w:pPr>
            <w:r>
              <w:rPr>
                <w:rFonts w:ascii="ARIAL" w:hAnsi="ARIAL"/>
                <w:sz w:val="18"/>
              </w:rPr>
              <w:t>Dr. Amrit Ray</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1103" w:type="dxa"/>
            <w:tcBorders/>
            <w:vAlign w:val="center"/>
          </w:tcPr>
          <w:p>
            <w:pPr>
              <w:pStyle w:val="TableContents"/>
              <w:bidi w:val="0"/>
              <w:spacing w:before="0" w:after="283"/>
              <w:jc w:val="right"/>
              <w:rPr/>
            </w:pPr>
            <w:r>
              <w:rPr/>
              <w:t>67,500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210,000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277,000</w:t>
            </w:r>
          </w:p>
        </w:tc>
        <w:tc>
          <w:tcPr>
            <w:tcW w:w="75" w:type="dxa"/>
            <w:tcBorders/>
            <w:vAlign w:val="center"/>
          </w:tcPr>
          <w:p>
            <w:pPr>
              <w:pStyle w:val="TableContents"/>
              <w:bidi w:val="0"/>
              <w:spacing w:before="0" w:after="283"/>
              <w:jc w:val="left"/>
              <w:rPr/>
            </w:pPr>
            <w:r>
              <w:rPr/>
              <w:t> </w:t>
            </w:r>
          </w:p>
        </w:tc>
      </w:tr>
      <w:tr>
        <w:trPr/>
        <w:tc>
          <w:tcPr>
            <w:tcW w:w="1445" w:type="dxa"/>
            <w:tcBorders/>
            <w:shd w:fill="EDEDED" w:val="clear"/>
            <w:vAlign w:val="center"/>
          </w:tcPr>
          <w:p>
            <w:pPr>
              <w:pStyle w:val="TableContents"/>
              <w:bidi w:val="0"/>
              <w:spacing w:before="0" w:after="283"/>
              <w:jc w:val="left"/>
              <w:rPr>
                <w:sz w:val="4"/>
                <w:szCs w:val="4"/>
              </w:rPr>
            </w:pPr>
            <w:r>
              <w:rPr>
                <w:sz w:val="4"/>
                <w:szCs w:val="4"/>
              </w:rPr>
            </w:r>
          </w:p>
        </w:tc>
        <w:tc>
          <w:tcPr>
            <w:tcW w:w="1475" w:type="dxa"/>
            <w:gridSpan w:val="4"/>
            <w:tcBorders/>
            <w:shd w:fill="EDEDED" w:val="clear"/>
            <w:vAlign w:val="center"/>
          </w:tcPr>
          <w:p>
            <w:pPr>
              <w:pStyle w:val="TableContents"/>
              <w:bidi w:val="0"/>
              <w:spacing w:before="0" w:after="283"/>
              <w:jc w:val="left"/>
              <w:rPr>
                <w:sz w:val="4"/>
                <w:szCs w:val="4"/>
              </w:rPr>
            </w:pPr>
            <w:r>
              <w:rPr>
                <w:sz w:val="4"/>
                <w:szCs w:val="4"/>
              </w:rPr>
            </w:r>
          </w:p>
        </w:tc>
        <w:tc>
          <w:tcPr>
            <w:tcW w:w="1120" w:type="dxa"/>
            <w:gridSpan w:val="4"/>
            <w:tcBorders/>
            <w:shd w:fill="EDEDED" w:val="clear"/>
            <w:vAlign w:val="center"/>
          </w:tcPr>
          <w:p>
            <w:pPr>
              <w:pStyle w:val="TableContents"/>
              <w:bidi w:val="0"/>
              <w:spacing w:before="0" w:after="283"/>
              <w:jc w:val="left"/>
              <w:rPr>
                <w:sz w:val="4"/>
                <w:szCs w:val="4"/>
              </w:rPr>
            </w:pPr>
            <w:r>
              <w:rPr>
                <w:sz w:val="4"/>
                <w:szCs w:val="4"/>
              </w:rPr>
            </w:r>
          </w:p>
        </w:tc>
        <w:tc>
          <w:tcPr>
            <w:tcW w:w="113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1445" w:type="dxa"/>
            <w:tcBorders/>
            <w:shd w:fill="EDEDED" w:val="clear"/>
            <w:vAlign w:val="center"/>
          </w:tcPr>
          <w:p>
            <w:pPr>
              <w:pStyle w:val="TableContents"/>
              <w:bidi w:val="0"/>
              <w:spacing w:before="0" w:after="0"/>
              <w:jc w:val="left"/>
              <w:rPr>
                <w:rFonts w:ascii="ARIAL" w:hAnsi="ARIAL"/>
                <w:sz w:val="18"/>
              </w:rPr>
            </w:pPr>
            <w:r>
              <w:rPr>
                <w:rFonts w:ascii="ARIAL" w:hAnsi="ARIAL"/>
                <w:sz w:val="18"/>
              </w:rPr>
              <w:t>David Smith</w:t>
            </w:r>
          </w:p>
        </w:tc>
        <w:tc>
          <w:tcPr>
            <w:tcW w:w="120" w:type="dxa"/>
            <w:tcBorders/>
            <w:shd w:fill="EDEDED" w:val="clear"/>
            <w:vAlign w:val="center"/>
          </w:tcPr>
          <w:p>
            <w:pPr>
              <w:pStyle w:val="TableContents"/>
              <w:bidi w:val="0"/>
              <w:spacing w:before="0" w:after="283"/>
              <w:jc w:val="left"/>
              <w:rPr/>
            </w:pPr>
            <w:r>
              <w:rPr/>
              <w:t>  </w:t>
            </w:r>
          </w:p>
        </w:tc>
        <w:tc>
          <w:tcPr>
            <w:tcW w:w="192" w:type="dxa"/>
            <w:tcBorders/>
            <w:shd w:fill="EDEDED" w:val="clear"/>
            <w:vAlign w:val="center"/>
          </w:tcPr>
          <w:p>
            <w:pPr>
              <w:pStyle w:val="TableContents"/>
              <w:bidi w:val="0"/>
              <w:spacing w:before="0" w:after="283"/>
              <w:jc w:val="left"/>
              <w:rPr/>
            </w:pPr>
            <w:r>
              <w:rPr/>
              <w:t>$</w:t>
            </w:r>
          </w:p>
        </w:tc>
        <w:tc>
          <w:tcPr>
            <w:tcW w:w="1103" w:type="dxa"/>
            <w:tcBorders/>
            <w:shd w:fill="EDEDED" w:val="clear"/>
            <w:vAlign w:val="center"/>
          </w:tcPr>
          <w:p>
            <w:pPr>
              <w:pStyle w:val="TableContents"/>
              <w:bidi w:val="0"/>
              <w:spacing w:before="0" w:after="283"/>
              <w:jc w:val="right"/>
              <w:rPr/>
            </w:pPr>
            <w:r>
              <w:rPr/>
              <w:t>92,500</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800" w:type="dxa"/>
            <w:tcBorders/>
            <w:shd w:fill="EDEDED" w:val="clear"/>
            <w:vAlign w:val="center"/>
          </w:tcPr>
          <w:p>
            <w:pPr>
              <w:pStyle w:val="TableContents"/>
              <w:bidi w:val="0"/>
              <w:spacing w:before="0" w:after="283"/>
              <w:jc w:val="right"/>
              <w:rPr/>
            </w:pPr>
            <w:r>
              <w:rPr/>
              <w:t>210,000</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40" w:type="dxa"/>
            <w:tcBorders/>
            <w:shd w:fill="EDEDED" w:val="clear"/>
            <w:vAlign w:val="center"/>
          </w:tcPr>
          <w:p>
            <w:pPr>
              <w:pStyle w:val="TableContents"/>
              <w:bidi w:val="0"/>
              <w:spacing w:before="0" w:after="283"/>
              <w:jc w:val="left"/>
              <w:rPr/>
            </w:pPr>
            <w:r>
              <w:rPr/>
              <w:t>$</w:t>
            </w:r>
          </w:p>
        </w:tc>
        <w:tc>
          <w:tcPr>
            <w:tcW w:w="800" w:type="dxa"/>
            <w:tcBorders/>
            <w:shd w:fill="EDEDED" w:val="clear"/>
            <w:vAlign w:val="center"/>
          </w:tcPr>
          <w:p>
            <w:pPr>
              <w:pStyle w:val="TableContents"/>
              <w:bidi w:val="0"/>
              <w:spacing w:before="0" w:after="283"/>
              <w:jc w:val="right"/>
              <w:rPr/>
            </w:pPr>
            <w:r>
              <w:rPr/>
              <w:t>302,500</w:t>
            </w:r>
          </w:p>
        </w:tc>
        <w:tc>
          <w:tcPr>
            <w:tcW w:w="75" w:type="dxa"/>
            <w:tcBorders/>
            <w:shd w:fill="EDEDED" w:val="clear"/>
            <w:vAlign w:val="center"/>
          </w:tcPr>
          <w:p>
            <w:pPr>
              <w:pStyle w:val="TableContents"/>
              <w:bidi w:val="0"/>
              <w:spacing w:before="0" w:after="283"/>
              <w:jc w:val="left"/>
              <w:rPr/>
            </w:pPr>
            <w:r>
              <w:rPr/>
              <w:t> </w:t>
            </w:r>
          </w:p>
        </w:tc>
      </w:tr>
      <w:tr>
        <w:trPr/>
        <w:tc>
          <w:tcPr>
            <w:tcW w:w="1445" w:type="dxa"/>
            <w:tcBorders/>
            <w:vAlign w:val="center"/>
          </w:tcPr>
          <w:p>
            <w:pPr>
              <w:pStyle w:val="TableContents"/>
              <w:bidi w:val="0"/>
              <w:spacing w:before="0" w:after="283"/>
              <w:jc w:val="left"/>
              <w:rPr>
                <w:sz w:val="4"/>
                <w:szCs w:val="4"/>
              </w:rPr>
            </w:pPr>
            <w:r>
              <w:rPr>
                <w:sz w:val="4"/>
                <w:szCs w:val="4"/>
              </w:rPr>
            </w:r>
          </w:p>
        </w:tc>
        <w:tc>
          <w:tcPr>
            <w:tcW w:w="1475" w:type="dxa"/>
            <w:gridSpan w:val="4"/>
            <w:tcBorders/>
            <w:vAlign w:val="center"/>
          </w:tcPr>
          <w:p>
            <w:pPr>
              <w:pStyle w:val="TableContents"/>
              <w:bidi w:val="0"/>
              <w:spacing w:before="0" w:after="283"/>
              <w:jc w:val="left"/>
              <w:rPr>
                <w:sz w:val="4"/>
                <w:szCs w:val="4"/>
              </w:rPr>
            </w:pPr>
            <w:r>
              <w:rPr>
                <w:sz w:val="4"/>
                <w:szCs w:val="4"/>
              </w:rPr>
            </w:r>
          </w:p>
        </w:tc>
        <w:tc>
          <w:tcPr>
            <w:tcW w:w="1120" w:type="dxa"/>
            <w:gridSpan w:val="4"/>
            <w:tcBorders/>
            <w:vAlign w:val="center"/>
          </w:tcPr>
          <w:p>
            <w:pPr>
              <w:pStyle w:val="TableContents"/>
              <w:bidi w:val="0"/>
              <w:spacing w:before="0" w:after="283"/>
              <w:jc w:val="left"/>
              <w:rPr>
                <w:sz w:val="4"/>
                <w:szCs w:val="4"/>
              </w:rPr>
            </w:pPr>
            <w:r>
              <w:rPr>
                <w:sz w:val="4"/>
                <w:szCs w:val="4"/>
              </w:rPr>
            </w:r>
          </w:p>
        </w:tc>
        <w:tc>
          <w:tcPr>
            <w:tcW w:w="1135" w:type="dxa"/>
            <w:gridSpan w:val="4"/>
            <w:tcBorders/>
            <w:vAlign w:val="center"/>
          </w:tcPr>
          <w:p>
            <w:pPr>
              <w:pStyle w:val="TableContents"/>
              <w:bidi w:val="0"/>
              <w:spacing w:before="0" w:after="283"/>
              <w:jc w:val="left"/>
              <w:rPr>
                <w:sz w:val="4"/>
                <w:szCs w:val="4"/>
              </w:rPr>
            </w:pPr>
            <w:r>
              <w:rPr>
                <w:sz w:val="4"/>
                <w:szCs w:val="4"/>
              </w:rPr>
            </w:r>
          </w:p>
        </w:tc>
      </w:tr>
      <w:tr>
        <w:trPr/>
        <w:tc>
          <w:tcPr>
            <w:tcW w:w="1445" w:type="dxa"/>
            <w:tcBorders/>
            <w:vAlign w:val="center"/>
          </w:tcPr>
          <w:p>
            <w:pPr>
              <w:pStyle w:val="TableContents"/>
              <w:bidi w:val="0"/>
              <w:spacing w:before="0" w:after="0"/>
              <w:jc w:val="left"/>
              <w:rPr>
                <w:rFonts w:ascii="ARIAL" w:hAnsi="ARIAL"/>
                <w:sz w:val="18"/>
              </w:rPr>
            </w:pPr>
            <w:r>
              <w:rPr>
                <w:rFonts w:ascii="ARIAL" w:hAnsi="ARIAL"/>
                <w:sz w:val="18"/>
              </w:rPr>
              <w:t xml:space="preserve">Thomas Pike </w:t>
            </w:r>
          </w:p>
        </w:tc>
        <w:tc>
          <w:tcPr>
            <w:tcW w:w="120"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pPr>
            <w:r>
              <w:rPr/>
              <w:t>$</w:t>
            </w:r>
          </w:p>
        </w:tc>
        <w:tc>
          <w:tcPr>
            <w:tcW w:w="1103"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800"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83"/>
              <w:jc w:val="left"/>
              <w:rPr/>
            </w:pPr>
            <w:r>
              <w:rPr/>
              <w:t>(1)</w:t>
            </w:r>
          </w:p>
        </w:tc>
        <w:tc>
          <w:tcPr>
            <w:tcW w:w="9919" w:type="dxa"/>
            <w:tcBorders/>
            <w:vAlign w:val="center"/>
          </w:tcPr>
          <w:p>
            <w:pPr>
              <w:pStyle w:val="TableContents"/>
              <w:bidi w:val="0"/>
              <w:spacing w:before="0" w:after="0"/>
              <w:jc w:val="left"/>
              <w:rPr>
                <w:rFonts w:ascii="ARIAL" w:hAnsi="ARIAL"/>
                <w:sz w:val="14"/>
              </w:rPr>
            </w:pPr>
            <w:r>
              <w:rPr>
                <w:rFonts w:ascii="ARIAL" w:hAnsi="ARIAL"/>
                <w:sz w:val="14"/>
              </w:rPr>
              <w:t xml:space="preserve">Mr. Pike receives no cash or equity compensation for his service as a member of the Board of Directors. See “Executive Compensation” for discussion of Mr. Pike’s compensation as Chief Executive Officer.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2"/>
        <w:gridCol w:w="9943"/>
      </w:tblGrid>
      <w:tr>
        <w:trPr/>
        <w:tc>
          <w:tcPr>
            <w:tcW w:w="262" w:type="dxa"/>
            <w:tcBorders/>
            <w:vAlign w:val="center"/>
          </w:tcPr>
          <w:p>
            <w:pPr>
              <w:pStyle w:val="TableContents"/>
              <w:bidi w:val="0"/>
              <w:spacing w:before="0" w:after="283"/>
              <w:jc w:val="left"/>
              <w:rPr/>
            </w:pPr>
            <w:r>
              <w:rPr/>
              <w:t>(2)</w:t>
            </w:r>
          </w:p>
        </w:tc>
        <w:tc>
          <w:tcPr>
            <w:tcW w:w="9943" w:type="dxa"/>
            <w:tcBorders/>
            <w:vAlign w:val="center"/>
          </w:tcPr>
          <w:p>
            <w:pPr>
              <w:pStyle w:val="TableContents"/>
              <w:bidi w:val="0"/>
              <w:spacing w:before="0" w:after="0"/>
              <w:jc w:val="left"/>
              <w:rPr>
                <w:rFonts w:ascii="ARIAL" w:hAnsi="ARIAL"/>
                <w:sz w:val="14"/>
              </w:rPr>
            </w:pPr>
            <w:r>
              <w:rPr>
                <w:rFonts w:ascii="ARIAL" w:hAnsi="ARIAL"/>
                <w:sz w:val="14"/>
              </w:rPr>
              <w:t xml:space="preserve">All RSUs granted to any directors have been valued based on the fair value of the RSUs using the market value as of the data of grant. A discussion of the assumptions used in calculating these values can be found in Note 14 to the Consolidated Financial Statements in the Company’s Annual Report on Form 10-K for the year ended December 31, 2023.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305"/>
        <w:gridCol w:w="8810"/>
      </w:tblGrid>
      <w:tr>
        <w:trPr/>
        <w:tc>
          <w:tcPr>
            <w:tcW w:w="305" w:type="dxa"/>
            <w:tcBorders/>
            <w:vAlign w:val="center"/>
          </w:tcPr>
          <w:p>
            <w:pPr>
              <w:pStyle w:val="TableContents"/>
              <w:bidi w:val="0"/>
              <w:spacing w:before="0" w:after="283"/>
              <w:jc w:val="left"/>
              <w:rPr/>
            </w:pPr>
            <w:r>
              <w:rPr/>
              <w:t>(3)</w:t>
            </w:r>
          </w:p>
        </w:tc>
        <w:tc>
          <w:tcPr>
            <w:tcW w:w="8810" w:type="dxa"/>
            <w:tcBorders/>
            <w:vAlign w:val="center"/>
          </w:tcPr>
          <w:p>
            <w:pPr>
              <w:pStyle w:val="TableContents"/>
              <w:bidi w:val="0"/>
              <w:spacing w:before="0" w:after="0"/>
              <w:jc w:val="left"/>
              <w:rPr>
                <w:rFonts w:ascii="ARIAL" w:hAnsi="ARIAL"/>
                <w:sz w:val="14"/>
              </w:rPr>
            </w:pPr>
            <w:r>
              <w:rPr>
                <w:rFonts w:ascii="ARIAL" w:hAnsi="ARIAL"/>
                <w:sz w:val="14"/>
              </w:rPr>
              <w:t xml:space="preserve">The aggregate number of RSUs outstanding for each director appears in “Security Ownership of Certain Beneficial Owners and Management.” </w:t>
            </w:r>
          </w:p>
        </w:tc>
      </w:tr>
    </w:tbl>
    <w:p>
      <w:pPr>
        <w:pStyle w:val="TextBody"/>
        <w:bidi w:val="0"/>
        <w:spacing w:before="160" w:after="0"/>
        <w:jc w:val="left"/>
        <w:rPr>
          <w:rFonts w:ascii="ARIAL" w:hAnsi="ARIAL"/>
          <w:sz w:val="18"/>
        </w:rPr>
      </w:pPr>
      <w:r>
        <w:rPr>
          <w:rFonts w:ascii="ARIAL" w:hAnsi="ARIAL"/>
          <w:sz w:val="18"/>
        </w:rPr>
        <w:t xml:space="preserve">In connection with our 2023 Spin, members of the Board of Directors were granted RSUs as detailed above. The terms of the RSUs provide for vesting of the RSUs in full on July 18, 2024, subject to the director’s continued service as a director.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50</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left"/>
        <w:rPr>
          <w:rFonts w:ascii="ARIAL" w:hAnsi="ARIAL"/>
          <w:sz w:val="28"/>
        </w:rPr>
      </w:pPr>
      <w:bookmarkStart w:id="52" w:name="toc814840_52"/>
      <w:bookmarkEnd w:id="52"/>
      <w:r>
        <w:rPr>
          <w:rFonts w:ascii="ARIAL" w:hAnsi="ARIAL"/>
          <w:sz w:val="28"/>
        </w:rPr>
        <w:t xml:space="preserve">Equity Compensation Plan Information </w:t>
      </w:r>
    </w:p>
    <w:p>
      <w:pPr>
        <w:pStyle w:val="TextBody"/>
        <w:bidi w:val="0"/>
        <w:spacing w:before="160" w:after="0"/>
        <w:jc w:val="left"/>
        <w:rPr>
          <w:rFonts w:ascii="ARIAL" w:hAnsi="ARIAL"/>
          <w:sz w:val="18"/>
        </w:rPr>
      </w:pPr>
      <w:r>
        <w:rPr>
          <w:rFonts w:ascii="ARIAL" w:hAnsi="ARIAL"/>
          <w:sz w:val="18"/>
        </w:rPr>
        <w:t xml:space="preserve">The following table provides certain information as of December 31, 2023 regarding Fortrea’s equity compensation plans. </w:t>
      </w:r>
    </w:p>
    <w:p>
      <w:pPr>
        <w:pStyle w:val="TextBody"/>
        <w:bidi w:val="0"/>
        <w:spacing w:before="0" w:after="0"/>
        <w:jc w:val="left"/>
        <w:rPr/>
      </w:pPr>
      <w:r>
        <w:rPr/>
        <w:t> </w:t>
      </w:r>
    </w:p>
    <w:tbl>
      <w:tblPr>
        <w:tblW w:w="9605" w:type="dxa"/>
        <w:jc w:val="left"/>
        <w:tblInd w:w="0" w:type="dxa"/>
        <w:tblLayout w:type="fixed"/>
        <w:tblCellMar>
          <w:top w:w="0" w:type="dxa"/>
          <w:left w:w="0" w:type="dxa"/>
          <w:bottom w:w="0" w:type="dxa"/>
          <w:right w:w="0" w:type="dxa"/>
        </w:tblCellMar>
      </w:tblPr>
      <w:tblGrid>
        <w:gridCol w:w="4940"/>
        <w:gridCol w:w="120"/>
        <w:gridCol w:w="71"/>
        <w:gridCol w:w="1164"/>
        <w:gridCol w:w="60"/>
        <w:gridCol w:w="120"/>
        <w:gridCol w:w="211"/>
        <w:gridCol w:w="844"/>
        <w:gridCol w:w="60"/>
        <w:gridCol w:w="120"/>
        <w:gridCol w:w="105"/>
        <w:gridCol w:w="1715"/>
        <w:gridCol w:w="75"/>
      </w:tblGrid>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40" w:type="dxa"/>
            <w:tcBorders/>
            <w:shd w:fill="0BC11C" w:val="clear"/>
            <w:vAlign w:val="center"/>
          </w:tcPr>
          <w:p>
            <w:pPr>
              <w:pStyle w:val="TableContents"/>
              <w:bidi w:val="0"/>
              <w:spacing w:before="0" w:after="283"/>
              <w:jc w:val="left"/>
              <w:rPr>
                <w:sz w:val="4"/>
                <w:szCs w:val="4"/>
              </w:rPr>
            </w:pPr>
            <w:r>
              <w:rPr>
                <w:sz w:val="4"/>
                <w:szCs w:val="4"/>
              </w:rPr>
            </w:r>
          </w:p>
        </w:tc>
        <w:tc>
          <w:tcPr>
            <w:tcW w:w="1415" w:type="dxa"/>
            <w:gridSpan w:val="4"/>
            <w:tcBorders/>
            <w:shd w:fill="0BC11C" w:val="clear"/>
            <w:vAlign w:val="center"/>
          </w:tcPr>
          <w:p>
            <w:pPr>
              <w:pStyle w:val="TableContents"/>
              <w:bidi w:val="0"/>
              <w:spacing w:before="0" w:after="283"/>
              <w:jc w:val="left"/>
              <w:rPr>
                <w:sz w:val="4"/>
                <w:szCs w:val="4"/>
              </w:rPr>
            </w:pPr>
            <w:r>
              <w:rPr>
                <w:sz w:val="4"/>
                <w:szCs w:val="4"/>
              </w:rPr>
            </w:r>
          </w:p>
        </w:tc>
        <w:tc>
          <w:tcPr>
            <w:tcW w:w="1235" w:type="dxa"/>
            <w:gridSpan w:val="4"/>
            <w:tcBorders/>
            <w:shd w:fill="0BC11C" w:val="clear"/>
            <w:vAlign w:val="center"/>
          </w:tcPr>
          <w:p>
            <w:pPr>
              <w:pStyle w:val="TableContents"/>
              <w:bidi w:val="0"/>
              <w:spacing w:before="0" w:after="283"/>
              <w:jc w:val="left"/>
              <w:rPr>
                <w:sz w:val="4"/>
                <w:szCs w:val="4"/>
              </w:rPr>
            </w:pPr>
            <w:r>
              <w:rPr>
                <w:sz w:val="4"/>
                <w:szCs w:val="4"/>
              </w:rPr>
            </w:r>
          </w:p>
        </w:tc>
        <w:tc>
          <w:tcPr>
            <w:tcW w:w="2015" w:type="dxa"/>
            <w:gridSpan w:val="4"/>
            <w:tcBorders/>
            <w:shd w:fill="0BC11C" w:val="clear"/>
            <w:vAlign w:val="center"/>
          </w:tcPr>
          <w:p>
            <w:pPr>
              <w:pStyle w:val="TableContents"/>
              <w:bidi w:val="0"/>
              <w:spacing w:before="0" w:after="283"/>
              <w:jc w:val="left"/>
              <w:rPr>
                <w:sz w:val="4"/>
                <w:szCs w:val="4"/>
              </w:rPr>
            </w:pPr>
            <w:r>
              <w:rPr>
                <w:sz w:val="4"/>
                <w:szCs w:val="4"/>
              </w:rPr>
            </w:r>
          </w:p>
        </w:tc>
      </w:tr>
      <w:tr>
        <w:trPr/>
        <w:tc>
          <w:tcPr>
            <w:tcW w:w="4940" w:type="dxa"/>
            <w:tcBorders/>
            <w:shd w:fill="0BC11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Plan</w:t>
            </w:r>
          </w:p>
        </w:tc>
        <w:tc>
          <w:tcPr>
            <w:tcW w:w="120" w:type="dxa"/>
            <w:tcBorders/>
            <w:shd w:fill="0BC11C" w:val="clear"/>
            <w:vAlign w:val="center"/>
          </w:tcPr>
          <w:p>
            <w:pPr>
              <w:pStyle w:val="TableContents"/>
              <w:bidi w:val="0"/>
              <w:spacing w:before="0" w:after="283"/>
              <w:jc w:val="left"/>
              <w:rPr/>
            </w:pPr>
            <w:r>
              <w:rPr/>
              <w:t>  </w:t>
            </w:r>
          </w:p>
        </w:tc>
        <w:tc>
          <w:tcPr>
            <w:tcW w:w="1235" w:type="dxa"/>
            <w:gridSpan w:val="2"/>
            <w:tcBorders/>
            <w:shd w:fill="0BC11C"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Number of</w:t>
              <w:br/>
              <w:t>securities to be</w:t>
              <w:br/>
              <w:t>issued upon</w:t>
              <w:br/>
              <w:t>exercise of</w:t>
              <w:br/>
              <w:t>outstanding</w:t>
              <w:br/>
              <w:t>options,</w:t>
              <w:br/>
              <w:t>warrants and</w:t>
              <w:br/>
              <w:t>rights</w:t>
            </w:r>
          </w:p>
          <w:p>
            <w:pPr>
              <w:pStyle w:val="TableContents"/>
              <w:bidi w:val="0"/>
              <w:spacing w:before="0" w:after="20"/>
              <w:jc w:val="center"/>
              <w:rPr>
                <w:rFonts w:ascii="ARIAL" w:hAnsi="ARIAL"/>
                <w:b/>
                <w:color w:val="FFFFFF"/>
                <w:sz w:val="16"/>
              </w:rPr>
            </w:pPr>
            <w:r>
              <w:rPr>
                <w:rFonts w:ascii="ARIAL" w:hAnsi="ARIAL"/>
                <w:b/>
                <w:color w:val="FFFFFF"/>
                <w:sz w:val="16"/>
              </w:rPr>
              <w:t>(a)</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1055" w:type="dxa"/>
            <w:gridSpan w:val="2"/>
            <w:tcBorders/>
            <w:shd w:fill="0BC11C"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Weighted-</w:t>
              <w:br/>
              <w:t>average</w:t>
              <w:br/>
              <w:t>exercise</w:t>
              <w:br/>
              <w:t>price of</w:t>
              <w:br/>
              <w:t>outstanding</w:t>
              <w:br/>
              <w:t>options,</w:t>
              <w:br/>
              <w:t>warrants and</w:t>
              <w:br/>
              <w:t>rights</w:t>
            </w:r>
          </w:p>
          <w:p>
            <w:pPr>
              <w:pStyle w:val="TableContents"/>
              <w:bidi w:val="0"/>
              <w:spacing w:before="0" w:after="20"/>
              <w:jc w:val="center"/>
              <w:rPr>
                <w:rFonts w:ascii="ARIAL" w:hAnsi="ARIAL"/>
                <w:b/>
                <w:color w:val="FFFFFF"/>
                <w:sz w:val="16"/>
              </w:rPr>
            </w:pPr>
            <w:r>
              <w:rPr>
                <w:rFonts w:ascii="ARIAL" w:hAnsi="ARIAL"/>
                <w:b/>
                <w:color w:val="FFFFFF"/>
                <w:sz w:val="16"/>
              </w:rPr>
              <w:t>(b)(1)</w:t>
            </w:r>
          </w:p>
        </w:tc>
        <w:tc>
          <w:tcPr>
            <w:tcW w:w="6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1820" w:type="dxa"/>
            <w:gridSpan w:val="2"/>
            <w:tcBorders/>
            <w:shd w:fill="0BC11C"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Number of securities</w:t>
              <w:br/>
              <w:t>remaining available for</w:t>
              <w:br/>
              <w:t>future issuance under</w:t>
              <w:br/>
              <w:t>equity compensation</w:t>
              <w:br/>
              <w:t>plans (excluding</w:t>
              <w:br/>
              <w:t>securities reflected</w:t>
              <w:br/>
              <w:t>in column(a))</w:t>
            </w:r>
          </w:p>
          <w:p>
            <w:pPr>
              <w:pStyle w:val="TableContents"/>
              <w:bidi w:val="0"/>
              <w:spacing w:before="0" w:after="20"/>
              <w:jc w:val="center"/>
              <w:rPr>
                <w:rFonts w:ascii="ARIAL" w:hAnsi="ARIAL"/>
                <w:b/>
                <w:color w:val="FFFFFF"/>
                <w:sz w:val="16"/>
              </w:rPr>
            </w:pPr>
            <w:r>
              <w:rPr>
                <w:rFonts w:ascii="ARIAL" w:hAnsi="ARIAL"/>
                <w:b/>
                <w:color w:val="FFFFFF"/>
                <w:sz w:val="16"/>
              </w:rPr>
              <w:t>(c)</w:t>
            </w:r>
          </w:p>
        </w:tc>
        <w:tc>
          <w:tcPr>
            <w:tcW w:w="75" w:type="dxa"/>
            <w:tcBorders/>
            <w:shd w:fill="0BC11C"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2015" w:type="dxa"/>
            <w:gridSpan w:val="4"/>
            <w:tcBorders/>
            <w:vAlign w:val="center"/>
          </w:tcPr>
          <w:p>
            <w:pPr>
              <w:pStyle w:val="TableContents"/>
              <w:bidi w:val="0"/>
              <w:spacing w:before="0" w:after="283"/>
              <w:jc w:val="left"/>
              <w:rPr>
                <w:sz w:val="4"/>
                <w:szCs w:val="4"/>
              </w:rPr>
            </w:pPr>
            <w:r>
              <w:rPr>
                <w:sz w:val="4"/>
                <w:szCs w:val="4"/>
              </w:rPr>
            </w:r>
          </w:p>
        </w:tc>
      </w:tr>
      <w:tr>
        <w:trPr/>
        <w:tc>
          <w:tcPr>
            <w:tcW w:w="4940" w:type="dxa"/>
            <w:tcBorders/>
            <w:vAlign w:val="center"/>
          </w:tcPr>
          <w:p>
            <w:pPr>
              <w:pStyle w:val="TableContents"/>
              <w:bidi w:val="0"/>
              <w:spacing w:before="0" w:after="0"/>
              <w:jc w:val="left"/>
              <w:rPr>
                <w:rFonts w:ascii="ARIAL" w:hAnsi="ARIAL"/>
                <w:sz w:val="18"/>
              </w:rPr>
            </w:pPr>
            <w:r>
              <w:rPr>
                <w:rFonts w:ascii="ARIAL" w:hAnsi="ARIAL"/>
                <w:sz w:val="18"/>
              </w:rPr>
              <w:t>Equity compensation plans approved by security holders</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4,753,313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844" w:type="dxa"/>
            <w:tcBorders/>
            <w:vAlign w:val="center"/>
          </w:tcPr>
          <w:p>
            <w:pPr>
              <w:pStyle w:val="TableContents"/>
              <w:bidi w:val="0"/>
              <w:spacing w:before="0" w:after="283"/>
              <w:jc w:val="right"/>
              <w:rPr/>
            </w:pPr>
            <w:r>
              <w:rPr/>
              <w:t>26.52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right"/>
              <w:rPr/>
            </w:pPr>
            <w:r>
              <w:rPr/>
              <w:t>6,166,524</w:t>
            </w:r>
          </w:p>
        </w:tc>
        <w:tc>
          <w:tcPr>
            <w:tcW w:w="75" w:type="dxa"/>
            <w:tcBorders/>
            <w:vAlign w:val="center"/>
          </w:tcPr>
          <w:p>
            <w:pPr>
              <w:pStyle w:val="TableContents"/>
              <w:bidi w:val="0"/>
              <w:spacing w:before="0" w:after="283"/>
              <w:jc w:val="left"/>
              <w:rPr/>
            </w:pPr>
            <w:r>
              <w:rPr/>
              <w:t> </w:t>
            </w:r>
          </w:p>
        </w:tc>
      </w:tr>
      <w:tr>
        <w:trPr/>
        <w:tc>
          <w:tcPr>
            <w:tcW w:w="4940" w:type="dxa"/>
            <w:tcBorders/>
            <w:shd w:fill="EDEDED" w:val="clear"/>
            <w:vAlign w:val="center"/>
          </w:tcPr>
          <w:p>
            <w:pPr>
              <w:pStyle w:val="TableContents"/>
              <w:bidi w:val="0"/>
              <w:spacing w:before="0" w:after="283"/>
              <w:jc w:val="left"/>
              <w:rPr>
                <w:sz w:val="4"/>
                <w:szCs w:val="4"/>
              </w:rPr>
            </w:pPr>
            <w:r>
              <w:rPr>
                <w:sz w:val="4"/>
                <w:szCs w:val="4"/>
              </w:rPr>
            </w:r>
          </w:p>
        </w:tc>
        <w:tc>
          <w:tcPr>
            <w:tcW w:w="1415" w:type="dxa"/>
            <w:gridSpan w:val="4"/>
            <w:tcBorders/>
            <w:shd w:fill="EDEDED" w:val="clear"/>
            <w:vAlign w:val="center"/>
          </w:tcPr>
          <w:p>
            <w:pPr>
              <w:pStyle w:val="TableContents"/>
              <w:bidi w:val="0"/>
              <w:spacing w:before="0" w:after="283"/>
              <w:jc w:val="left"/>
              <w:rPr>
                <w:sz w:val="4"/>
                <w:szCs w:val="4"/>
              </w:rPr>
            </w:pPr>
            <w:r>
              <w:rPr>
                <w:sz w:val="4"/>
                <w:szCs w:val="4"/>
              </w:rPr>
            </w:r>
          </w:p>
        </w:tc>
        <w:tc>
          <w:tcPr>
            <w:tcW w:w="1235" w:type="dxa"/>
            <w:gridSpan w:val="4"/>
            <w:tcBorders/>
            <w:shd w:fill="EDEDED" w:val="clear"/>
            <w:vAlign w:val="center"/>
          </w:tcPr>
          <w:p>
            <w:pPr>
              <w:pStyle w:val="TableContents"/>
              <w:bidi w:val="0"/>
              <w:spacing w:before="0" w:after="283"/>
              <w:jc w:val="left"/>
              <w:rPr>
                <w:sz w:val="4"/>
                <w:szCs w:val="4"/>
              </w:rPr>
            </w:pPr>
            <w:r>
              <w:rPr>
                <w:sz w:val="4"/>
                <w:szCs w:val="4"/>
              </w:rPr>
            </w:r>
          </w:p>
        </w:tc>
        <w:tc>
          <w:tcPr>
            <w:tcW w:w="201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4940" w:type="dxa"/>
            <w:tcBorders/>
            <w:shd w:fill="EDEDED" w:val="clear"/>
            <w:vAlign w:val="center"/>
          </w:tcPr>
          <w:p>
            <w:pPr>
              <w:pStyle w:val="TableContents"/>
              <w:bidi w:val="0"/>
              <w:spacing w:before="0" w:after="0"/>
              <w:jc w:val="left"/>
              <w:rPr>
                <w:rFonts w:ascii="ARIAL" w:hAnsi="ARIAL"/>
                <w:sz w:val="18"/>
              </w:rPr>
            </w:pPr>
            <w:r>
              <w:rPr>
                <w:rFonts w:ascii="ARIAL" w:hAnsi="ARIAL"/>
                <w:sz w:val="18"/>
              </w:rPr>
              <w:t>Equity compensation plans not approved by security holders</w:t>
            </w:r>
          </w:p>
        </w:tc>
        <w:tc>
          <w:tcPr>
            <w:tcW w:w="120" w:type="dxa"/>
            <w:tcBorders/>
            <w:shd w:fill="EDEDED" w:val="clear"/>
            <w:vAlign w:val="center"/>
          </w:tcPr>
          <w:p>
            <w:pPr>
              <w:pStyle w:val="TableContents"/>
              <w:bidi w:val="0"/>
              <w:spacing w:before="0" w:after="283"/>
              <w:jc w:val="left"/>
              <w:rPr/>
            </w:pPr>
            <w:r>
              <w:rPr/>
              <w:t>  </w:t>
            </w:r>
          </w:p>
        </w:tc>
        <w:tc>
          <w:tcPr>
            <w:tcW w:w="71" w:type="dxa"/>
            <w:tcBorders/>
            <w:shd w:fill="EDEDED" w:val="clear"/>
            <w:vAlign w:val="center"/>
          </w:tcPr>
          <w:p>
            <w:pPr>
              <w:pStyle w:val="TableContents"/>
              <w:bidi w:val="0"/>
              <w:spacing w:before="0" w:after="283"/>
              <w:jc w:val="left"/>
              <w:rPr/>
            </w:pPr>
            <w:r>
              <w:rPr/>
              <w:t> </w:t>
            </w:r>
          </w:p>
        </w:tc>
        <w:tc>
          <w:tcPr>
            <w:tcW w:w="1164"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211" w:type="dxa"/>
            <w:tcBorders/>
            <w:shd w:fill="EDEDED" w:val="clear"/>
            <w:vAlign w:val="center"/>
          </w:tcPr>
          <w:p>
            <w:pPr>
              <w:pStyle w:val="TableContents"/>
              <w:bidi w:val="0"/>
              <w:spacing w:before="0" w:after="283"/>
              <w:jc w:val="left"/>
              <w:rPr/>
            </w:pPr>
            <w:r>
              <w:rPr/>
              <w:t> </w:t>
            </w:r>
          </w:p>
        </w:tc>
        <w:tc>
          <w:tcPr>
            <w:tcW w:w="844"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120" w:type="dxa"/>
            <w:tcBorders/>
            <w:shd w:fill="EDEDED" w:val="clear"/>
            <w:vAlign w:val="center"/>
          </w:tcPr>
          <w:p>
            <w:pPr>
              <w:pStyle w:val="TableContents"/>
              <w:bidi w:val="0"/>
              <w:spacing w:before="0" w:after="283"/>
              <w:jc w:val="left"/>
              <w:rPr/>
            </w:pPr>
            <w:r>
              <w:rPr/>
              <w:t>  </w:t>
            </w:r>
          </w:p>
        </w:tc>
        <w:tc>
          <w:tcPr>
            <w:tcW w:w="105" w:type="dxa"/>
            <w:tcBorders/>
            <w:shd w:fill="EDEDED" w:val="clear"/>
            <w:vAlign w:val="center"/>
          </w:tcPr>
          <w:p>
            <w:pPr>
              <w:pStyle w:val="TableContents"/>
              <w:bidi w:val="0"/>
              <w:spacing w:before="0" w:after="283"/>
              <w:jc w:val="left"/>
              <w:rPr/>
            </w:pPr>
            <w:r>
              <w:rPr/>
              <w:t> </w:t>
            </w:r>
          </w:p>
        </w:tc>
        <w:tc>
          <w:tcPr>
            <w:tcW w:w="1715" w:type="dxa"/>
            <w:tcBorders/>
            <w:shd w:fill="EDEDED" w:val="clear"/>
            <w:vAlign w:val="center"/>
          </w:tcPr>
          <w:p>
            <w:pPr>
              <w:pStyle w:val="TableContents"/>
              <w:bidi w:val="0"/>
              <w:spacing w:before="0" w:after="283"/>
              <w:jc w:val="right"/>
              <w:rPr/>
            </w:pPr>
            <w:r>
              <w:rPr/>
              <w:t>—</w:t>
            </w:r>
          </w:p>
        </w:tc>
        <w:tc>
          <w:tcPr>
            <w:tcW w:w="75" w:type="dxa"/>
            <w:tcBorders/>
            <w:shd w:fill="EDEDED"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pBdr>
                <w:top w:val="single" w:sz="2" w:space="1" w:color="000000"/>
              </w:pBdr>
              <w:bidi w:val="0"/>
              <w:spacing w:before="0" w:after="0"/>
              <w:jc w:val="left"/>
              <w:rPr/>
            </w:pPr>
            <w:r>
              <w:rPr/>
              <w:t> </w:t>
            </w:r>
          </w:p>
        </w:tc>
        <w:tc>
          <w:tcPr>
            <w:tcW w:w="1164" w:type="dxa"/>
            <w:tcBorders/>
            <w:vAlign w:val="center"/>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pBdr>
                <w:top w:val="single" w:sz="2" w:space="1" w:color="000000"/>
              </w:pBdr>
              <w:bidi w:val="0"/>
              <w:spacing w:before="0" w:after="0"/>
              <w:jc w:val="left"/>
              <w:rPr/>
            </w:pPr>
            <w:r>
              <w:rPr/>
              <w:t> </w:t>
            </w:r>
          </w:p>
        </w:tc>
        <w:tc>
          <w:tcPr>
            <w:tcW w:w="171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sz w:val="4"/>
                <w:szCs w:val="4"/>
              </w:rPr>
            </w:pPr>
            <w:r>
              <w:rPr>
                <w:sz w:val="4"/>
                <w:szCs w:val="4"/>
              </w:rPr>
            </w:r>
          </w:p>
        </w:tc>
        <w:tc>
          <w:tcPr>
            <w:tcW w:w="1415" w:type="dxa"/>
            <w:gridSpan w:val="4"/>
            <w:tcBorders/>
            <w:vAlign w:val="center"/>
          </w:tcPr>
          <w:p>
            <w:pPr>
              <w:pStyle w:val="TableContents"/>
              <w:bidi w:val="0"/>
              <w:spacing w:before="0" w:after="283"/>
              <w:jc w:val="left"/>
              <w:rPr>
                <w:sz w:val="4"/>
                <w:szCs w:val="4"/>
              </w:rPr>
            </w:pPr>
            <w:r>
              <w:rPr>
                <w:sz w:val="4"/>
                <w:szCs w:val="4"/>
              </w:rPr>
            </w:r>
          </w:p>
        </w:tc>
        <w:tc>
          <w:tcPr>
            <w:tcW w:w="1235" w:type="dxa"/>
            <w:gridSpan w:val="4"/>
            <w:tcBorders/>
            <w:vAlign w:val="center"/>
          </w:tcPr>
          <w:p>
            <w:pPr>
              <w:pStyle w:val="TableContents"/>
              <w:bidi w:val="0"/>
              <w:spacing w:before="0" w:after="283"/>
              <w:jc w:val="left"/>
              <w:rPr>
                <w:sz w:val="4"/>
                <w:szCs w:val="4"/>
              </w:rPr>
            </w:pPr>
            <w:r>
              <w:rPr>
                <w:sz w:val="4"/>
                <w:szCs w:val="4"/>
              </w:rPr>
            </w:r>
          </w:p>
        </w:tc>
        <w:tc>
          <w:tcPr>
            <w:tcW w:w="2015" w:type="dxa"/>
            <w:gridSpan w:val="4"/>
            <w:tcBorders/>
            <w:vAlign w:val="center"/>
          </w:tcPr>
          <w:p>
            <w:pPr>
              <w:pStyle w:val="TableContents"/>
              <w:bidi w:val="0"/>
              <w:spacing w:before="0" w:after="283"/>
              <w:jc w:val="left"/>
              <w:rPr>
                <w:sz w:val="4"/>
                <w:szCs w:val="4"/>
              </w:rPr>
            </w:pPr>
            <w:r>
              <w:rPr>
                <w:sz w:val="4"/>
                <w:szCs w:val="4"/>
              </w:rPr>
            </w:r>
          </w:p>
        </w:tc>
      </w:tr>
      <w:tr>
        <w:trPr/>
        <w:tc>
          <w:tcPr>
            <w:tcW w:w="4940" w:type="dxa"/>
            <w:tcBorders/>
            <w:vAlign w:val="center"/>
          </w:tcPr>
          <w:p>
            <w:pPr>
              <w:pStyle w:val="TableContents"/>
              <w:bidi w:val="0"/>
              <w:spacing w:before="0" w:after="0"/>
              <w:jc w:val="left"/>
              <w:rPr>
                <w:rFonts w:ascii="ARIAL" w:hAnsi="ARIAL"/>
                <w:sz w:val="18"/>
              </w:rPr>
            </w:pPr>
            <w:r>
              <w:rPr>
                <w:rFonts w:ascii="ARIAL" w:hAnsi="ARIAL"/>
                <w:sz w:val="18"/>
              </w:rPr>
              <w:t>Total</w:t>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1164" w:type="dxa"/>
            <w:tcBorders/>
            <w:vAlign w:val="center"/>
          </w:tcPr>
          <w:p>
            <w:pPr>
              <w:pStyle w:val="TableContents"/>
              <w:bidi w:val="0"/>
              <w:spacing w:before="0" w:after="283"/>
              <w:jc w:val="right"/>
              <w:rPr/>
            </w:pPr>
            <w:r>
              <w:rPr/>
              <w:t>4,753,313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844" w:type="dxa"/>
            <w:tcBorders/>
            <w:vAlign w:val="center"/>
          </w:tcPr>
          <w:p>
            <w:pPr>
              <w:pStyle w:val="TableContents"/>
              <w:bidi w:val="0"/>
              <w:spacing w:before="0" w:after="283"/>
              <w:jc w:val="right"/>
              <w:rPr/>
            </w:pPr>
            <w:r>
              <w:rPr/>
              <w:t>26.52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715" w:type="dxa"/>
            <w:tcBorders/>
            <w:vAlign w:val="center"/>
          </w:tcPr>
          <w:p>
            <w:pPr>
              <w:pStyle w:val="TableContents"/>
              <w:bidi w:val="0"/>
              <w:spacing w:before="0" w:after="283"/>
              <w:jc w:val="right"/>
              <w:rPr/>
            </w:pPr>
            <w:r>
              <w:rPr/>
              <w:t>6,166,524</w:t>
            </w:r>
          </w:p>
        </w:tc>
        <w:tc>
          <w:tcPr>
            <w:tcW w:w="7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1" w:type="dxa"/>
            <w:tcBorders/>
            <w:vAlign w:val="center"/>
          </w:tcPr>
          <w:p>
            <w:pPr>
              <w:pStyle w:val="TableContents"/>
              <w:pBdr>
                <w:top w:val="double" w:sz="6" w:space="1" w:color="000000"/>
              </w:pBdr>
              <w:bidi w:val="0"/>
              <w:spacing w:before="0" w:after="0"/>
              <w:jc w:val="left"/>
              <w:rPr/>
            </w:pPr>
            <w:r>
              <w:rPr/>
              <w:t> </w:t>
            </w:r>
          </w:p>
        </w:tc>
        <w:tc>
          <w:tcPr>
            <w:tcW w:w="1164" w:type="dxa"/>
            <w:tcBorders/>
            <w:vAlign w:val="center"/>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pBdr>
                <w:top w:val="double" w:sz="6" w:space="1" w:color="000000"/>
              </w:pBdr>
              <w:bidi w:val="0"/>
              <w:spacing w:before="0" w:after="0"/>
              <w:jc w:val="left"/>
              <w:rPr/>
            </w:pPr>
            <w:r>
              <w:rPr/>
              <w:t> </w:t>
            </w:r>
          </w:p>
        </w:tc>
        <w:tc>
          <w:tcPr>
            <w:tcW w:w="1715"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8635" w:type="dxa"/>
        <w:jc w:val="left"/>
        <w:tblInd w:w="0" w:type="dxa"/>
        <w:tblLayout w:type="fixed"/>
        <w:tblCellMar>
          <w:top w:w="0" w:type="dxa"/>
          <w:left w:w="0" w:type="dxa"/>
          <w:bottom w:w="0" w:type="dxa"/>
          <w:right w:w="0" w:type="dxa"/>
        </w:tblCellMar>
      </w:tblPr>
      <w:tblGrid>
        <w:gridCol w:w="305"/>
        <w:gridCol w:w="8330"/>
      </w:tblGrid>
      <w:tr>
        <w:trPr/>
        <w:tc>
          <w:tcPr>
            <w:tcW w:w="305" w:type="dxa"/>
            <w:tcBorders/>
            <w:vAlign w:val="center"/>
          </w:tcPr>
          <w:p>
            <w:pPr>
              <w:pStyle w:val="TableContents"/>
              <w:bidi w:val="0"/>
              <w:spacing w:before="0" w:after="283"/>
              <w:jc w:val="left"/>
              <w:rPr/>
            </w:pPr>
            <w:r>
              <w:rPr/>
              <w:t>(1)</w:t>
            </w:r>
          </w:p>
        </w:tc>
        <w:tc>
          <w:tcPr>
            <w:tcW w:w="8330" w:type="dxa"/>
            <w:tcBorders/>
            <w:vAlign w:val="center"/>
          </w:tcPr>
          <w:p>
            <w:pPr>
              <w:pStyle w:val="TableContents"/>
              <w:bidi w:val="0"/>
              <w:spacing w:before="0" w:after="0"/>
              <w:jc w:val="left"/>
              <w:rPr>
                <w:rFonts w:ascii="ARIAL" w:hAnsi="ARIAL"/>
                <w:sz w:val="14"/>
              </w:rPr>
            </w:pPr>
            <w:r>
              <w:rPr>
                <w:rFonts w:ascii="ARIAL" w:hAnsi="ARIAL"/>
                <w:sz w:val="14"/>
              </w:rPr>
              <w:t xml:space="preserve">Represents the weighted-average exercise price of the outstanding stock options and does not include RSUs or performance shares.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51</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40"/>
        </w:rPr>
      </w:pPr>
      <w:bookmarkStart w:id="53" w:name="toc814840_53"/>
      <w:bookmarkEnd w:id="53"/>
      <w:r>
        <w:rPr>
          <w:rFonts w:ascii="Times New Roman" w:hAnsi="Times New Roman"/>
          <w:sz w:val="40"/>
        </w:rPr>
        <w:t xml:space="preserve">Security Ownership of Certain Beneficial Owners and Management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480" w:after="0"/>
        <w:jc w:val="left"/>
        <w:rPr>
          <w:rFonts w:ascii="ARIAL" w:hAnsi="ARIAL"/>
          <w:sz w:val="28"/>
        </w:rPr>
      </w:pPr>
      <w:r>
        <w:rPr>
          <w:rFonts w:ascii="ARIAL" w:hAnsi="ARIAL"/>
          <w:sz w:val="28"/>
        </w:rPr>
        <w:t xml:space="preserve">Common Stock </w:t>
      </w:r>
    </w:p>
    <w:p>
      <w:pPr>
        <w:pStyle w:val="TextBody"/>
        <w:bidi w:val="0"/>
        <w:spacing w:before="160" w:after="0"/>
        <w:jc w:val="left"/>
        <w:rPr>
          <w:rFonts w:ascii="ARIAL" w:hAnsi="ARIAL"/>
          <w:sz w:val="18"/>
        </w:rPr>
      </w:pPr>
      <w:r>
        <w:rPr>
          <w:rFonts w:ascii="ARIAL" w:hAnsi="ARIAL"/>
          <w:sz w:val="18"/>
        </w:rPr>
        <w:t xml:space="preserve">The following table sets forth certain information with respect to holdings of our Common Stock by (i) stockholders who beneficially owned more than 5% of the outstanding shares of our Common Stock, and (ii) each of our directors (which includes all nominees), each of our named executive officers and all directors and executive officers as a group as of March 20, 2024, unless otherwise indicated. The number of shares beneficially owned by each stockholder is determined under rules issued by the SEC. Under these rules, beneficial ownership includes any shares as to which a person or an entity has sole or shared voting power or investment power. Applicable percentage ownership is based on 89,374,032 shares of Common Stock outstanding and entitled to vote as of March 20, 2024. In computing the number of shares beneficially owned by a person and the percentage ownership of that person, shares of Common Stock subject to options, warrants or other rights held by such person that are currently exercisable or will become exercisable within 60 days of March 20, 2024 are considered outstanding, although these shares are not considered outstanding for purposes of computing the percentage ownership of any other person. </w:t>
      </w:r>
    </w:p>
    <w:p>
      <w:pPr>
        <w:pStyle w:val="TextBody"/>
        <w:bidi w:val="0"/>
        <w:spacing w:before="160" w:after="0"/>
        <w:jc w:val="left"/>
        <w:rPr>
          <w:rFonts w:ascii="ARIAL" w:hAnsi="ARIAL"/>
          <w:sz w:val="18"/>
        </w:rPr>
      </w:pPr>
      <w:r>
        <w:rPr>
          <w:rFonts w:ascii="ARIAL" w:hAnsi="ARIAL"/>
          <w:sz w:val="18"/>
        </w:rPr>
        <w:t xml:space="preserve">Unless otherwise indicated, the address of each beneficial owner listed below is 8 Moore Drive, Durham, North Carolina 27709. We believe, based on information provided to us, that each of the stockholders listed below has sole voting and investment power with respect to the shares beneficially owned by the stockholder unless noted otherwise, subject to community property laws where applicable. </w:t>
      </w:r>
    </w:p>
    <w:p>
      <w:pPr>
        <w:pStyle w:val="TextBody"/>
        <w:bidi w:val="0"/>
        <w:spacing w:before="0" w:after="0"/>
        <w:jc w:val="left"/>
        <w:rPr/>
      </w:pPr>
      <w:r>
        <w:rPr/>
        <w:t> </w:t>
      </w:r>
    </w:p>
    <w:tbl>
      <w:tblPr>
        <w:tblW w:w="8300" w:type="dxa"/>
        <w:jc w:val="left"/>
        <w:tblInd w:w="0" w:type="dxa"/>
        <w:tblLayout w:type="fixed"/>
        <w:tblCellMar>
          <w:top w:w="0" w:type="dxa"/>
          <w:left w:w="0" w:type="dxa"/>
          <w:bottom w:w="0" w:type="dxa"/>
          <w:right w:w="0" w:type="dxa"/>
        </w:tblCellMar>
      </w:tblPr>
      <w:tblGrid>
        <w:gridCol w:w="5030"/>
        <w:gridCol w:w="120"/>
        <w:gridCol w:w="82"/>
        <w:gridCol w:w="1513"/>
        <w:gridCol w:w="60"/>
        <w:gridCol w:w="60"/>
        <w:gridCol w:w="110"/>
        <w:gridCol w:w="1035"/>
        <w:gridCol w:w="290"/>
      </w:tblGrid>
      <w:tr>
        <w:trPr/>
        <w:tc>
          <w:tcPr>
            <w:tcW w:w="50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5030" w:type="dxa"/>
            <w:tcBorders/>
            <w:shd w:fill="0BC11C" w:val="clear"/>
            <w:vAlign w:val="center"/>
          </w:tcPr>
          <w:p>
            <w:pPr>
              <w:pStyle w:val="TableContents"/>
              <w:bidi w:val="0"/>
              <w:spacing w:before="0" w:after="283"/>
              <w:jc w:val="left"/>
              <w:rPr>
                <w:sz w:val="4"/>
                <w:szCs w:val="4"/>
              </w:rPr>
            </w:pPr>
            <w:r>
              <w:rPr>
                <w:sz w:val="4"/>
                <w:szCs w:val="4"/>
              </w:rPr>
            </w:r>
          </w:p>
        </w:tc>
        <w:tc>
          <w:tcPr>
            <w:tcW w:w="1775" w:type="dxa"/>
            <w:gridSpan w:val="4"/>
            <w:tcBorders/>
            <w:shd w:fill="0BC11C" w:val="clear"/>
            <w:vAlign w:val="center"/>
          </w:tcPr>
          <w:p>
            <w:pPr>
              <w:pStyle w:val="TableContents"/>
              <w:bidi w:val="0"/>
              <w:spacing w:before="0" w:after="283"/>
              <w:jc w:val="left"/>
              <w:rPr>
                <w:sz w:val="4"/>
                <w:szCs w:val="4"/>
              </w:rPr>
            </w:pPr>
            <w:r>
              <w:rPr>
                <w:sz w:val="4"/>
                <w:szCs w:val="4"/>
              </w:rPr>
            </w:r>
          </w:p>
        </w:tc>
        <w:tc>
          <w:tcPr>
            <w:tcW w:w="1495" w:type="dxa"/>
            <w:gridSpan w:val="4"/>
            <w:tcBorders/>
            <w:shd w:fill="0BC11C" w:val="clear"/>
            <w:vAlign w:val="center"/>
          </w:tcPr>
          <w:p>
            <w:pPr>
              <w:pStyle w:val="TableContents"/>
              <w:bidi w:val="0"/>
              <w:spacing w:before="0" w:after="283"/>
              <w:jc w:val="left"/>
              <w:rPr>
                <w:sz w:val="4"/>
                <w:szCs w:val="4"/>
              </w:rPr>
            </w:pPr>
            <w:r>
              <w:rPr>
                <w:sz w:val="4"/>
                <w:szCs w:val="4"/>
              </w:rPr>
            </w:r>
          </w:p>
        </w:tc>
      </w:tr>
      <w:tr>
        <w:trPr/>
        <w:tc>
          <w:tcPr>
            <w:tcW w:w="5030" w:type="dxa"/>
            <w:tcBorders/>
            <w:shd w:fill="0BC11C" w:val="clear"/>
            <w:vAlign w:val="center"/>
          </w:tcPr>
          <w:p>
            <w:pPr>
              <w:pStyle w:val="TableContents"/>
              <w:bidi w:val="0"/>
              <w:spacing w:before="0" w:after="0"/>
              <w:jc w:val="left"/>
              <w:rPr>
                <w:rFonts w:ascii="ARIAL" w:hAnsi="ARIAL"/>
                <w:b/>
                <w:color w:val="FFFFFF"/>
                <w:sz w:val="16"/>
              </w:rPr>
            </w:pPr>
            <w:r>
              <w:rPr>
                <w:rFonts w:ascii="ARIAL" w:hAnsi="ARIAL"/>
                <w:b/>
                <w:color w:val="FFFFFF"/>
                <w:sz w:val="16"/>
              </w:rPr>
              <w:t>Name of Beneficial Owner</w:t>
            </w:r>
          </w:p>
        </w:tc>
        <w:tc>
          <w:tcPr>
            <w:tcW w:w="120" w:type="dxa"/>
            <w:tcBorders/>
            <w:shd w:fill="0BC11C" w:val="clear"/>
            <w:vAlign w:val="center"/>
          </w:tcPr>
          <w:p>
            <w:pPr>
              <w:pStyle w:val="TableContents"/>
              <w:bidi w:val="0"/>
              <w:spacing w:before="0" w:after="283"/>
              <w:jc w:val="left"/>
              <w:rPr/>
            </w:pPr>
            <w:r>
              <w:rPr/>
              <w:t>  </w:t>
            </w:r>
          </w:p>
        </w:tc>
        <w:tc>
          <w:tcPr>
            <w:tcW w:w="1595" w:type="dxa"/>
            <w:gridSpan w:val="2"/>
            <w:tcBorders/>
            <w:shd w:fill="0BC11C" w:val="clear"/>
            <w:vAlign w:val="center"/>
          </w:tcPr>
          <w:p>
            <w:pPr>
              <w:pStyle w:val="TableContents"/>
              <w:bidi w:val="0"/>
              <w:spacing w:before="0" w:after="283"/>
              <w:jc w:val="center"/>
              <w:rPr>
                <w:b/>
                <w:color w:val="FFFFFF"/>
              </w:rPr>
            </w:pPr>
            <w:r>
              <w:rPr>
                <w:b/>
                <w:color w:val="FFFFFF"/>
              </w:rPr>
              <w:t>Common Stock</w:t>
              <w:br/>
              <w:t>Beneficially</w:t>
              <w:br/>
              <w:t>Owned</w:t>
            </w:r>
          </w:p>
        </w:tc>
        <w:tc>
          <w:tcPr>
            <w:tcW w:w="60" w:type="dxa"/>
            <w:tcBorders/>
            <w:shd w:fill="0BC11C" w:val="clear"/>
            <w:vAlign w:val="center"/>
          </w:tcPr>
          <w:p>
            <w:pPr>
              <w:pStyle w:val="TableContents"/>
              <w:bidi w:val="0"/>
              <w:spacing w:before="0" w:after="283"/>
              <w:jc w:val="left"/>
              <w:rPr/>
            </w:pPr>
            <w:r>
              <w:rPr/>
              <w:t> </w:t>
            </w:r>
          </w:p>
        </w:tc>
        <w:tc>
          <w:tcPr>
            <w:tcW w:w="60" w:type="dxa"/>
            <w:tcBorders/>
            <w:shd w:fill="0BC11C" w:val="clear"/>
            <w:vAlign w:val="center"/>
          </w:tcPr>
          <w:p>
            <w:pPr>
              <w:pStyle w:val="TableContents"/>
              <w:bidi w:val="0"/>
              <w:spacing w:before="0" w:after="283"/>
              <w:jc w:val="left"/>
              <w:rPr/>
            </w:pPr>
            <w:r>
              <w:rPr/>
              <w:t> </w:t>
            </w:r>
          </w:p>
        </w:tc>
        <w:tc>
          <w:tcPr>
            <w:tcW w:w="1145" w:type="dxa"/>
            <w:gridSpan w:val="2"/>
            <w:tcBorders/>
            <w:shd w:fill="0BC11C" w:val="clear"/>
            <w:vAlign w:val="center"/>
          </w:tcPr>
          <w:p>
            <w:pPr>
              <w:pStyle w:val="TableContents"/>
              <w:bidi w:val="0"/>
              <w:spacing w:before="0" w:after="283"/>
              <w:jc w:val="center"/>
              <w:rPr>
                <w:b/>
                <w:color w:val="FFFFFF"/>
              </w:rPr>
            </w:pPr>
            <w:r>
              <w:rPr>
                <w:b/>
                <w:color w:val="FFFFFF"/>
              </w:rPr>
              <w:t>Percentage</w:t>
            </w:r>
          </w:p>
        </w:tc>
        <w:tc>
          <w:tcPr>
            <w:tcW w:w="290" w:type="dxa"/>
            <w:tcBorders/>
            <w:shd w:fill="0BC11C" w:val="cle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r>
      <w:tr>
        <w:trPr/>
        <w:tc>
          <w:tcPr>
            <w:tcW w:w="5030" w:type="dxa"/>
            <w:tcBorders/>
            <w:vAlign w:val="center"/>
          </w:tcPr>
          <w:p>
            <w:pPr>
              <w:pStyle w:val="TableContents"/>
              <w:bidi w:val="0"/>
              <w:spacing w:before="0" w:after="0"/>
              <w:jc w:val="left"/>
              <w:rPr>
                <w:rFonts w:ascii="ARIAL" w:hAnsi="ARIAL"/>
                <w:b/>
                <w:sz w:val="18"/>
              </w:rPr>
            </w:pPr>
            <w:r>
              <w:rPr>
                <w:rFonts w:ascii="ARIAL" w:hAnsi="ARIAL"/>
                <w:b/>
                <w:sz w:val="18"/>
              </w:rPr>
              <w:t>5% or Greater Stockholders</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0"/>
              <w:jc w:val="left"/>
              <w:rPr/>
            </w:pPr>
            <w:r>
              <w:rPr/>
              <w:t> </w:t>
            </w:r>
          </w:p>
        </w:tc>
        <w:tc>
          <w:tcPr>
            <w:tcW w:w="1513"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pPr>
            <w:r>
              <w:rPr/>
              <w:t> </w:t>
            </w:r>
          </w:p>
        </w:tc>
        <w:tc>
          <w:tcPr>
            <w:tcW w:w="1035" w:type="dxa"/>
            <w:tcBorders/>
            <w:vAlign w:val="center"/>
          </w:tcPr>
          <w:p>
            <w:pPr>
              <w:pStyle w:val="TableContents"/>
              <w:bidi w:val="0"/>
              <w:spacing w:before="0" w:after="0"/>
              <w:jc w:val="left"/>
              <w:rPr/>
            </w:pPr>
            <w:r>
              <w:rPr/>
              <w:t> </w:t>
            </w:r>
          </w:p>
        </w:tc>
        <w:tc>
          <w:tcPr>
            <w:tcW w:w="290" w:type="dxa"/>
            <w:tcBorders/>
            <w:vAlign w:val="center"/>
          </w:tcPr>
          <w:p>
            <w:pPr>
              <w:pStyle w:val="TableContents"/>
              <w:bidi w:val="0"/>
              <w:spacing w:before="0" w:after="0"/>
              <w:jc w:val="left"/>
              <w:rPr/>
            </w:pPr>
            <w:r>
              <w:rPr/>
              <w:t> </w:t>
            </w:r>
          </w:p>
        </w:tc>
      </w:tr>
      <w:tr>
        <w:trPr/>
        <w:tc>
          <w:tcPr>
            <w:tcW w:w="5030" w:type="dxa"/>
            <w:tcBorders/>
            <w:shd w:fill="EDEDED" w:val="clear"/>
            <w:vAlign w:val="center"/>
          </w:tcPr>
          <w:p>
            <w:pPr>
              <w:pStyle w:val="TableContents"/>
              <w:bidi w:val="0"/>
              <w:spacing w:before="0" w:after="283"/>
              <w:jc w:val="left"/>
              <w:rPr>
                <w:sz w:val="4"/>
                <w:szCs w:val="4"/>
              </w:rPr>
            </w:pPr>
            <w:r>
              <w:rPr>
                <w:sz w:val="4"/>
                <w:szCs w:val="4"/>
              </w:rPr>
            </w:r>
          </w:p>
        </w:tc>
        <w:tc>
          <w:tcPr>
            <w:tcW w:w="1775" w:type="dxa"/>
            <w:gridSpan w:val="4"/>
            <w:tcBorders/>
            <w:shd w:fill="EDEDED" w:val="clear"/>
            <w:vAlign w:val="center"/>
          </w:tcPr>
          <w:p>
            <w:pPr>
              <w:pStyle w:val="TableContents"/>
              <w:bidi w:val="0"/>
              <w:spacing w:before="0" w:after="283"/>
              <w:jc w:val="left"/>
              <w:rPr>
                <w:sz w:val="4"/>
                <w:szCs w:val="4"/>
              </w:rPr>
            </w:pPr>
            <w:r>
              <w:rPr>
                <w:sz w:val="4"/>
                <w:szCs w:val="4"/>
              </w:rPr>
            </w:r>
          </w:p>
        </w:tc>
        <w:tc>
          <w:tcPr>
            <w:tcW w:w="149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030" w:type="dxa"/>
            <w:tcBorders/>
            <w:shd w:fill="EDEDED" w:val="clear"/>
            <w:vAlign w:val="center"/>
          </w:tcPr>
          <w:p>
            <w:pPr>
              <w:pStyle w:val="TableContents"/>
              <w:bidi w:val="0"/>
              <w:spacing w:before="0" w:after="0"/>
              <w:jc w:val="left"/>
              <w:rPr>
                <w:rFonts w:ascii="ARIAL" w:hAnsi="ARIAL"/>
                <w:sz w:val="18"/>
              </w:rPr>
            </w:pPr>
            <w:r>
              <w:rPr>
                <w:rFonts w:ascii="ARIAL" w:hAnsi="ARIAL"/>
                <w:sz w:val="18"/>
              </w:rPr>
              <w:t xml:space="preserve">BlackRock, Inc.(1) </w:t>
            </w:r>
          </w:p>
        </w:tc>
        <w:tc>
          <w:tcPr>
            <w:tcW w:w="120" w:type="dxa"/>
            <w:tcBorders/>
            <w:shd w:fill="EDEDED" w:val="clear"/>
            <w:vAlign w:val="center"/>
          </w:tcPr>
          <w:p>
            <w:pPr>
              <w:pStyle w:val="TableContents"/>
              <w:bidi w:val="0"/>
              <w:spacing w:before="0" w:after="283"/>
              <w:jc w:val="left"/>
              <w:rPr/>
            </w:pPr>
            <w:r>
              <w:rPr/>
              <w:t>  </w:t>
            </w:r>
          </w:p>
        </w:tc>
        <w:tc>
          <w:tcPr>
            <w:tcW w:w="82" w:type="dxa"/>
            <w:tcBorders/>
            <w:shd w:fill="EDEDED" w:val="clear"/>
            <w:vAlign w:val="center"/>
          </w:tcPr>
          <w:p>
            <w:pPr>
              <w:pStyle w:val="TableContents"/>
              <w:bidi w:val="0"/>
              <w:spacing w:before="0" w:after="283"/>
              <w:jc w:val="left"/>
              <w:rPr/>
            </w:pPr>
            <w:r>
              <w:rPr/>
              <w:t> </w:t>
            </w:r>
          </w:p>
        </w:tc>
        <w:tc>
          <w:tcPr>
            <w:tcW w:w="1513" w:type="dxa"/>
            <w:tcBorders/>
            <w:shd w:fill="EDEDED" w:val="clear"/>
            <w:vAlign w:val="center"/>
          </w:tcPr>
          <w:p>
            <w:pPr>
              <w:pStyle w:val="TableContents"/>
              <w:bidi w:val="0"/>
              <w:spacing w:before="0" w:after="283"/>
              <w:jc w:val="right"/>
              <w:rPr/>
            </w:pPr>
            <w:r>
              <w:rPr/>
              <w:t>17,454,885</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before="0" w:after="283"/>
              <w:jc w:val="left"/>
              <w:rPr/>
            </w:pPr>
            <w:r>
              <w:rPr/>
              <w:t> </w:t>
            </w:r>
          </w:p>
        </w:tc>
        <w:tc>
          <w:tcPr>
            <w:tcW w:w="1035" w:type="dxa"/>
            <w:tcBorders/>
            <w:shd w:fill="EDEDED" w:val="clear"/>
            <w:vAlign w:val="center"/>
          </w:tcPr>
          <w:p>
            <w:pPr>
              <w:pStyle w:val="TableContents"/>
              <w:bidi w:val="0"/>
              <w:spacing w:before="0" w:after="283"/>
              <w:jc w:val="right"/>
              <w:rPr/>
            </w:pPr>
            <w:r>
              <w:rPr/>
              <w:t>19.53</w:t>
            </w:r>
          </w:p>
        </w:tc>
        <w:tc>
          <w:tcPr>
            <w:tcW w:w="290" w:type="dxa"/>
            <w:tcBorders/>
            <w:shd w:fill="EDEDED" w:val="cle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r>
      <w:tr>
        <w:trPr/>
        <w:tc>
          <w:tcPr>
            <w:tcW w:w="5030" w:type="dxa"/>
            <w:tcBorders/>
            <w:vAlign w:val="center"/>
          </w:tcPr>
          <w:p>
            <w:pPr>
              <w:pStyle w:val="TableContents"/>
              <w:bidi w:val="0"/>
              <w:spacing w:before="0" w:after="0"/>
              <w:jc w:val="left"/>
              <w:rPr>
                <w:rFonts w:ascii="ARIAL" w:hAnsi="ARIAL"/>
                <w:sz w:val="18"/>
              </w:rPr>
            </w:pPr>
            <w:r>
              <w:rPr>
                <w:rFonts w:ascii="ARIAL" w:hAnsi="ARIAL"/>
                <w:sz w:val="18"/>
              </w:rPr>
              <w:t>The Vanguard Group(2)</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9,945,449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11.13</w:t>
            </w:r>
          </w:p>
        </w:tc>
        <w:tc>
          <w:tcPr>
            <w:tcW w:w="290" w:type="dxa"/>
            <w:tcBorders/>
            <w:vAlign w:val="center"/>
          </w:tcPr>
          <w:p>
            <w:pPr>
              <w:pStyle w:val="TableContents"/>
              <w:bidi w:val="0"/>
              <w:spacing w:before="0" w:after="283"/>
              <w:jc w:val="left"/>
              <w:rPr/>
            </w:pPr>
            <w:r>
              <w:rPr/>
              <w:t>% </w:t>
            </w:r>
          </w:p>
        </w:tc>
      </w:tr>
      <w:tr>
        <w:trPr/>
        <w:tc>
          <w:tcPr>
            <w:tcW w:w="5030" w:type="dxa"/>
            <w:tcBorders/>
            <w:shd w:fill="EDEDED" w:val="clear"/>
            <w:vAlign w:val="center"/>
          </w:tcPr>
          <w:p>
            <w:pPr>
              <w:pStyle w:val="TableContents"/>
              <w:bidi w:val="0"/>
              <w:spacing w:before="0" w:after="283"/>
              <w:jc w:val="left"/>
              <w:rPr>
                <w:sz w:val="4"/>
                <w:szCs w:val="4"/>
              </w:rPr>
            </w:pPr>
            <w:r>
              <w:rPr>
                <w:sz w:val="4"/>
                <w:szCs w:val="4"/>
              </w:rPr>
            </w:r>
          </w:p>
        </w:tc>
        <w:tc>
          <w:tcPr>
            <w:tcW w:w="1775" w:type="dxa"/>
            <w:gridSpan w:val="4"/>
            <w:tcBorders/>
            <w:shd w:fill="EDEDED" w:val="clear"/>
            <w:vAlign w:val="center"/>
          </w:tcPr>
          <w:p>
            <w:pPr>
              <w:pStyle w:val="TableContents"/>
              <w:bidi w:val="0"/>
              <w:spacing w:before="0" w:after="283"/>
              <w:jc w:val="left"/>
              <w:rPr>
                <w:sz w:val="4"/>
                <w:szCs w:val="4"/>
              </w:rPr>
            </w:pPr>
            <w:r>
              <w:rPr>
                <w:sz w:val="4"/>
                <w:szCs w:val="4"/>
              </w:rPr>
            </w:r>
          </w:p>
        </w:tc>
        <w:tc>
          <w:tcPr>
            <w:tcW w:w="149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030" w:type="dxa"/>
            <w:tcBorders/>
            <w:shd w:fill="EDEDED" w:val="clear"/>
            <w:vAlign w:val="center"/>
          </w:tcPr>
          <w:p>
            <w:pPr>
              <w:pStyle w:val="TableContents"/>
              <w:bidi w:val="0"/>
              <w:spacing w:before="0" w:after="0"/>
              <w:jc w:val="left"/>
              <w:rPr>
                <w:rFonts w:ascii="ARIAL" w:hAnsi="ARIAL"/>
                <w:sz w:val="18"/>
              </w:rPr>
            </w:pPr>
            <w:r>
              <w:rPr>
                <w:rFonts w:ascii="ARIAL" w:hAnsi="ARIAL"/>
                <w:sz w:val="18"/>
              </w:rPr>
              <w:t>Sessa Capital (Master), L.P.(3)</w:t>
            </w:r>
          </w:p>
        </w:tc>
        <w:tc>
          <w:tcPr>
            <w:tcW w:w="120" w:type="dxa"/>
            <w:tcBorders/>
            <w:shd w:fill="EDEDED" w:val="clear"/>
            <w:vAlign w:val="center"/>
          </w:tcPr>
          <w:p>
            <w:pPr>
              <w:pStyle w:val="TableContents"/>
              <w:bidi w:val="0"/>
              <w:spacing w:before="0" w:after="283"/>
              <w:jc w:val="left"/>
              <w:rPr/>
            </w:pPr>
            <w:r>
              <w:rPr/>
              <w:t>  </w:t>
            </w:r>
          </w:p>
        </w:tc>
        <w:tc>
          <w:tcPr>
            <w:tcW w:w="82" w:type="dxa"/>
            <w:tcBorders/>
            <w:shd w:fill="EDEDED" w:val="clear"/>
            <w:vAlign w:val="center"/>
          </w:tcPr>
          <w:p>
            <w:pPr>
              <w:pStyle w:val="TableContents"/>
              <w:bidi w:val="0"/>
              <w:spacing w:before="0" w:after="283"/>
              <w:jc w:val="left"/>
              <w:rPr/>
            </w:pPr>
            <w:r>
              <w:rPr/>
              <w:t> </w:t>
            </w:r>
          </w:p>
        </w:tc>
        <w:tc>
          <w:tcPr>
            <w:tcW w:w="1513" w:type="dxa"/>
            <w:tcBorders/>
            <w:shd w:fill="EDEDED" w:val="clear"/>
            <w:vAlign w:val="center"/>
          </w:tcPr>
          <w:p>
            <w:pPr>
              <w:pStyle w:val="TableContents"/>
              <w:bidi w:val="0"/>
              <w:spacing w:before="0" w:after="283"/>
              <w:jc w:val="right"/>
              <w:rPr/>
            </w:pPr>
            <w:r>
              <w:rPr/>
              <w:t>6,375,000</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before="0" w:after="283"/>
              <w:jc w:val="left"/>
              <w:rPr/>
            </w:pPr>
            <w:r>
              <w:rPr/>
              <w:t> </w:t>
            </w:r>
          </w:p>
        </w:tc>
        <w:tc>
          <w:tcPr>
            <w:tcW w:w="1035" w:type="dxa"/>
            <w:tcBorders/>
            <w:shd w:fill="EDEDED" w:val="clear"/>
            <w:vAlign w:val="center"/>
          </w:tcPr>
          <w:p>
            <w:pPr>
              <w:pStyle w:val="TableContents"/>
              <w:bidi w:val="0"/>
              <w:spacing w:before="0" w:after="283"/>
              <w:jc w:val="right"/>
              <w:rPr/>
            </w:pPr>
            <w:r>
              <w:rPr/>
              <w:t>7.13</w:t>
            </w:r>
          </w:p>
        </w:tc>
        <w:tc>
          <w:tcPr>
            <w:tcW w:w="290" w:type="dxa"/>
            <w:tcBorders/>
            <w:shd w:fill="EDEDED" w:val="cle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r>
      <w:tr>
        <w:trPr/>
        <w:tc>
          <w:tcPr>
            <w:tcW w:w="5030" w:type="dxa"/>
            <w:tcBorders/>
            <w:vAlign w:val="center"/>
          </w:tcPr>
          <w:p>
            <w:pPr>
              <w:pStyle w:val="TableContents"/>
              <w:bidi w:val="0"/>
              <w:spacing w:before="0" w:after="0"/>
              <w:jc w:val="left"/>
              <w:rPr>
                <w:rFonts w:ascii="ARIAL" w:hAnsi="ARIAL"/>
                <w:sz w:val="18"/>
              </w:rPr>
            </w:pPr>
            <w:r>
              <w:rPr>
                <w:rFonts w:ascii="ARIAL" w:hAnsi="ARIAL"/>
                <w:sz w:val="18"/>
              </w:rPr>
              <w:t>Starboard Value LP(4)</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6,136,000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6.87</w:t>
            </w:r>
          </w:p>
        </w:tc>
        <w:tc>
          <w:tcPr>
            <w:tcW w:w="290" w:type="dxa"/>
            <w:tcBorders/>
            <w:vAlign w:val="center"/>
          </w:tcPr>
          <w:p>
            <w:pPr>
              <w:pStyle w:val="TableContents"/>
              <w:bidi w:val="0"/>
              <w:spacing w:before="0" w:after="283"/>
              <w:jc w:val="left"/>
              <w:rPr/>
            </w:pPr>
            <w:r>
              <w:rPr/>
              <w:t>% </w:t>
            </w:r>
          </w:p>
        </w:tc>
      </w:tr>
      <w:tr>
        <w:trPr/>
        <w:tc>
          <w:tcPr>
            <w:tcW w:w="5030" w:type="dxa"/>
            <w:tcBorders/>
            <w:shd w:fill="EDEDED" w:val="clear"/>
            <w:vAlign w:val="center"/>
          </w:tcPr>
          <w:p>
            <w:pPr>
              <w:pStyle w:val="TableContents"/>
              <w:bidi w:val="0"/>
              <w:spacing w:before="0" w:after="283"/>
              <w:jc w:val="left"/>
              <w:rPr>
                <w:sz w:val="4"/>
                <w:szCs w:val="4"/>
              </w:rPr>
            </w:pPr>
            <w:r>
              <w:rPr>
                <w:sz w:val="4"/>
                <w:szCs w:val="4"/>
              </w:rPr>
            </w:r>
          </w:p>
        </w:tc>
        <w:tc>
          <w:tcPr>
            <w:tcW w:w="1775" w:type="dxa"/>
            <w:gridSpan w:val="4"/>
            <w:tcBorders/>
            <w:shd w:fill="EDEDED" w:val="clear"/>
            <w:vAlign w:val="center"/>
          </w:tcPr>
          <w:p>
            <w:pPr>
              <w:pStyle w:val="TableContents"/>
              <w:bidi w:val="0"/>
              <w:spacing w:before="0" w:after="283"/>
              <w:jc w:val="left"/>
              <w:rPr>
                <w:sz w:val="4"/>
                <w:szCs w:val="4"/>
              </w:rPr>
            </w:pPr>
            <w:r>
              <w:rPr>
                <w:sz w:val="4"/>
                <w:szCs w:val="4"/>
              </w:rPr>
            </w:r>
          </w:p>
        </w:tc>
        <w:tc>
          <w:tcPr>
            <w:tcW w:w="149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030"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Named Executive Officers</w:t>
            </w:r>
          </w:p>
        </w:tc>
        <w:tc>
          <w:tcPr>
            <w:tcW w:w="120" w:type="dxa"/>
            <w:tcBorders/>
            <w:shd w:fill="EDEDED" w:val="clear"/>
            <w:vAlign w:val="center"/>
          </w:tcPr>
          <w:p>
            <w:pPr>
              <w:pStyle w:val="TableContents"/>
              <w:bidi w:val="0"/>
              <w:spacing w:before="0" w:after="283"/>
              <w:jc w:val="left"/>
              <w:rPr/>
            </w:pPr>
            <w:r>
              <w:rPr/>
              <w:t>  </w:t>
            </w:r>
          </w:p>
        </w:tc>
        <w:tc>
          <w:tcPr>
            <w:tcW w:w="82" w:type="dxa"/>
            <w:tcBorders/>
            <w:shd w:fill="EDEDED" w:val="clear"/>
            <w:vAlign w:val="center"/>
          </w:tcPr>
          <w:p>
            <w:pPr>
              <w:pStyle w:val="TableContents"/>
              <w:bidi w:val="0"/>
              <w:spacing w:before="0" w:after="0"/>
              <w:jc w:val="left"/>
              <w:rPr/>
            </w:pPr>
            <w:r>
              <w:rPr/>
              <w:t> </w:t>
            </w:r>
          </w:p>
        </w:tc>
        <w:tc>
          <w:tcPr>
            <w:tcW w:w="1513"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before="0" w:after="0"/>
              <w:jc w:val="left"/>
              <w:rPr/>
            </w:pPr>
            <w:r>
              <w:rPr/>
              <w:t> </w:t>
            </w:r>
          </w:p>
        </w:tc>
        <w:tc>
          <w:tcPr>
            <w:tcW w:w="1035" w:type="dxa"/>
            <w:tcBorders/>
            <w:shd w:fill="EDEDED" w:val="clear"/>
            <w:vAlign w:val="center"/>
          </w:tcPr>
          <w:p>
            <w:pPr>
              <w:pStyle w:val="TableContents"/>
              <w:bidi w:val="0"/>
              <w:spacing w:before="0" w:after="0"/>
              <w:jc w:val="left"/>
              <w:rPr/>
            </w:pPr>
            <w:r>
              <w:rPr/>
              <w:t> </w:t>
            </w:r>
          </w:p>
        </w:tc>
        <w:tc>
          <w:tcPr>
            <w:tcW w:w="290" w:type="dxa"/>
            <w:tcBorders/>
            <w:shd w:fill="EDEDED" w:val="clear"/>
            <w:vAlign w:val="center"/>
          </w:tcPr>
          <w:p>
            <w:pPr>
              <w:pStyle w:val="TableContents"/>
              <w:bidi w:val="0"/>
              <w:spacing w:before="0" w:after="0"/>
              <w:jc w:val="left"/>
              <w:rPr/>
            </w:pPr>
            <w:r>
              <w:rPr/>
              <w:t> </w:t>
            </w:r>
          </w:p>
        </w:tc>
      </w:tr>
      <w:tr>
        <w:trPr/>
        <w:tc>
          <w:tcPr>
            <w:tcW w:w="5030" w:type="dxa"/>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r>
      <w:tr>
        <w:trPr/>
        <w:tc>
          <w:tcPr>
            <w:tcW w:w="5030" w:type="dxa"/>
            <w:tcBorders/>
            <w:vAlign w:val="center"/>
          </w:tcPr>
          <w:p>
            <w:pPr>
              <w:pStyle w:val="TableContents"/>
              <w:bidi w:val="0"/>
              <w:spacing w:before="0" w:after="0"/>
              <w:jc w:val="left"/>
              <w:rPr>
                <w:rFonts w:ascii="ARIAL" w:hAnsi="ARIAL"/>
                <w:sz w:val="18"/>
              </w:rPr>
            </w:pPr>
            <w:r>
              <w:rPr>
                <w:rFonts w:ascii="ARIAL" w:hAnsi="ARIAL"/>
                <w:sz w:val="18"/>
              </w:rPr>
              <w:t>Thomas Pike(5)</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47,827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030" w:type="dxa"/>
            <w:tcBorders/>
            <w:shd w:fill="EDEDED" w:val="clear"/>
            <w:vAlign w:val="center"/>
          </w:tcPr>
          <w:p>
            <w:pPr>
              <w:pStyle w:val="TableContents"/>
              <w:bidi w:val="0"/>
              <w:spacing w:before="0" w:after="283"/>
              <w:jc w:val="left"/>
              <w:rPr>
                <w:sz w:val="4"/>
                <w:szCs w:val="4"/>
              </w:rPr>
            </w:pPr>
            <w:r>
              <w:rPr>
                <w:sz w:val="4"/>
                <w:szCs w:val="4"/>
              </w:rPr>
            </w:r>
          </w:p>
        </w:tc>
        <w:tc>
          <w:tcPr>
            <w:tcW w:w="1775" w:type="dxa"/>
            <w:gridSpan w:val="4"/>
            <w:tcBorders/>
            <w:shd w:fill="EDEDED" w:val="clear"/>
            <w:vAlign w:val="center"/>
          </w:tcPr>
          <w:p>
            <w:pPr>
              <w:pStyle w:val="TableContents"/>
              <w:bidi w:val="0"/>
              <w:spacing w:before="0" w:after="283"/>
              <w:jc w:val="left"/>
              <w:rPr>
                <w:sz w:val="4"/>
                <w:szCs w:val="4"/>
              </w:rPr>
            </w:pPr>
            <w:r>
              <w:rPr>
                <w:sz w:val="4"/>
                <w:szCs w:val="4"/>
              </w:rPr>
            </w:r>
          </w:p>
        </w:tc>
        <w:tc>
          <w:tcPr>
            <w:tcW w:w="149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030" w:type="dxa"/>
            <w:tcBorders/>
            <w:shd w:fill="EDEDED" w:val="clear"/>
            <w:vAlign w:val="center"/>
          </w:tcPr>
          <w:p>
            <w:pPr>
              <w:pStyle w:val="TableContents"/>
              <w:bidi w:val="0"/>
              <w:spacing w:before="0" w:after="0"/>
              <w:jc w:val="left"/>
              <w:rPr>
                <w:rFonts w:ascii="ARIAL" w:hAnsi="ARIAL"/>
                <w:sz w:val="18"/>
              </w:rPr>
            </w:pPr>
            <w:r>
              <w:rPr>
                <w:rFonts w:ascii="ARIAL" w:hAnsi="ARIAL"/>
                <w:sz w:val="18"/>
              </w:rPr>
              <w:t>Jill McConnell(6)</w:t>
            </w:r>
          </w:p>
        </w:tc>
        <w:tc>
          <w:tcPr>
            <w:tcW w:w="120" w:type="dxa"/>
            <w:tcBorders/>
            <w:shd w:fill="EDEDED" w:val="clear"/>
            <w:vAlign w:val="center"/>
          </w:tcPr>
          <w:p>
            <w:pPr>
              <w:pStyle w:val="TableContents"/>
              <w:bidi w:val="0"/>
              <w:spacing w:before="0" w:after="283"/>
              <w:jc w:val="left"/>
              <w:rPr/>
            </w:pPr>
            <w:r>
              <w:rPr/>
              <w:t>  </w:t>
            </w:r>
          </w:p>
        </w:tc>
        <w:tc>
          <w:tcPr>
            <w:tcW w:w="82" w:type="dxa"/>
            <w:tcBorders/>
            <w:shd w:fill="EDEDED" w:val="clear"/>
            <w:vAlign w:val="center"/>
          </w:tcPr>
          <w:p>
            <w:pPr>
              <w:pStyle w:val="TableContents"/>
              <w:bidi w:val="0"/>
              <w:spacing w:before="0" w:after="283"/>
              <w:jc w:val="left"/>
              <w:rPr/>
            </w:pPr>
            <w:r>
              <w:rPr/>
              <w:t> </w:t>
            </w:r>
          </w:p>
        </w:tc>
        <w:tc>
          <w:tcPr>
            <w:tcW w:w="1513" w:type="dxa"/>
            <w:tcBorders/>
            <w:shd w:fill="EDEDED" w:val="clear"/>
            <w:vAlign w:val="center"/>
          </w:tcPr>
          <w:p>
            <w:pPr>
              <w:pStyle w:val="TableContents"/>
              <w:bidi w:val="0"/>
              <w:spacing w:before="0" w:after="283"/>
              <w:jc w:val="right"/>
              <w:rPr/>
            </w:pPr>
            <w:r>
              <w:rPr/>
              <w:t>20,717</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before="0" w:after="283"/>
              <w:jc w:val="left"/>
              <w:rPr/>
            </w:pPr>
            <w:r>
              <w:rPr/>
              <w:t> </w:t>
            </w:r>
          </w:p>
        </w:tc>
        <w:tc>
          <w:tcPr>
            <w:tcW w:w="1035" w:type="dxa"/>
            <w:tcBorders/>
            <w:shd w:fill="EDEDED" w:val="clear"/>
            <w:vAlign w:val="center"/>
          </w:tcPr>
          <w:p>
            <w:pPr>
              <w:pStyle w:val="TableContents"/>
              <w:bidi w:val="0"/>
              <w:spacing w:before="0" w:after="283"/>
              <w:jc w:val="right"/>
              <w:rPr/>
            </w:pPr>
            <w:r>
              <w:rPr/>
              <w:t>*</w:t>
            </w:r>
          </w:p>
        </w:tc>
        <w:tc>
          <w:tcPr>
            <w:tcW w:w="290" w:type="dxa"/>
            <w:tcBorders/>
            <w:shd w:fill="EDEDED" w:val="cle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r>
      <w:tr>
        <w:trPr/>
        <w:tc>
          <w:tcPr>
            <w:tcW w:w="5030" w:type="dxa"/>
            <w:tcBorders/>
            <w:vAlign w:val="center"/>
          </w:tcPr>
          <w:p>
            <w:pPr>
              <w:pStyle w:val="TableContents"/>
              <w:bidi w:val="0"/>
              <w:spacing w:before="0" w:after="0"/>
              <w:jc w:val="left"/>
              <w:rPr>
                <w:rFonts w:ascii="ARIAL" w:hAnsi="ARIAL"/>
                <w:sz w:val="18"/>
              </w:rPr>
            </w:pPr>
            <w:r>
              <w:rPr>
                <w:rFonts w:ascii="ARIAL" w:hAnsi="ARIAL"/>
                <w:sz w:val="18"/>
              </w:rPr>
              <w:t>Mark Morais(7)</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18,406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030" w:type="dxa"/>
            <w:tcBorders/>
            <w:shd w:fill="EDEDED" w:val="clear"/>
            <w:vAlign w:val="center"/>
          </w:tcPr>
          <w:p>
            <w:pPr>
              <w:pStyle w:val="TableContents"/>
              <w:bidi w:val="0"/>
              <w:spacing w:before="0" w:after="283"/>
              <w:jc w:val="left"/>
              <w:rPr>
                <w:sz w:val="4"/>
                <w:szCs w:val="4"/>
              </w:rPr>
            </w:pPr>
            <w:r>
              <w:rPr>
                <w:sz w:val="4"/>
                <w:szCs w:val="4"/>
              </w:rPr>
            </w:r>
          </w:p>
        </w:tc>
        <w:tc>
          <w:tcPr>
            <w:tcW w:w="1775" w:type="dxa"/>
            <w:gridSpan w:val="4"/>
            <w:tcBorders/>
            <w:shd w:fill="EDEDED" w:val="clear"/>
            <w:vAlign w:val="center"/>
          </w:tcPr>
          <w:p>
            <w:pPr>
              <w:pStyle w:val="TableContents"/>
              <w:bidi w:val="0"/>
              <w:spacing w:before="0" w:after="283"/>
              <w:jc w:val="left"/>
              <w:rPr>
                <w:sz w:val="4"/>
                <w:szCs w:val="4"/>
              </w:rPr>
            </w:pPr>
            <w:r>
              <w:rPr>
                <w:sz w:val="4"/>
                <w:szCs w:val="4"/>
              </w:rPr>
            </w:r>
          </w:p>
        </w:tc>
        <w:tc>
          <w:tcPr>
            <w:tcW w:w="149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030" w:type="dxa"/>
            <w:tcBorders/>
            <w:shd w:fill="EDEDED" w:val="clear"/>
            <w:vAlign w:val="center"/>
          </w:tcPr>
          <w:p>
            <w:pPr>
              <w:pStyle w:val="TableContents"/>
              <w:bidi w:val="0"/>
              <w:spacing w:before="0" w:after="0"/>
              <w:jc w:val="left"/>
              <w:rPr>
                <w:rFonts w:ascii="ARIAL" w:hAnsi="ARIAL"/>
                <w:b/>
                <w:sz w:val="18"/>
              </w:rPr>
            </w:pPr>
            <w:r>
              <w:rPr>
                <w:rFonts w:ascii="ARIAL" w:hAnsi="ARIAL"/>
                <w:b/>
                <w:sz w:val="18"/>
              </w:rPr>
              <w:t>Non-Employee Directors</w:t>
            </w:r>
          </w:p>
        </w:tc>
        <w:tc>
          <w:tcPr>
            <w:tcW w:w="120" w:type="dxa"/>
            <w:tcBorders/>
            <w:shd w:fill="EDEDED" w:val="clear"/>
            <w:vAlign w:val="center"/>
          </w:tcPr>
          <w:p>
            <w:pPr>
              <w:pStyle w:val="TableContents"/>
              <w:bidi w:val="0"/>
              <w:spacing w:before="0" w:after="283"/>
              <w:jc w:val="left"/>
              <w:rPr/>
            </w:pPr>
            <w:r>
              <w:rPr/>
              <w:t>  </w:t>
            </w:r>
          </w:p>
        </w:tc>
        <w:tc>
          <w:tcPr>
            <w:tcW w:w="82" w:type="dxa"/>
            <w:tcBorders/>
            <w:shd w:fill="EDEDED" w:val="clear"/>
            <w:vAlign w:val="center"/>
          </w:tcPr>
          <w:p>
            <w:pPr>
              <w:pStyle w:val="TableContents"/>
              <w:bidi w:val="0"/>
              <w:spacing w:before="0" w:after="0"/>
              <w:jc w:val="left"/>
              <w:rPr/>
            </w:pPr>
            <w:r>
              <w:rPr/>
              <w:t> </w:t>
            </w:r>
          </w:p>
        </w:tc>
        <w:tc>
          <w:tcPr>
            <w:tcW w:w="1513"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0"/>
              <w:jc w:val="left"/>
              <w:rPr/>
            </w:pPr>
            <w:r>
              <w:rPr/>
              <w:t> </w:t>
            </w:r>
          </w:p>
        </w:tc>
        <w:tc>
          <w:tcPr>
            <w:tcW w:w="6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before="0" w:after="0"/>
              <w:jc w:val="left"/>
              <w:rPr/>
            </w:pPr>
            <w:r>
              <w:rPr/>
              <w:t> </w:t>
            </w:r>
          </w:p>
        </w:tc>
        <w:tc>
          <w:tcPr>
            <w:tcW w:w="1035" w:type="dxa"/>
            <w:tcBorders/>
            <w:shd w:fill="EDEDED" w:val="clear"/>
            <w:vAlign w:val="center"/>
          </w:tcPr>
          <w:p>
            <w:pPr>
              <w:pStyle w:val="TableContents"/>
              <w:bidi w:val="0"/>
              <w:spacing w:before="0" w:after="0"/>
              <w:jc w:val="left"/>
              <w:rPr/>
            </w:pPr>
            <w:r>
              <w:rPr/>
              <w:t> </w:t>
            </w:r>
          </w:p>
        </w:tc>
        <w:tc>
          <w:tcPr>
            <w:tcW w:w="290" w:type="dxa"/>
            <w:tcBorders/>
            <w:shd w:fill="EDEDED" w:val="clear"/>
            <w:vAlign w:val="center"/>
          </w:tcPr>
          <w:p>
            <w:pPr>
              <w:pStyle w:val="TableContents"/>
              <w:bidi w:val="0"/>
              <w:spacing w:before="0" w:after="0"/>
              <w:jc w:val="left"/>
              <w:rPr/>
            </w:pPr>
            <w:r>
              <w:rPr/>
              <w:t> </w:t>
            </w:r>
          </w:p>
        </w:tc>
      </w:tr>
      <w:tr>
        <w:trPr/>
        <w:tc>
          <w:tcPr>
            <w:tcW w:w="5030" w:type="dxa"/>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r>
      <w:tr>
        <w:trPr/>
        <w:tc>
          <w:tcPr>
            <w:tcW w:w="5030" w:type="dxa"/>
            <w:tcBorders/>
            <w:vAlign w:val="center"/>
          </w:tcPr>
          <w:p>
            <w:pPr>
              <w:pStyle w:val="TableContents"/>
              <w:bidi w:val="0"/>
              <w:spacing w:before="0" w:after="0"/>
              <w:jc w:val="left"/>
              <w:rPr>
                <w:rFonts w:ascii="ARIAL" w:hAnsi="ARIAL"/>
                <w:sz w:val="18"/>
              </w:rPr>
            </w:pPr>
            <w:r>
              <w:rPr>
                <w:rFonts w:ascii="ARIAL" w:hAnsi="ARIAL"/>
                <w:sz w:val="18"/>
              </w:rPr>
              <w:t>R. Andrew Eckert(8)</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030" w:type="dxa"/>
            <w:tcBorders/>
            <w:shd w:fill="EDEDED" w:val="clear"/>
            <w:vAlign w:val="center"/>
          </w:tcPr>
          <w:p>
            <w:pPr>
              <w:pStyle w:val="TableContents"/>
              <w:bidi w:val="0"/>
              <w:spacing w:before="0" w:after="283"/>
              <w:jc w:val="left"/>
              <w:rPr>
                <w:sz w:val="4"/>
                <w:szCs w:val="4"/>
              </w:rPr>
            </w:pPr>
            <w:r>
              <w:rPr>
                <w:sz w:val="4"/>
                <w:szCs w:val="4"/>
              </w:rPr>
            </w:r>
          </w:p>
        </w:tc>
        <w:tc>
          <w:tcPr>
            <w:tcW w:w="1775" w:type="dxa"/>
            <w:gridSpan w:val="4"/>
            <w:tcBorders/>
            <w:shd w:fill="EDEDED" w:val="clear"/>
            <w:vAlign w:val="center"/>
          </w:tcPr>
          <w:p>
            <w:pPr>
              <w:pStyle w:val="TableContents"/>
              <w:bidi w:val="0"/>
              <w:spacing w:before="0" w:after="283"/>
              <w:jc w:val="left"/>
              <w:rPr>
                <w:sz w:val="4"/>
                <w:szCs w:val="4"/>
              </w:rPr>
            </w:pPr>
            <w:r>
              <w:rPr>
                <w:sz w:val="4"/>
                <w:szCs w:val="4"/>
              </w:rPr>
            </w:r>
          </w:p>
        </w:tc>
        <w:tc>
          <w:tcPr>
            <w:tcW w:w="149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030" w:type="dxa"/>
            <w:tcBorders/>
            <w:shd w:fill="EDEDED" w:val="clear"/>
            <w:vAlign w:val="center"/>
          </w:tcPr>
          <w:p>
            <w:pPr>
              <w:pStyle w:val="TableContents"/>
              <w:bidi w:val="0"/>
              <w:spacing w:before="0" w:after="0"/>
              <w:jc w:val="left"/>
              <w:rPr>
                <w:rFonts w:ascii="ARIAL" w:hAnsi="ARIAL"/>
                <w:sz w:val="18"/>
              </w:rPr>
            </w:pPr>
            <w:r>
              <w:rPr>
                <w:rFonts w:ascii="ARIAL" w:hAnsi="ARIAL"/>
                <w:sz w:val="18"/>
              </w:rPr>
              <w:t>Betty Larson(8)</w:t>
            </w:r>
          </w:p>
        </w:tc>
        <w:tc>
          <w:tcPr>
            <w:tcW w:w="120" w:type="dxa"/>
            <w:tcBorders/>
            <w:shd w:fill="EDEDED" w:val="clear"/>
            <w:vAlign w:val="center"/>
          </w:tcPr>
          <w:p>
            <w:pPr>
              <w:pStyle w:val="TableContents"/>
              <w:bidi w:val="0"/>
              <w:spacing w:before="0" w:after="283"/>
              <w:jc w:val="left"/>
              <w:rPr/>
            </w:pPr>
            <w:r>
              <w:rPr/>
              <w:t>  </w:t>
            </w:r>
          </w:p>
        </w:tc>
        <w:tc>
          <w:tcPr>
            <w:tcW w:w="82" w:type="dxa"/>
            <w:tcBorders/>
            <w:shd w:fill="EDEDED" w:val="clear"/>
            <w:vAlign w:val="center"/>
          </w:tcPr>
          <w:p>
            <w:pPr>
              <w:pStyle w:val="TableContents"/>
              <w:bidi w:val="0"/>
              <w:spacing w:before="0" w:after="283"/>
              <w:jc w:val="left"/>
              <w:rPr/>
            </w:pPr>
            <w:r>
              <w:rPr/>
              <w:t> </w:t>
            </w:r>
          </w:p>
        </w:tc>
        <w:tc>
          <w:tcPr>
            <w:tcW w:w="1513"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before="0" w:after="283"/>
              <w:jc w:val="left"/>
              <w:rPr/>
            </w:pPr>
            <w:r>
              <w:rPr/>
              <w:t> </w:t>
            </w:r>
          </w:p>
        </w:tc>
        <w:tc>
          <w:tcPr>
            <w:tcW w:w="1035" w:type="dxa"/>
            <w:tcBorders/>
            <w:shd w:fill="EDEDED" w:val="clear"/>
            <w:vAlign w:val="center"/>
          </w:tcPr>
          <w:p>
            <w:pPr>
              <w:pStyle w:val="TableContents"/>
              <w:bidi w:val="0"/>
              <w:spacing w:before="0" w:after="283"/>
              <w:jc w:val="right"/>
              <w:rPr/>
            </w:pPr>
            <w:r>
              <w:rPr/>
              <w:t>*</w:t>
            </w:r>
          </w:p>
        </w:tc>
        <w:tc>
          <w:tcPr>
            <w:tcW w:w="290" w:type="dxa"/>
            <w:tcBorders/>
            <w:shd w:fill="EDEDED" w:val="cle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r>
      <w:tr>
        <w:trPr/>
        <w:tc>
          <w:tcPr>
            <w:tcW w:w="5030" w:type="dxa"/>
            <w:tcBorders/>
            <w:vAlign w:val="center"/>
          </w:tcPr>
          <w:p>
            <w:pPr>
              <w:pStyle w:val="TableContents"/>
              <w:bidi w:val="0"/>
              <w:spacing w:before="0" w:after="0"/>
              <w:jc w:val="left"/>
              <w:rPr>
                <w:rFonts w:ascii="ARIAL" w:hAnsi="ARIAL"/>
                <w:sz w:val="18"/>
              </w:rPr>
            </w:pPr>
            <w:r>
              <w:rPr>
                <w:rFonts w:ascii="ARIAL" w:hAnsi="ARIAL"/>
                <w:sz w:val="18"/>
              </w:rPr>
              <w:t>Peter Neupert(9)</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21,996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030" w:type="dxa"/>
            <w:tcBorders/>
            <w:shd w:fill="EDEDED" w:val="clear"/>
            <w:vAlign w:val="center"/>
          </w:tcPr>
          <w:p>
            <w:pPr>
              <w:pStyle w:val="TableContents"/>
              <w:bidi w:val="0"/>
              <w:spacing w:before="0" w:after="283"/>
              <w:jc w:val="left"/>
              <w:rPr>
                <w:sz w:val="4"/>
                <w:szCs w:val="4"/>
              </w:rPr>
            </w:pPr>
            <w:r>
              <w:rPr>
                <w:sz w:val="4"/>
                <w:szCs w:val="4"/>
              </w:rPr>
            </w:r>
          </w:p>
        </w:tc>
        <w:tc>
          <w:tcPr>
            <w:tcW w:w="1775" w:type="dxa"/>
            <w:gridSpan w:val="4"/>
            <w:tcBorders/>
            <w:shd w:fill="EDEDED" w:val="clear"/>
            <w:vAlign w:val="center"/>
          </w:tcPr>
          <w:p>
            <w:pPr>
              <w:pStyle w:val="TableContents"/>
              <w:bidi w:val="0"/>
              <w:spacing w:before="0" w:after="283"/>
              <w:jc w:val="left"/>
              <w:rPr>
                <w:sz w:val="4"/>
                <w:szCs w:val="4"/>
              </w:rPr>
            </w:pPr>
            <w:r>
              <w:rPr>
                <w:sz w:val="4"/>
                <w:szCs w:val="4"/>
              </w:rPr>
            </w:r>
          </w:p>
        </w:tc>
        <w:tc>
          <w:tcPr>
            <w:tcW w:w="149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030" w:type="dxa"/>
            <w:tcBorders/>
            <w:shd w:fill="EDEDED" w:val="clear"/>
            <w:vAlign w:val="center"/>
          </w:tcPr>
          <w:p>
            <w:pPr>
              <w:pStyle w:val="TableContents"/>
              <w:bidi w:val="0"/>
              <w:spacing w:before="0" w:after="0"/>
              <w:jc w:val="left"/>
              <w:rPr>
                <w:rFonts w:ascii="ARIAL" w:hAnsi="ARIAL"/>
                <w:sz w:val="18"/>
              </w:rPr>
            </w:pPr>
            <w:r>
              <w:rPr>
                <w:rFonts w:ascii="ARIAL" w:hAnsi="ARIAL"/>
                <w:sz w:val="18"/>
              </w:rPr>
              <w:t>Edward Pesicka(8)</w:t>
            </w:r>
          </w:p>
        </w:tc>
        <w:tc>
          <w:tcPr>
            <w:tcW w:w="120" w:type="dxa"/>
            <w:tcBorders/>
            <w:shd w:fill="EDEDED" w:val="clear"/>
            <w:vAlign w:val="center"/>
          </w:tcPr>
          <w:p>
            <w:pPr>
              <w:pStyle w:val="TableContents"/>
              <w:bidi w:val="0"/>
              <w:spacing w:before="0" w:after="283"/>
              <w:jc w:val="left"/>
              <w:rPr/>
            </w:pPr>
            <w:r>
              <w:rPr/>
              <w:t>  </w:t>
            </w:r>
          </w:p>
        </w:tc>
        <w:tc>
          <w:tcPr>
            <w:tcW w:w="82" w:type="dxa"/>
            <w:tcBorders/>
            <w:shd w:fill="EDEDED" w:val="clear"/>
            <w:vAlign w:val="center"/>
          </w:tcPr>
          <w:p>
            <w:pPr>
              <w:pStyle w:val="TableContents"/>
              <w:bidi w:val="0"/>
              <w:spacing w:before="0" w:after="283"/>
              <w:jc w:val="left"/>
              <w:rPr/>
            </w:pPr>
            <w:r>
              <w:rPr/>
              <w:t> </w:t>
            </w:r>
          </w:p>
        </w:tc>
        <w:tc>
          <w:tcPr>
            <w:tcW w:w="1513"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before="0" w:after="283"/>
              <w:jc w:val="left"/>
              <w:rPr/>
            </w:pPr>
            <w:r>
              <w:rPr/>
              <w:t> </w:t>
            </w:r>
          </w:p>
        </w:tc>
        <w:tc>
          <w:tcPr>
            <w:tcW w:w="1035" w:type="dxa"/>
            <w:tcBorders/>
            <w:shd w:fill="EDEDED" w:val="clear"/>
            <w:vAlign w:val="center"/>
          </w:tcPr>
          <w:p>
            <w:pPr>
              <w:pStyle w:val="TableContents"/>
              <w:bidi w:val="0"/>
              <w:spacing w:before="0" w:after="283"/>
              <w:jc w:val="right"/>
              <w:rPr/>
            </w:pPr>
            <w:r>
              <w:rPr/>
              <w:t>*</w:t>
            </w:r>
          </w:p>
        </w:tc>
        <w:tc>
          <w:tcPr>
            <w:tcW w:w="290" w:type="dxa"/>
            <w:tcBorders/>
            <w:shd w:fill="EDEDED" w:val="cle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r>
      <w:tr>
        <w:trPr/>
        <w:tc>
          <w:tcPr>
            <w:tcW w:w="5030" w:type="dxa"/>
            <w:tcBorders/>
            <w:vAlign w:val="center"/>
          </w:tcPr>
          <w:p>
            <w:pPr>
              <w:pStyle w:val="TableContents"/>
              <w:bidi w:val="0"/>
              <w:spacing w:before="0" w:after="0"/>
              <w:jc w:val="left"/>
              <w:rPr>
                <w:rFonts w:ascii="ARIAL" w:hAnsi="ARIAL"/>
                <w:sz w:val="18"/>
              </w:rPr>
            </w:pPr>
            <w:r>
              <w:rPr>
                <w:rFonts w:ascii="ARIAL" w:hAnsi="ARIAL"/>
                <w:sz w:val="18"/>
              </w:rPr>
              <w:t>Dr. Amrit Ray(8)</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5030" w:type="dxa"/>
            <w:tcBorders/>
            <w:shd w:fill="EDEDED" w:val="clear"/>
            <w:vAlign w:val="center"/>
          </w:tcPr>
          <w:p>
            <w:pPr>
              <w:pStyle w:val="TableContents"/>
              <w:bidi w:val="0"/>
              <w:spacing w:before="0" w:after="283"/>
              <w:jc w:val="left"/>
              <w:rPr>
                <w:sz w:val="4"/>
                <w:szCs w:val="4"/>
              </w:rPr>
            </w:pPr>
            <w:r>
              <w:rPr>
                <w:sz w:val="4"/>
                <w:szCs w:val="4"/>
              </w:rPr>
            </w:r>
          </w:p>
        </w:tc>
        <w:tc>
          <w:tcPr>
            <w:tcW w:w="1775" w:type="dxa"/>
            <w:gridSpan w:val="4"/>
            <w:tcBorders/>
            <w:shd w:fill="EDEDED" w:val="clear"/>
            <w:vAlign w:val="center"/>
          </w:tcPr>
          <w:p>
            <w:pPr>
              <w:pStyle w:val="TableContents"/>
              <w:bidi w:val="0"/>
              <w:spacing w:before="0" w:after="283"/>
              <w:jc w:val="left"/>
              <w:rPr>
                <w:sz w:val="4"/>
                <w:szCs w:val="4"/>
              </w:rPr>
            </w:pPr>
            <w:r>
              <w:rPr>
                <w:sz w:val="4"/>
                <w:szCs w:val="4"/>
              </w:rPr>
            </w:r>
          </w:p>
        </w:tc>
        <w:tc>
          <w:tcPr>
            <w:tcW w:w="1495" w:type="dxa"/>
            <w:gridSpan w:val="4"/>
            <w:tcBorders/>
            <w:shd w:fill="EDEDED" w:val="clear"/>
            <w:vAlign w:val="center"/>
          </w:tcPr>
          <w:p>
            <w:pPr>
              <w:pStyle w:val="TableContents"/>
              <w:bidi w:val="0"/>
              <w:spacing w:before="0" w:after="283"/>
              <w:jc w:val="left"/>
              <w:rPr>
                <w:sz w:val="4"/>
                <w:szCs w:val="4"/>
              </w:rPr>
            </w:pPr>
            <w:r>
              <w:rPr>
                <w:sz w:val="4"/>
                <w:szCs w:val="4"/>
              </w:rPr>
            </w:r>
          </w:p>
        </w:tc>
      </w:tr>
      <w:tr>
        <w:trPr/>
        <w:tc>
          <w:tcPr>
            <w:tcW w:w="5030" w:type="dxa"/>
            <w:tcBorders/>
            <w:shd w:fill="EDEDED" w:val="clear"/>
            <w:vAlign w:val="center"/>
          </w:tcPr>
          <w:p>
            <w:pPr>
              <w:pStyle w:val="TableContents"/>
              <w:bidi w:val="0"/>
              <w:spacing w:before="0" w:after="0"/>
              <w:jc w:val="left"/>
              <w:rPr>
                <w:rFonts w:ascii="ARIAL" w:hAnsi="ARIAL"/>
                <w:sz w:val="18"/>
              </w:rPr>
            </w:pPr>
            <w:r>
              <w:rPr>
                <w:rFonts w:ascii="ARIAL" w:hAnsi="ARIAL"/>
                <w:sz w:val="18"/>
              </w:rPr>
              <w:t>David Smith(8)</w:t>
            </w:r>
          </w:p>
        </w:tc>
        <w:tc>
          <w:tcPr>
            <w:tcW w:w="120" w:type="dxa"/>
            <w:tcBorders/>
            <w:shd w:fill="EDEDED" w:val="clear"/>
            <w:vAlign w:val="center"/>
          </w:tcPr>
          <w:p>
            <w:pPr>
              <w:pStyle w:val="TableContents"/>
              <w:bidi w:val="0"/>
              <w:spacing w:before="0" w:after="283"/>
              <w:jc w:val="left"/>
              <w:rPr/>
            </w:pPr>
            <w:r>
              <w:rPr/>
              <w:t>  </w:t>
            </w:r>
          </w:p>
        </w:tc>
        <w:tc>
          <w:tcPr>
            <w:tcW w:w="82" w:type="dxa"/>
            <w:tcBorders/>
            <w:shd w:fill="EDEDED" w:val="clear"/>
            <w:vAlign w:val="center"/>
          </w:tcPr>
          <w:p>
            <w:pPr>
              <w:pStyle w:val="TableContents"/>
              <w:bidi w:val="0"/>
              <w:spacing w:before="0" w:after="283"/>
              <w:jc w:val="left"/>
              <w:rPr/>
            </w:pPr>
            <w:r>
              <w:rPr/>
              <w:t> </w:t>
            </w:r>
          </w:p>
        </w:tc>
        <w:tc>
          <w:tcPr>
            <w:tcW w:w="1513" w:type="dxa"/>
            <w:tcBorders/>
            <w:shd w:fill="EDEDED" w:val="clear"/>
            <w:vAlign w:val="center"/>
          </w:tcPr>
          <w:p>
            <w:pPr>
              <w:pStyle w:val="TableContents"/>
              <w:bidi w:val="0"/>
              <w:spacing w:before="0" w:after="283"/>
              <w:jc w:val="right"/>
              <w:rPr/>
            </w:pPr>
            <w:r>
              <w:rPr/>
              <w:t>—</w:t>
            </w:r>
          </w:p>
        </w:tc>
        <w:tc>
          <w:tcPr>
            <w:tcW w:w="60" w:type="dxa"/>
            <w:tcBorders/>
            <w:shd w:fill="EDEDED" w:val="clear"/>
            <w:vAlign w:val="center"/>
          </w:tcPr>
          <w:p>
            <w:pPr>
              <w:pStyle w:val="TableContents"/>
              <w:bidi w:val="0"/>
              <w:spacing w:before="0" w:after="283"/>
              <w:jc w:val="left"/>
              <w:rPr/>
            </w:pPr>
            <w:r>
              <w:rPr/>
              <w:t> </w:t>
            </w:r>
          </w:p>
        </w:tc>
        <w:tc>
          <w:tcPr>
            <w:tcW w:w="60" w:type="dxa"/>
            <w:tcBorders/>
            <w:shd w:fill="EDEDED" w:val="clear"/>
            <w:vAlign w:val="center"/>
          </w:tcPr>
          <w:p>
            <w:pPr>
              <w:pStyle w:val="TableContents"/>
              <w:bidi w:val="0"/>
              <w:spacing w:before="0" w:after="283"/>
              <w:jc w:val="left"/>
              <w:rPr/>
            </w:pPr>
            <w:r>
              <w:rPr/>
              <w:t> </w:t>
            </w:r>
          </w:p>
        </w:tc>
        <w:tc>
          <w:tcPr>
            <w:tcW w:w="110" w:type="dxa"/>
            <w:tcBorders/>
            <w:shd w:fill="EDEDED" w:val="clear"/>
            <w:vAlign w:val="center"/>
          </w:tcPr>
          <w:p>
            <w:pPr>
              <w:pStyle w:val="TableContents"/>
              <w:bidi w:val="0"/>
              <w:spacing w:before="0" w:after="283"/>
              <w:jc w:val="left"/>
              <w:rPr/>
            </w:pPr>
            <w:r>
              <w:rPr/>
              <w:t> </w:t>
            </w:r>
          </w:p>
        </w:tc>
        <w:tc>
          <w:tcPr>
            <w:tcW w:w="1035" w:type="dxa"/>
            <w:tcBorders/>
            <w:shd w:fill="EDEDED" w:val="clear"/>
            <w:vAlign w:val="center"/>
          </w:tcPr>
          <w:p>
            <w:pPr>
              <w:pStyle w:val="TableContents"/>
              <w:bidi w:val="0"/>
              <w:spacing w:before="0" w:after="283"/>
              <w:jc w:val="right"/>
              <w:rPr/>
            </w:pPr>
            <w:r>
              <w:rPr/>
              <w:t>*</w:t>
            </w:r>
          </w:p>
        </w:tc>
        <w:tc>
          <w:tcPr>
            <w:tcW w:w="290" w:type="dxa"/>
            <w:tcBorders/>
            <w:shd w:fill="EDEDED" w:val="clear"/>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left"/>
              <w:rPr>
                <w:sz w:val="4"/>
                <w:szCs w:val="4"/>
              </w:rPr>
            </w:pPr>
            <w:r>
              <w:rPr>
                <w:sz w:val="4"/>
                <w:szCs w:val="4"/>
              </w:rPr>
            </w:r>
          </w:p>
        </w:tc>
        <w:tc>
          <w:tcPr>
            <w:tcW w:w="1775" w:type="dxa"/>
            <w:gridSpan w:val="4"/>
            <w:tcBorders/>
            <w:vAlign w:val="center"/>
          </w:tcPr>
          <w:p>
            <w:pPr>
              <w:pStyle w:val="TableContents"/>
              <w:bidi w:val="0"/>
              <w:spacing w:before="0" w:after="283"/>
              <w:jc w:val="left"/>
              <w:rPr>
                <w:sz w:val="4"/>
                <w:szCs w:val="4"/>
              </w:rPr>
            </w:pPr>
            <w:r>
              <w:rPr>
                <w:sz w:val="4"/>
                <w:szCs w:val="4"/>
              </w:rPr>
            </w:r>
          </w:p>
        </w:tc>
        <w:tc>
          <w:tcPr>
            <w:tcW w:w="1495" w:type="dxa"/>
            <w:gridSpan w:val="4"/>
            <w:tcBorders/>
            <w:vAlign w:val="center"/>
          </w:tcPr>
          <w:p>
            <w:pPr>
              <w:pStyle w:val="TableContents"/>
              <w:bidi w:val="0"/>
              <w:spacing w:before="0" w:after="283"/>
              <w:jc w:val="left"/>
              <w:rPr>
                <w:sz w:val="4"/>
                <w:szCs w:val="4"/>
              </w:rPr>
            </w:pPr>
            <w:r>
              <w:rPr>
                <w:sz w:val="4"/>
                <w:szCs w:val="4"/>
              </w:rPr>
            </w:r>
          </w:p>
        </w:tc>
      </w:tr>
      <w:tr>
        <w:trPr/>
        <w:tc>
          <w:tcPr>
            <w:tcW w:w="5030" w:type="dxa"/>
            <w:tcBorders/>
            <w:vAlign w:val="center"/>
          </w:tcPr>
          <w:p>
            <w:pPr>
              <w:pStyle w:val="TableContents"/>
              <w:bidi w:val="0"/>
              <w:spacing w:before="0" w:after="0"/>
              <w:jc w:val="left"/>
              <w:rPr>
                <w:rFonts w:ascii="ARIAL" w:hAnsi="ARIAL"/>
                <w:sz w:val="18"/>
              </w:rPr>
            </w:pPr>
            <w:r>
              <w:rPr>
                <w:rFonts w:ascii="ARIAL" w:hAnsi="ARIAL"/>
                <w:sz w:val="18"/>
              </w:rPr>
              <w:t>All executive officers and directors as a group (9 persons)(10)</w:t>
            </w:r>
          </w:p>
        </w:tc>
        <w:tc>
          <w:tcPr>
            <w:tcW w:w="12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513" w:type="dxa"/>
            <w:tcBorders/>
            <w:vAlign w:val="center"/>
          </w:tcPr>
          <w:p>
            <w:pPr>
              <w:pStyle w:val="TableContents"/>
              <w:bidi w:val="0"/>
              <w:spacing w:before="0" w:after="283"/>
              <w:jc w:val="right"/>
              <w:rPr/>
            </w:pPr>
            <w:r>
              <w:rPr/>
              <w:t>108,946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35"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675" w:type="dxa"/>
        <w:jc w:val="left"/>
        <w:tblInd w:w="0" w:type="dxa"/>
        <w:tblLayout w:type="fixed"/>
        <w:tblCellMar>
          <w:top w:w="0" w:type="dxa"/>
          <w:left w:w="0" w:type="dxa"/>
          <w:bottom w:w="0" w:type="dxa"/>
          <w:right w:w="0" w:type="dxa"/>
        </w:tblCellMar>
      </w:tblPr>
      <w:tblGrid>
        <w:gridCol w:w="155"/>
        <w:gridCol w:w="1520"/>
      </w:tblGrid>
      <w:tr>
        <w:trPr/>
        <w:tc>
          <w:tcPr>
            <w:tcW w:w="155" w:type="dxa"/>
            <w:tcBorders/>
            <w:vAlign w:val="center"/>
          </w:tcPr>
          <w:p>
            <w:pPr>
              <w:pStyle w:val="TableContents"/>
              <w:bidi w:val="0"/>
              <w:spacing w:before="0" w:after="283"/>
              <w:jc w:val="left"/>
              <w:rPr/>
            </w:pPr>
            <w:r>
              <w:rPr/>
              <w:t>*</w:t>
            </w:r>
          </w:p>
        </w:tc>
        <w:tc>
          <w:tcPr>
            <w:tcW w:w="1520" w:type="dxa"/>
            <w:tcBorders/>
            <w:vAlign w:val="center"/>
          </w:tcPr>
          <w:p>
            <w:pPr>
              <w:pStyle w:val="TableContents"/>
              <w:bidi w:val="0"/>
              <w:spacing w:before="0" w:after="0"/>
              <w:jc w:val="left"/>
              <w:rPr>
                <w:rFonts w:ascii="ARIAL" w:hAnsi="ARIAL"/>
                <w:sz w:val="14"/>
              </w:rPr>
            </w:pPr>
            <w:r>
              <w:rPr>
                <w:rFonts w:ascii="ARIAL" w:hAnsi="ARIAL"/>
                <w:sz w:val="14"/>
              </w:rPr>
              <w:t xml:space="preserve">Less than one percent.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left"/>
              <w:rPr>
                <w:rFonts w:ascii="ARIAL" w:hAnsi="ARIAL"/>
                <w:sz w:val="14"/>
              </w:rPr>
            </w:pPr>
            <w:r>
              <w:rPr>
                <w:rFonts w:ascii="ARIAL" w:hAnsi="ARIAL"/>
                <w:sz w:val="14"/>
              </w:rPr>
              <w:t xml:space="preserve">Based solely on information contained in a Schedule 13G filed with the SEC on January 25, 2024 by BlackRock, Inc. reporting sole voting power of 17,103,759 shares, shared voting power of 0 shares, sole dispositive power of 17,454,885 shares and shared dispositive power of 0 shares. The address for BlackRock, Inc. is 50 Hudson Yards, New York, New York 10001.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52</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SECURITY OWNERSHIP OF CERTAIN BENEFICIAL OWNERS AND MANAGEMENT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(2)</w:t>
            </w:r>
          </w:p>
        </w:tc>
        <w:tc>
          <w:tcPr>
            <w:tcW w:w="9947" w:type="dxa"/>
            <w:tcBorders/>
            <w:vAlign w:val="center"/>
          </w:tcPr>
          <w:p>
            <w:pPr>
              <w:pStyle w:val="TableContents"/>
              <w:bidi w:val="0"/>
              <w:spacing w:before="0" w:after="0"/>
              <w:jc w:val="left"/>
              <w:rPr>
                <w:rFonts w:ascii="ARIAL" w:hAnsi="ARIAL"/>
                <w:sz w:val="14"/>
              </w:rPr>
            </w:pPr>
            <w:r>
              <w:rPr>
                <w:rFonts w:ascii="ARIAL" w:hAnsi="ARIAL"/>
                <w:sz w:val="14"/>
              </w:rPr>
              <w:t xml:space="preserve">Based solely on information contained in a Schedule 13G amendment filed with the SEC on February 13, 2024 by The Vanguard Group reporting sole voting power of 0 shares, shared voting power of 30,584 shares, sole dispositive power of 9,823,174 shares and shared dispositive power of 122,275 shares. The address for The Vanguard Group is 100 Vanguard Blvd., Malvern, Pennsylvania 19355.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0"/>
              <w:jc w:val="left"/>
              <w:rPr>
                <w:rFonts w:ascii="ARIAL" w:hAnsi="ARIAL"/>
                <w:sz w:val="14"/>
              </w:rPr>
            </w:pPr>
            <w:r>
              <w:rPr>
                <w:rFonts w:ascii="ARIAL" w:hAnsi="ARIAL"/>
                <w:sz w:val="14"/>
              </w:rPr>
              <w:t xml:space="preserve">Based solely on information contained in a Schedule 13G filed with the SEC on February 14, 2024 by Sessa Capital (Master), L.P. reporting sole voting power of 0 shares, shared voting power of 6,375,000 shares, sole dispositive power of 0 shares and shared dispositive power of 6,375,000 shares. The address for Sessa Capital (Master), L.P. is 888 Seventh Avenue, 30th Floor, New York, New York 10019.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(4)</w:t>
            </w:r>
          </w:p>
        </w:tc>
        <w:tc>
          <w:tcPr>
            <w:tcW w:w="9947" w:type="dxa"/>
            <w:tcBorders/>
            <w:vAlign w:val="center"/>
          </w:tcPr>
          <w:p>
            <w:pPr>
              <w:pStyle w:val="TableContents"/>
              <w:bidi w:val="0"/>
              <w:spacing w:before="0" w:after="0"/>
              <w:jc w:val="left"/>
              <w:rPr>
                <w:rFonts w:ascii="ARIAL" w:hAnsi="ARIAL"/>
                <w:sz w:val="14"/>
              </w:rPr>
            </w:pPr>
            <w:r>
              <w:rPr>
                <w:rFonts w:ascii="ARIAL" w:hAnsi="ARIAL"/>
                <w:sz w:val="14"/>
              </w:rPr>
              <w:t xml:space="preserve">Based solely on information contained in a Schedule 13D amendment filed with the SEC on February 26, 2024 by Starboard Value LP reporting sole voting power of 6,136,000 shares, shared voting power of 0 shares, sole dispositive power of 6,136,000 shares and shared dispositive power of 0 shares. The address for Starboard Value LP is 777 Third Avenue, 18th Floor, New York, New York 10017.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(5)</w:t>
            </w:r>
          </w:p>
        </w:tc>
        <w:tc>
          <w:tcPr>
            <w:tcW w:w="9904" w:type="dxa"/>
            <w:tcBorders/>
            <w:vAlign w:val="center"/>
          </w:tcPr>
          <w:p>
            <w:pPr>
              <w:pStyle w:val="TableContents"/>
              <w:bidi w:val="0"/>
              <w:spacing w:before="0" w:after="0"/>
              <w:jc w:val="left"/>
              <w:rPr>
                <w:rFonts w:ascii="ARIAL" w:hAnsi="ARIAL"/>
                <w:sz w:val="14"/>
              </w:rPr>
            </w:pPr>
            <w:r>
              <w:rPr>
                <w:rFonts w:ascii="ARIAL" w:hAnsi="ARIAL"/>
                <w:sz w:val="14"/>
              </w:rPr>
              <w:t xml:space="preserve">Includes 47,827 shares of Common Stock. Does not include 457,522 unvested RSUs that do not have voting rights and will not vest within 60 days of March 20,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(6)</w:t>
            </w:r>
          </w:p>
        </w:tc>
        <w:tc>
          <w:tcPr>
            <w:tcW w:w="9904" w:type="dxa"/>
            <w:tcBorders/>
            <w:vAlign w:val="center"/>
          </w:tcPr>
          <w:p>
            <w:pPr>
              <w:pStyle w:val="TableContents"/>
              <w:bidi w:val="0"/>
              <w:spacing w:before="0" w:after="0"/>
              <w:jc w:val="left"/>
              <w:rPr>
                <w:rFonts w:ascii="ARIAL" w:hAnsi="ARIAL"/>
                <w:sz w:val="14"/>
              </w:rPr>
            </w:pPr>
            <w:r>
              <w:rPr>
                <w:rFonts w:ascii="ARIAL" w:hAnsi="ARIAL"/>
                <w:sz w:val="14"/>
              </w:rPr>
              <w:t xml:space="preserve">Includes 20,717 shares of Common Stock. Does not include 86,750 unvested RSUs that do not have voting rights and will not vest within 60 days of March 20,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(7)</w:t>
            </w:r>
          </w:p>
        </w:tc>
        <w:tc>
          <w:tcPr>
            <w:tcW w:w="9904" w:type="dxa"/>
            <w:tcBorders/>
            <w:vAlign w:val="center"/>
          </w:tcPr>
          <w:p>
            <w:pPr>
              <w:pStyle w:val="TableContents"/>
              <w:bidi w:val="0"/>
              <w:spacing w:before="0" w:after="0"/>
              <w:jc w:val="left"/>
              <w:rPr>
                <w:rFonts w:ascii="ARIAL" w:hAnsi="ARIAL"/>
                <w:sz w:val="14"/>
              </w:rPr>
            </w:pPr>
            <w:r>
              <w:rPr>
                <w:rFonts w:ascii="ARIAL" w:hAnsi="ARIAL"/>
                <w:sz w:val="14"/>
              </w:rPr>
              <w:t xml:space="preserve">Includes 18,406 shares of Common Stock. Does not include 87,505 unvested RSUs that do not have voting rights and will not vest within 60 days of March 20, 2024. </w:t>
            </w:r>
          </w:p>
        </w:tc>
      </w:tr>
    </w:tbl>
    <w:p>
      <w:pPr>
        <w:pStyle w:val="TextBody"/>
        <w:bidi w:val="0"/>
        <w:spacing w:before="0" w:after="0"/>
        <w:jc w:val="left"/>
        <w:rPr/>
      </w:pPr>
      <w:r>
        <w:rPr/>
        <w:t> </w:t>
      </w:r>
    </w:p>
    <w:tbl>
      <w:tblPr>
        <w:tblW w:w="7885" w:type="dxa"/>
        <w:jc w:val="left"/>
        <w:tblInd w:w="0" w:type="dxa"/>
        <w:tblLayout w:type="fixed"/>
        <w:tblCellMar>
          <w:top w:w="0" w:type="dxa"/>
          <w:left w:w="0" w:type="dxa"/>
          <w:bottom w:w="0" w:type="dxa"/>
          <w:right w:w="0" w:type="dxa"/>
        </w:tblCellMar>
      </w:tblPr>
      <w:tblGrid>
        <w:gridCol w:w="305"/>
        <w:gridCol w:w="7580"/>
      </w:tblGrid>
      <w:tr>
        <w:trPr/>
        <w:tc>
          <w:tcPr>
            <w:tcW w:w="305" w:type="dxa"/>
            <w:tcBorders/>
            <w:vAlign w:val="center"/>
          </w:tcPr>
          <w:p>
            <w:pPr>
              <w:pStyle w:val="TableContents"/>
              <w:bidi w:val="0"/>
              <w:spacing w:before="0" w:after="283"/>
              <w:jc w:val="left"/>
              <w:rPr/>
            </w:pPr>
            <w:r>
              <w:rPr/>
              <w:t>(8)</w:t>
            </w:r>
          </w:p>
        </w:tc>
        <w:tc>
          <w:tcPr>
            <w:tcW w:w="7580" w:type="dxa"/>
            <w:tcBorders/>
            <w:vAlign w:val="center"/>
          </w:tcPr>
          <w:p>
            <w:pPr>
              <w:pStyle w:val="TableContents"/>
              <w:bidi w:val="0"/>
              <w:spacing w:before="0" w:after="0"/>
              <w:jc w:val="left"/>
              <w:rPr>
                <w:rFonts w:ascii="ARIAL" w:hAnsi="ARIAL"/>
                <w:sz w:val="14"/>
              </w:rPr>
            </w:pPr>
            <w:r>
              <w:rPr>
                <w:rFonts w:ascii="ARIAL" w:hAnsi="ARIAL"/>
                <w:sz w:val="14"/>
              </w:rPr>
              <w:t xml:space="preserve">Does not include 6,354 unvested RSUs that do not have voting rights and will not vest within 60 days of March 20,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2"/>
        <w:gridCol w:w="9903"/>
      </w:tblGrid>
      <w:tr>
        <w:trPr/>
        <w:tc>
          <w:tcPr>
            <w:tcW w:w="302" w:type="dxa"/>
            <w:tcBorders/>
            <w:vAlign w:val="center"/>
          </w:tcPr>
          <w:p>
            <w:pPr>
              <w:pStyle w:val="TableContents"/>
              <w:bidi w:val="0"/>
              <w:spacing w:before="0" w:after="283"/>
              <w:jc w:val="left"/>
              <w:rPr/>
            </w:pPr>
            <w:r>
              <w:rPr/>
              <w:t>(9)</w:t>
            </w:r>
          </w:p>
        </w:tc>
        <w:tc>
          <w:tcPr>
            <w:tcW w:w="9903" w:type="dxa"/>
            <w:tcBorders/>
            <w:vAlign w:val="center"/>
          </w:tcPr>
          <w:p>
            <w:pPr>
              <w:pStyle w:val="TableContents"/>
              <w:bidi w:val="0"/>
              <w:spacing w:before="0" w:after="0"/>
              <w:jc w:val="left"/>
              <w:rPr>
                <w:rFonts w:ascii="ARIAL" w:hAnsi="ARIAL"/>
                <w:sz w:val="14"/>
              </w:rPr>
            </w:pPr>
            <w:r>
              <w:rPr>
                <w:rFonts w:ascii="ARIAL" w:hAnsi="ARIAL"/>
                <w:sz w:val="14"/>
              </w:rPr>
              <w:t xml:space="preserve">Includes 10,996 shares of Common Stock. Does not include 6,354 unvested RSUs that do not have voting rights and will not vest within 60 days of March 20,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0"/>
        <w:gridCol w:w="9795"/>
      </w:tblGrid>
      <w:tr>
        <w:trPr/>
        <w:tc>
          <w:tcPr>
            <w:tcW w:w="410" w:type="dxa"/>
            <w:tcBorders/>
            <w:vAlign w:val="center"/>
          </w:tcPr>
          <w:p>
            <w:pPr>
              <w:pStyle w:val="TableContents"/>
              <w:bidi w:val="0"/>
              <w:spacing w:before="0" w:after="283"/>
              <w:jc w:val="left"/>
              <w:rPr/>
            </w:pPr>
            <w:r>
              <w:rPr/>
              <w:t>(10)</w:t>
            </w:r>
          </w:p>
        </w:tc>
        <w:tc>
          <w:tcPr>
            <w:tcW w:w="9795" w:type="dxa"/>
            <w:tcBorders/>
            <w:vAlign w:val="center"/>
          </w:tcPr>
          <w:p>
            <w:pPr>
              <w:pStyle w:val="TableContents"/>
              <w:bidi w:val="0"/>
              <w:spacing w:before="0" w:after="0"/>
              <w:jc w:val="left"/>
              <w:rPr>
                <w:rFonts w:ascii="ARIAL" w:hAnsi="ARIAL"/>
                <w:sz w:val="14"/>
              </w:rPr>
            </w:pPr>
            <w:r>
              <w:rPr>
                <w:rFonts w:ascii="ARIAL" w:hAnsi="ARIAL"/>
                <w:sz w:val="14"/>
              </w:rPr>
              <w:t xml:space="preserve">Includes zero RSUs which will vest within 60 days of March 20, 2024. Does not include 666,291 unvested RSUs that do not have voting rights and will not vest within 60 days of March 20, 2024. </w:t>
            </w:r>
          </w:p>
        </w:tc>
      </w:tr>
    </w:tbl>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53</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40"/>
        </w:rPr>
      </w:pPr>
      <w:bookmarkStart w:id="54" w:name="toc814840_54"/>
      <w:bookmarkEnd w:id="54"/>
      <w:r>
        <w:rPr>
          <w:rFonts w:ascii="Times New Roman" w:hAnsi="Times New Roman"/>
          <w:sz w:val="40"/>
        </w:rPr>
        <w:t xml:space="preserve">Certain Relationships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120" w:after="0"/>
        <w:jc w:val="left"/>
        <w:rPr>
          <w:rFonts w:ascii="ARIAL" w:hAnsi="ARIAL"/>
          <w:sz w:val="20"/>
        </w:rPr>
      </w:pPr>
      <w:r>
        <w:rPr>
          <w:rFonts w:ascii="ARIAL" w:hAnsi="ARIAL"/>
          <w:sz w:val="20"/>
        </w:rPr>
        <w:t xml:space="preserve">POLICIES AND PROCEDURES FOR RELATED PERSON TRANSACTIONS </w:t>
      </w:r>
    </w:p>
    <w:p>
      <w:pPr>
        <w:pStyle w:val="TextBody"/>
        <w:bidi w:val="0"/>
        <w:spacing w:before="160" w:after="0"/>
        <w:jc w:val="left"/>
        <w:rPr>
          <w:rFonts w:ascii="ARIAL" w:hAnsi="ARIAL"/>
          <w:sz w:val="18"/>
        </w:rPr>
      </w:pPr>
      <w:r>
        <w:rPr>
          <w:rFonts w:ascii="ARIAL" w:hAnsi="ARIAL"/>
          <w:sz w:val="18"/>
        </w:rPr>
        <w:t xml:space="preserve">Our Board has adopted a written related person transactions policy, setting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(including any of our subsidiaries) are, were or will be a participant, where the amount involved exceeds $120,000 in any fiscal year and a related person has, had or will have a direct or indirect material interest, which may include, without limitation, purchases of goods or services by or from the related party or entities in which the related party has a material interest, indebtedness, guarantees of indebtedness and employment by us of a related party. </w:t>
      </w:r>
    </w:p>
    <w:p>
      <w:pPr>
        <w:pStyle w:val="TextBody"/>
        <w:bidi w:val="0"/>
        <w:spacing w:before="160" w:after="0"/>
        <w:jc w:val="left"/>
        <w:rPr>
          <w:rFonts w:ascii="ARIAL" w:hAnsi="ARIAL"/>
          <w:sz w:val="18"/>
        </w:rPr>
      </w:pPr>
      <w:r>
        <w:rPr>
          <w:rFonts w:ascii="ARIAL" w:hAnsi="ARIAL"/>
          <w:sz w:val="18"/>
        </w:rPr>
        <w:t xml:space="preserve">Under the policy, management is required to present to the Audit Committee each proposed related party transaction.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If advance Audit Committee approval of a related party transaction is not feasible, then the transaction may be preliminarily entered into by management upon prior approval by the Chairman of the Audit Committee, subject to ratification of the transaction by the Audit Committee at the Audit Committee’s next regularly scheduled meeting. Any related party transaction must be approved or ratified by the Audit Committee in order to be consummated or continue, as applicable. Management is responsible for updating the Audit Committee as to any material changes to any approved or ratified related party transaction and for providing a status report at least annually of all current related party transactions at a regularly scheduled meeting of the Audit Committee. No director may participate in approval of a related party transaction for which he or she is a related party. </w:t>
      </w:r>
    </w:p>
    <w:p>
      <w:pPr>
        <w:pStyle w:val="TextBody"/>
        <w:bidi w:val="0"/>
        <w:spacing w:before="360" w:after="0"/>
        <w:jc w:val="left"/>
        <w:rPr>
          <w:rFonts w:ascii="ARIAL" w:hAnsi="ARIAL"/>
          <w:b/>
          <w:sz w:val="20"/>
        </w:rPr>
      </w:pPr>
      <w:r>
        <w:rPr>
          <w:rFonts w:ascii="ARIAL" w:hAnsi="ARIAL"/>
          <w:b/>
          <w:sz w:val="20"/>
        </w:rPr>
        <w:t xml:space="preserve">Agreements with Labcorp </w:t>
      </w:r>
    </w:p>
    <w:p>
      <w:pPr>
        <w:pStyle w:val="TextBody"/>
        <w:bidi w:val="0"/>
        <w:spacing w:before="160" w:after="0"/>
        <w:jc w:val="left"/>
        <w:rPr>
          <w:rFonts w:ascii="ARIAL" w:hAnsi="ARIAL"/>
          <w:sz w:val="18"/>
        </w:rPr>
      </w:pPr>
      <w:r>
        <w:rPr>
          <w:rFonts w:ascii="ARIAL" w:hAnsi="ARIAL"/>
          <w:sz w:val="18"/>
        </w:rPr>
        <w:t xml:space="preserve">In order to govern the ongoing relationships between us and Labcorp after the Spin and to facilitate an orderly transition, we and Labcorp entered into the Separation and Distribution Agreement as well as other agreements, including a Transition Services Agreement, a Tax Matters Agreement and an Employee Matters Agreement, which are described on the Company Form 8-K filed with the SEC on July 3, 2023. and forms of which are filed with the SEC as exhibits to the Annual Report on Form 10-K. </w:t>
      </w:r>
    </w:p>
    <w:p>
      <w:pPr>
        <w:pStyle w:val="TextBody"/>
        <w:bidi w:val="0"/>
        <w:spacing w:before="360" w:after="0"/>
        <w:jc w:val="left"/>
        <w:rPr>
          <w:rFonts w:ascii="ARIAL" w:hAnsi="ARIAL"/>
          <w:b/>
          <w:sz w:val="20"/>
        </w:rPr>
      </w:pPr>
      <w:bookmarkStart w:id="55" w:name="toc814840_55"/>
      <w:bookmarkEnd w:id="55"/>
      <w:r>
        <w:rPr>
          <w:rFonts w:ascii="ARIAL" w:hAnsi="ARIAL"/>
          <w:b/>
          <w:sz w:val="20"/>
        </w:rPr>
        <w:t xml:space="preserve">No Delinquent Section 16(a) Reports </w:t>
      </w:r>
    </w:p>
    <w:p>
      <w:pPr>
        <w:pStyle w:val="TextBody"/>
        <w:bidi w:val="0"/>
        <w:spacing w:before="160" w:after="0"/>
        <w:jc w:val="left"/>
        <w:rPr>
          <w:rFonts w:ascii="ARIAL" w:hAnsi="ARIAL"/>
          <w:sz w:val="18"/>
        </w:rPr>
      </w:pPr>
      <w:r>
        <w:rPr>
          <w:rFonts w:ascii="ARIAL" w:hAnsi="ARIAL"/>
          <w:sz w:val="18"/>
        </w:rPr>
        <w:t xml:space="preserve">Section 16(a) of the Exchange Act requires our directors, executive officers and stockholders who beneficially own more than 10% of any class of our equity securities registered pursuant to Section 12 of the Exchange Act (collectively, the “Reporting Persons”) to file initial statements of beneficial ownership of securities and statements of changes in beneficial ownership of securities with respect to our equity securities with the SEC. All Reporting Persons are required by SEC regulation to furnish us with copies of all reports that such Reporting Persons file with the SEC pursuant to Section 16(a). Based solely on our review of the copies of such forms received by us and upon written representations of the Reporting Persons received by us, we believe that there has been compliance with all Section 16(a) filing requirements applicable to such Reporting Persons with respect to the fiscal year ended December 31, 2023. </w:t>
      </w:r>
    </w:p>
    <w:p>
      <w:pPr>
        <w:pStyle w:val="TextBody"/>
        <w:bidi w:val="0"/>
        <w:spacing w:before="360" w:after="0"/>
        <w:jc w:val="left"/>
        <w:rPr>
          <w:rFonts w:ascii="ARIAL" w:hAnsi="ARIAL"/>
          <w:b/>
          <w:sz w:val="20"/>
        </w:rPr>
      </w:pPr>
      <w:bookmarkStart w:id="56" w:name="toc814840_56"/>
      <w:bookmarkEnd w:id="56"/>
      <w:r>
        <w:rPr>
          <w:rFonts w:ascii="ARIAL" w:hAnsi="ARIAL"/>
          <w:b/>
          <w:sz w:val="20"/>
        </w:rPr>
        <w:t xml:space="preserve">Compensation Committee Interlocks and Insider Participation </w:t>
      </w:r>
    </w:p>
    <w:p>
      <w:pPr>
        <w:pStyle w:val="TextBody"/>
        <w:bidi w:val="0"/>
        <w:spacing w:before="160" w:after="0"/>
        <w:jc w:val="left"/>
        <w:rPr>
          <w:rFonts w:ascii="ARIAL" w:hAnsi="ARIAL"/>
          <w:sz w:val="18"/>
        </w:rPr>
      </w:pPr>
      <w:r>
        <w:rPr>
          <w:rFonts w:ascii="ARIAL" w:hAnsi="ARIAL"/>
          <w:sz w:val="18"/>
        </w:rPr>
        <w:t xml:space="preserve">During the fiscal year ended December 31, 2023, R. Andrew Eckert, Betty Larson, Edward Pesicka, and David Smith served as members of the Fortrea MDCC. No current member of the Fortrea MDCC is or has been our current or former officer or employee. None of our executive officers served as a director or a member of a compensation committee (or other committee serving an equivalent function) of any other entity, one of whose executive officers served as a director or member of the Fortrea MDCC during the fiscal year ended December 31, 2023. </w:t>
      </w:r>
    </w:p>
    <w:p>
      <w:pPr>
        <w:pStyle w:val="TextBody"/>
        <w:bidi w:val="0"/>
        <w:spacing w:before="360" w:after="0"/>
        <w:jc w:val="left"/>
        <w:rPr>
          <w:rFonts w:ascii="ARIAL" w:hAnsi="ARIAL"/>
          <w:b/>
          <w:sz w:val="20"/>
        </w:rPr>
      </w:pPr>
      <w:bookmarkStart w:id="57" w:name="toc814840_57"/>
      <w:bookmarkEnd w:id="57"/>
      <w:r>
        <w:rPr>
          <w:rFonts w:ascii="ARIAL" w:hAnsi="ARIAL"/>
          <w:b/>
          <w:sz w:val="20"/>
        </w:rPr>
        <w:t xml:space="preserve">Stockholder Proposals </w:t>
      </w:r>
    </w:p>
    <w:p>
      <w:pPr>
        <w:pStyle w:val="TextBody"/>
        <w:bidi w:val="0"/>
        <w:spacing w:before="160" w:after="0"/>
        <w:jc w:val="left"/>
        <w:rPr>
          <w:rFonts w:ascii="ARIAL" w:hAnsi="ARIAL"/>
          <w:sz w:val="18"/>
        </w:rPr>
      </w:pPr>
      <w:r>
        <w:rPr>
          <w:rFonts w:ascii="ARIAL" w:hAnsi="ARIAL"/>
          <w:sz w:val="18"/>
        </w:rPr>
        <w:t xml:space="preserve">Stockholders who intend to have a proposal considered for inclusion in our proxy materials for presentation at our 2025 Annual Meeting pursuant to Rule 14a-8 under the Exchange Act must submit the proposal to our Corporate Secretary at our offices at 8 Moore Drive, Durham, North Carolina 27709 in writing not later than November 28, 2024.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54</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right"/>
        <w:rPr>
          <w:rFonts w:ascii="Times New Roman" w:hAnsi="Times New Roman"/>
          <w:b/>
          <w:sz w:val="24"/>
        </w:rPr>
      </w:pPr>
      <w:r>
        <w:rPr>
          <w:rFonts w:ascii="Times New Roman" w:hAnsi="Times New Roman"/>
          <w:b/>
          <w:sz w:val="24"/>
        </w:rPr>
        <w:t xml:space="preserve">CERTAIN RELATIONSHIPS </w:t>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Stockholders intending to present a proposal at the 2025 Annual Meeting, but not to include the proposal in our proxy statement, or to nominate a person for election as a director, must comply with the requirements set forth in our Amended and Restated Bylaws. Our Bylaws require, among other things, that our Corporate Secretary receive written notice from the stockholder of record of their intent to present such proposal or nomination not earlier than the close of business on the 120th day and not later than the close of business on the 90th day prior to the anniversary of the preceding year’s annual meeting. Therefore, we must receive notice of such a proposal or nomination for the 2025 Annual Meeting no earlier than the close of business on January 14, 2025 and no later than the close of business on February 13, 2025. </w:t>
      </w:r>
    </w:p>
    <w:p>
      <w:pPr>
        <w:pStyle w:val="TextBody"/>
        <w:bidi w:val="0"/>
        <w:spacing w:before="160" w:after="0"/>
        <w:jc w:val="left"/>
        <w:rPr>
          <w:rFonts w:ascii="ARIAL" w:hAnsi="ARIAL"/>
          <w:sz w:val="18"/>
        </w:rPr>
      </w:pPr>
      <w:r>
        <w:rPr>
          <w:rFonts w:ascii="ARIAL" w:hAnsi="ARIAL"/>
          <w:sz w:val="18"/>
        </w:rPr>
        <w:t xml:space="preserve">The notice must contain the information required by the Bylaws, a copy of which is available upon request to our Corporate Secretary. In the event that the date of the 2025 Annual Meeting is more than 30 days before or more than 30 days after May 14, 2025, then our Corporate Secretary must receive such written notice not earlier than the close of business on the 120th day prior to the 2025 Annual Meeting and not later than the close of business on the 90th day prior to the 2025 Annual Meeting or, if later, the 10th day following the day on which public disclosure of the date of such meeting is first made by the Company. SEC rules permit management to vote proxies in its discretion in certain cases if the stockholder does not comply with this deadline and, in certain other cases notwithstanding the stockholder’s compliance with this deadline. In addition, in order to comply with the universal proxy rules, stockholders who intend to solicit proxies for the 2025 Annual Meeting in support of director nominees other than Fortrea’s nominees must provide notice to Fortrea that sets forth the information required by Exchange Act Rule 14a-19 not later than March 15, 2025. </w:t>
      </w:r>
    </w:p>
    <w:p>
      <w:pPr>
        <w:pStyle w:val="TextBody"/>
        <w:bidi w:val="0"/>
        <w:spacing w:before="160" w:after="0"/>
        <w:jc w:val="left"/>
        <w:rPr>
          <w:rFonts w:ascii="ARIAL" w:hAnsi="ARIAL"/>
          <w:sz w:val="18"/>
        </w:rPr>
      </w:pPr>
      <w:r>
        <w:rPr>
          <w:rFonts w:ascii="ARIAL" w:hAnsi="ARIAL"/>
          <w:sz w:val="18"/>
        </w:rPr>
        <w:t xml:space="preserve">We reserve the right to reject, rule out of order, or take other appropriate action with respect to any proposal that does not comply with these or other applicable requirements. </w:t>
      </w:r>
    </w:p>
    <w:p>
      <w:pPr>
        <w:pStyle w:val="TextBody"/>
        <w:bidi w:val="0"/>
        <w:spacing w:before="360" w:after="0"/>
        <w:jc w:val="left"/>
        <w:rPr>
          <w:rFonts w:ascii="ARIAL" w:hAnsi="ARIAL"/>
          <w:b/>
          <w:sz w:val="20"/>
        </w:rPr>
      </w:pPr>
      <w:bookmarkStart w:id="58" w:name="toc814840_58"/>
      <w:bookmarkEnd w:id="58"/>
      <w:r>
        <w:rPr>
          <w:rFonts w:ascii="ARIAL" w:hAnsi="ARIAL"/>
          <w:b/>
          <w:sz w:val="20"/>
        </w:rPr>
        <w:t xml:space="preserve">Other Matters </w:t>
      </w:r>
    </w:p>
    <w:p>
      <w:pPr>
        <w:pStyle w:val="TextBody"/>
        <w:bidi w:val="0"/>
        <w:spacing w:before="160" w:after="0"/>
        <w:jc w:val="left"/>
        <w:rPr>
          <w:rFonts w:ascii="ARIAL" w:hAnsi="ARIAL"/>
          <w:sz w:val="18"/>
        </w:rPr>
      </w:pPr>
      <w:r>
        <w:rPr>
          <w:rFonts w:ascii="ARIAL" w:hAnsi="ARIAL"/>
          <w:sz w:val="18"/>
        </w:rPr>
        <w:t xml:space="preserve">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named on the Company’s proxy card will vote thereon in their discretion. </w:t>
      </w:r>
    </w:p>
    <w:p>
      <w:pPr>
        <w:pStyle w:val="TextBody"/>
        <w:bidi w:val="0"/>
        <w:spacing w:before="360" w:after="0"/>
        <w:jc w:val="left"/>
        <w:rPr>
          <w:rFonts w:ascii="ARIAL" w:hAnsi="ARIAL"/>
          <w:b/>
          <w:sz w:val="20"/>
        </w:rPr>
      </w:pPr>
      <w:bookmarkStart w:id="59" w:name="toc814840_59"/>
      <w:bookmarkEnd w:id="59"/>
      <w:r>
        <w:rPr>
          <w:rFonts w:ascii="ARIAL" w:hAnsi="ARIAL"/>
          <w:b/>
          <w:sz w:val="20"/>
        </w:rPr>
        <w:t xml:space="preserve">Solicitation of Proxies </w:t>
      </w:r>
    </w:p>
    <w:p>
      <w:pPr>
        <w:pStyle w:val="TextBody"/>
        <w:bidi w:val="0"/>
        <w:spacing w:before="160" w:after="0"/>
        <w:jc w:val="left"/>
        <w:rPr>
          <w:rFonts w:ascii="ARIAL" w:hAnsi="ARIAL"/>
          <w:sz w:val="18"/>
        </w:rPr>
      </w:pPr>
      <w:r>
        <w:rPr>
          <w:rFonts w:ascii="ARIAL" w:hAnsi="ARIAL"/>
          <w:sz w:val="18"/>
        </w:rPr>
        <w:t xml:space="preserve">The accompanying proxy is solicited by and on behalf of our Board, whose Notice of Annual Meeting is attached to this proxy statement, and the entire cost of such solicitation will be borne by us. In addition to the use of mail, proxies may be solicited by personal interview, telephone, e-mail and facsimile by our directors, officers and other employees who will not be specially compensated for these services. We will also request that brokers, nominees, custodians and other fiduciaries forward soliciting materials to the beneficial owners of shares held by such brokers, nominees, custodians and other fiduciaries. We will reimburse such persons for their reasonable expenses in connection therewith. </w:t>
      </w:r>
    </w:p>
    <w:p>
      <w:pPr>
        <w:pStyle w:val="TextBody"/>
        <w:bidi w:val="0"/>
        <w:spacing w:before="160" w:after="0"/>
        <w:jc w:val="left"/>
        <w:rPr>
          <w:rFonts w:ascii="ARIAL" w:hAnsi="ARIAL"/>
          <w:sz w:val="18"/>
        </w:rPr>
      </w:pPr>
      <w:r>
        <w:rPr>
          <w:rFonts w:ascii="ARIAL" w:hAnsi="ARIAL"/>
          <w:sz w:val="18"/>
        </w:rPr>
        <w:t xml:space="preserve">Certain information contained in this proxy statement relating to the occupations and security holdings of our directors and officers is based upon information received from the individual directors and officers.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55</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left"/>
        <w:rPr>
          <w:rFonts w:ascii="Times New Roman" w:hAnsi="Times New Roman"/>
          <w:sz w:val="40"/>
        </w:rPr>
      </w:pPr>
      <w:bookmarkStart w:id="60" w:name="toc814840_60"/>
      <w:bookmarkEnd w:id="60"/>
      <w:r>
        <w:rPr>
          <w:rFonts w:ascii="Times New Roman" w:hAnsi="Times New Roman"/>
          <w:sz w:val="40"/>
        </w:rPr>
        <w:t xml:space="preserve">Fortrea’s Annual Report on Form 10-K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120" w:after="0"/>
        <w:jc w:val="left"/>
        <w:rPr>
          <w:rFonts w:ascii="ARIAL" w:hAnsi="ARIAL"/>
          <w:sz w:val="18"/>
        </w:rPr>
      </w:pPr>
      <w:r>
        <w:rPr>
          <w:rFonts w:ascii="ARIAL" w:hAnsi="ARIAL"/>
          <w:sz w:val="18"/>
        </w:rPr>
        <w:t xml:space="preserve">A copy of Fortrea’s Annual Report on Form 10-K for the fiscal year ended December 31, 2023, including financial statements and schedules thereto but not including exhibits, as filed with the SEC, will be sent to any stockholder of record on March 20, 2024 without charge upon written request addressed to: </w:t>
      </w:r>
    </w:p>
    <w:p>
      <w:pPr>
        <w:pStyle w:val="TextBody"/>
        <w:bidi w:val="0"/>
        <w:spacing w:before="160" w:after="0"/>
        <w:jc w:val="left"/>
        <w:rPr>
          <w:rFonts w:ascii="ARIAL" w:hAnsi="ARIAL"/>
          <w:sz w:val="18"/>
        </w:rPr>
      </w:pPr>
      <w:r>
        <w:rPr>
          <w:rFonts w:ascii="ARIAL" w:hAnsi="ARIAL"/>
          <w:sz w:val="18"/>
        </w:rPr>
        <w:t xml:space="preserve">Fortrea Holdings Inc. </w:t>
      </w:r>
    </w:p>
    <w:p>
      <w:pPr>
        <w:pStyle w:val="TextBody"/>
        <w:bidi w:val="0"/>
        <w:spacing w:before="0" w:after="0"/>
        <w:jc w:val="left"/>
        <w:rPr>
          <w:rFonts w:ascii="ARIAL" w:hAnsi="ARIAL"/>
          <w:sz w:val="18"/>
        </w:rPr>
      </w:pPr>
      <w:r>
        <w:rPr>
          <w:rFonts w:ascii="ARIAL" w:hAnsi="ARIAL"/>
          <w:sz w:val="18"/>
        </w:rPr>
        <w:t xml:space="preserve">Attention: Corporate Secretary </w:t>
      </w:r>
    </w:p>
    <w:p>
      <w:pPr>
        <w:pStyle w:val="TextBody"/>
        <w:bidi w:val="0"/>
        <w:spacing w:before="0" w:after="0"/>
        <w:jc w:val="left"/>
        <w:rPr>
          <w:rFonts w:ascii="ARIAL" w:hAnsi="ARIAL"/>
          <w:sz w:val="18"/>
        </w:rPr>
      </w:pPr>
      <w:r>
        <w:rPr>
          <w:rFonts w:ascii="ARIAL" w:hAnsi="ARIAL"/>
          <w:sz w:val="18"/>
        </w:rPr>
        <w:t xml:space="preserve">8 Moore Drive </w:t>
      </w:r>
    </w:p>
    <w:p>
      <w:pPr>
        <w:pStyle w:val="TextBody"/>
        <w:bidi w:val="0"/>
        <w:spacing w:before="0" w:after="0"/>
        <w:jc w:val="left"/>
        <w:rPr>
          <w:rFonts w:ascii="ARIAL" w:hAnsi="ARIAL"/>
          <w:sz w:val="18"/>
        </w:rPr>
      </w:pPr>
      <w:r>
        <w:rPr>
          <w:rFonts w:ascii="ARIAL" w:hAnsi="ARIAL"/>
          <w:sz w:val="18"/>
        </w:rPr>
        <w:t xml:space="preserve">Durham, North Carolina 27709 </w:t>
      </w:r>
    </w:p>
    <w:p>
      <w:pPr>
        <w:pStyle w:val="TextBody"/>
        <w:bidi w:val="0"/>
        <w:spacing w:before="160" w:after="0"/>
        <w:jc w:val="left"/>
        <w:rPr>
          <w:rFonts w:ascii="ARIAL" w:hAnsi="ARIAL"/>
          <w:sz w:val="18"/>
        </w:rPr>
      </w:pPr>
      <w:r>
        <w:rPr>
          <w:rFonts w:ascii="ARIAL" w:hAnsi="ARIAL"/>
          <w:sz w:val="18"/>
        </w:rPr>
        <w:t xml:space="preserve">A reasonable fee will be charged for copies of exhibits. You also may access this proxy statement and our Annual Report on Form 10-K at </w:t>
      </w:r>
      <w:r>
        <w:rPr>
          <w:rFonts w:ascii="ARIAL" w:hAnsi="ARIAL"/>
          <w:i/>
          <w:sz w:val="18"/>
        </w:rPr>
        <w:t>www.proxyvote.com</w:t>
      </w:r>
      <w:r>
        <w:rPr>
          <w:rFonts w:ascii="ARIAL" w:hAnsi="ARIAL"/>
          <w:sz w:val="18"/>
        </w:rPr>
        <w:t xml:space="preserve">. You also may access our Annual Report on Form 10-K for the year ended December 31, 2023 at </w:t>
      </w:r>
      <w:r>
        <w:rPr>
          <w:rFonts w:ascii="ARIAL" w:hAnsi="ARIAL"/>
          <w:i/>
          <w:sz w:val="18"/>
        </w:rPr>
        <w:t>www.fortrea.com.</w:t>
      </w:r>
      <w:r>
        <w:rPr>
          <w:rFonts w:ascii="ARIAL" w:hAnsi="ARIAL"/>
          <w:sz w:val="18"/>
        </w:rPr>
        <w:t xml:space="preserve"> </w:t>
      </w:r>
    </w:p>
    <w:p>
      <w:pPr>
        <w:pStyle w:val="TextBody"/>
        <w:bidi w:val="0"/>
        <w:spacing w:before="160" w:after="0"/>
        <w:jc w:val="left"/>
        <w:rPr>
          <w:rFonts w:ascii="ARIAL" w:hAnsi="ARIAL"/>
          <w:b/>
          <w:sz w:val="18"/>
        </w:rPr>
      </w:pPr>
      <w:r>
        <w:rPr>
          <w:rFonts w:ascii="ARIAL" w:hAnsi="ARIAL"/>
          <w:b/>
          <w:sz w:val="18"/>
        </w:rPr>
        <w:t xml:space="preserve">WHETHER OR NOT YOU PLAN TO ATTEND THE ANNUAL MEETING, WE URGE YOU TO VOTE YOUR SHARES VIA THE TOLL-FREE TELEPHONE NUMBER OR OVER THE INTERNET, AS DESCRIBED IN THIS PROXY STATEMENT. IF YOU RECEIVED A COPY OF THE PROXY CARD BY MAIL, YOU MAY SIGN, DATE AND MAIL THE PROXY CARD IN THE ENCLOSED RETURN POSTAGE-PAID ENVELOPE. PROMPTLY VOTING YOUR SHARES WILL ENSURE THE PRESENCE OF A QUORUM AT THE ANNUAL MEETING AND WILL SAVE US THE EXPENSE OF FURTHER SOLICITATION. </w:t>
      </w:r>
    </w:p>
    <w:p>
      <w:pPr>
        <w:pStyle w:val="TextBody"/>
        <w:bidi w:val="0"/>
        <w:spacing w:before="160" w:after="0"/>
        <w:jc w:val="left"/>
        <w:rPr>
          <w:rFonts w:ascii="ARIAL" w:hAnsi="ARIAL"/>
          <w:sz w:val="18"/>
        </w:rPr>
      </w:pPr>
      <w:r>
        <w:rPr>
          <w:rFonts w:ascii="ARIAL" w:hAnsi="ARIAL"/>
          <w:sz w:val="18"/>
        </w:rPr>
        <w:t xml:space="preserve">By Order of the Board of Directors </w:t>
      </w:r>
    </w:p>
    <w:p>
      <w:pPr>
        <w:pStyle w:val="TextBody"/>
        <w:bidi w:val="0"/>
        <w:spacing w:before="0" w:after="0"/>
        <w:jc w:val="left"/>
        <w:rPr/>
      </w:pPr>
      <w:r>
        <w:rPr/>
        <w:drawing>
          <wp:inline distT="0" distB="0" distL="0" distR="0">
            <wp:extent cx="120015" cy="24765"/>
            <wp:effectExtent l="0" t="0" r="0" b="0"/>
            <wp:docPr id="34"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2" descr=""/>
                    <pic:cNvPicPr>
                      <a:picLocks noChangeAspect="1" noChangeArrowheads="1"/>
                    </pic:cNvPicPr>
                  </pic:nvPicPr>
                  <pic:blipFill>
                    <a:blip r:embed="rId29"/>
                    <a:stretch>
                      <a:fillRect/>
                    </a:stretch>
                  </pic:blipFill>
                  <pic:spPr bwMode="auto">
                    <a:xfrm>
                      <a:off x="0" y="0"/>
                      <a:ext cx="120015" cy="24765"/>
                    </a:xfrm>
                    <a:prstGeom prst="rect">
                      <a:avLst/>
                    </a:prstGeom>
                  </pic:spPr>
                </pic:pic>
              </a:graphicData>
            </a:graphic>
          </wp:inline>
        </w:drawing>
      </w:r>
      <w:r>
        <w:rPr/>
        <w:t xml:space="preserve"> </w:t>
      </w:r>
    </w:p>
    <w:p>
      <w:pPr>
        <w:pStyle w:val="TextBody"/>
        <w:bidi w:val="0"/>
        <w:spacing w:before="160" w:after="0"/>
        <w:jc w:val="left"/>
        <w:rPr>
          <w:rFonts w:ascii="ARIAL" w:hAnsi="ARIAL"/>
          <w:sz w:val="18"/>
        </w:rPr>
      </w:pPr>
      <w:r>
        <w:rPr>
          <w:rFonts w:ascii="ARIAL" w:hAnsi="ARIAL"/>
          <w:sz w:val="18"/>
        </w:rPr>
        <w:t xml:space="preserve">Stillman Hanson, </w:t>
      </w:r>
    </w:p>
    <w:p>
      <w:pPr>
        <w:pStyle w:val="TextBody"/>
        <w:bidi w:val="0"/>
        <w:spacing w:before="0" w:after="0"/>
        <w:jc w:val="left"/>
        <w:rPr>
          <w:rFonts w:ascii="ARIAL" w:hAnsi="ARIAL"/>
          <w:sz w:val="18"/>
        </w:rPr>
      </w:pPr>
      <w:r>
        <w:rPr>
          <w:rFonts w:ascii="ARIAL" w:hAnsi="ARIAL"/>
          <w:sz w:val="18"/>
        </w:rPr>
        <w:t xml:space="preserve">General Counsel and Corporate Secretary </w:t>
      </w:r>
    </w:p>
    <w:p>
      <w:pPr>
        <w:pStyle w:val="TextBody"/>
        <w:bidi w:val="0"/>
        <w:spacing w:before="0" w:after="0"/>
        <w:jc w:val="left"/>
        <w:rPr>
          <w:rFonts w:ascii="ARIAL" w:hAnsi="ARIAL"/>
          <w:sz w:val="18"/>
        </w:rPr>
      </w:pPr>
      <w:r>
        <w:rPr>
          <w:rFonts w:ascii="ARIAL" w:hAnsi="ARIAL"/>
          <w:sz w:val="18"/>
        </w:rPr>
        <w:t xml:space="preserve">Durham, North Carolina </w:t>
      </w:r>
    </w:p>
    <w:p>
      <w:pPr>
        <w:pStyle w:val="TextBody"/>
        <w:bidi w:val="0"/>
        <w:spacing w:before="0" w:after="0"/>
        <w:jc w:val="left"/>
        <w:rPr>
          <w:rFonts w:ascii="ARIAL" w:hAnsi="ARIAL"/>
          <w:sz w:val="18"/>
        </w:rPr>
      </w:pPr>
      <w:r>
        <w:rPr>
          <w:rFonts w:ascii="ARIAL" w:hAnsi="ARIAL"/>
          <w:sz w:val="18"/>
        </w:rPr>
        <w:t xml:space="preserve">March 28, 2024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56</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center"/>
        <w:rPr>
          <w:rFonts w:ascii="Times New Roman" w:hAnsi="Times New Roman"/>
          <w:b/>
          <w:sz w:val="18"/>
        </w:rPr>
      </w:pPr>
      <w:bookmarkStart w:id="61" w:name="toc814840_61"/>
      <w:bookmarkEnd w:id="61"/>
      <w:r>
        <w:rPr>
          <w:rFonts w:ascii="Times New Roman" w:hAnsi="Times New Roman"/>
          <w:b/>
          <w:sz w:val="18"/>
        </w:rPr>
        <w:t xml:space="preserve">APPENDIX A </w:t>
      </w:r>
    </w:p>
    <w:p>
      <w:pPr>
        <w:pStyle w:val="TextBody"/>
        <w:bidi w:val="0"/>
        <w:spacing w:before="0" w:after="0"/>
        <w:jc w:val="center"/>
        <w:rPr>
          <w:rFonts w:ascii="Times New Roman" w:hAnsi="Times New Roman"/>
          <w:b/>
          <w:sz w:val="18"/>
        </w:rPr>
      </w:pPr>
      <w:r>
        <w:rPr>
          <w:rFonts w:ascii="Times New Roman" w:hAnsi="Times New Roman"/>
          <w:b/>
          <w:sz w:val="18"/>
        </w:rPr>
        <w:t xml:space="preserve">SUPPLEMENTAL NON-GAAP FINANCIAL INFORMATION USED IN </w:t>
      </w:r>
    </w:p>
    <w:p>
      <w:pPr>
        <w:pStyle w:val="TextBody"/>
        <w:bidi w:val="0"/>
        <w:spacing w:before="0" w:after="0"/>
        <w:jc w:val="center"/>
        <w:rPr>
          <w:rFonts w:ascii="Times New Roman" w:hAnsi="Times New Roman"/>
          <w:b/>
          <w:sz w:val="18"/>
        </w:rPr>
      </w:pPr>
      <w:r>
        <w:rPr>
          <w:rFonts w:ascii="Times New Roman" w:hAnsi="Times New Roman"/>
          <w:b/>
          <w:sz w:val="18"/>
        </w:rPr>
        <w:t xml:space="preserve">COMPENSATION PERFORMANCE METRICS </w:t>
      </w:r>
    </w:p>
    <w:p>
      <w:pPr>
        <w:pStyle w:val="TextBody"/>
        <w:bidi w:val="0"/>
        <w:spacing w:before="160" w:after="0"/>
        <w:jc w:val="left"/>
        <w:rPr>
          <w:rFonts w:ascii="ARIAL" w:hAnsi="ARIAL"/>
          <w:sz w:val="18"/>
        </w:rPr>
      </w:pPr>
      <w:r>
        <w:rPr>
          <w:rFonts w:ascii="ARIAL" w:hAnsi="ARIAL"/>
          <w:sz w:val="18"/>
        </w:rPr>
        <w:t xml:space="preserve">Our consolidated financial statements are prepared and presented in accordance with generally accepted accounting principles in the United States (“GAAP”). The Executive Compensation section of the Proxy Statement, including the “Compensation Discussion and Analysis” and “Pay Versus Performance” subsections, contains references to certain financial measures that are not presented in accordance with GAAP, including Adjusted EBITDA. These non-GAAP financial measures are not based on any comprehensive set of accounting rules or principles and should be considered in addition to, and not as a substitute for or superior to, net income (loss) as a measure of financial performance or any other performance measure derived in accordance with GAAP, and should not be construed as an inference that our future results will be unaffected by unusual or non-recurring items. In addition, these non-GAAP financial measures should be read in conjunction with the Company’s financial statements prepared in accordance with GAAP. The reconciliations of the Company’s non-GAAP financial measures to the corresponding GAAP measures should be carefully evaluated. You are encouraged to evaluate these adjustments and the reasons we consider them appropriate for supplemental analysis. In evaluating the non-GAAP financial measures, you should be aware that, in the future, we may incur expenses that are the same as or similar to some of the adjustments in our presentation of our non-GAAP financial measures. There can be no assurance that we will not modify the presentation of non-GAAP financial measures in future periods, and any such modification may be material. In addition, our non-GAAP financial measures may not be comparable to similarly titled measures used by other companies in our industry or across different industries. </w:t>
      </w:r>
    </w:p>
    <w:p>
      <w:pPr>
        <w:pStyle w:val="TextBody"/>
        <w:bidi w:val="0"/>
        <w:spacing w:before="160" w:after="0"/>
        <w:jc w:val="left"/>
        <w:rPr>
          <w:rFonts w:ascii="ARIAL" w:hAnsi="ARIAL"/>
          <w:sz w:val="18"/>
        </w:rPr>
      </w:pPr>
      <w:r>
        <w:rPr>
          <w:rFonts w:ascii="ARIAL" w:hAnsi="ARIAL"/>
          <w:sz w:val="18"/>
        </w:rPr>
        <w:t xml:space="preserve">We consider Adjusted EBITDA in assessing the performance of our business and comparing our operating performance across reporting periods on a consistent basis by excluding items from the calculation of net income that management does not believe are indicative of our ongoing operating performance. We also use Adjusted EBITDA as a compensation performance measure. </w:t>
      </w:r>
    </w:p>
    <w:p>
      <w:pPr>
        <w:pStyle w:val="TextBody"/>
        <w:bidi w:val="0"/>
        <w:spacing w:before="160" w:after="0"/>
        <w:jc w:val="left"/>
        <w:rPr>
          <w:rFonts w:ascii="ARIAL" w:hAnsi="ARIAL"/>
          <w:sz w:val="18"/>
        </w:rPr>
      </w:pPr>
      <w:r>
        <w:rPr>
          <w:rFonts w:ascii="ARIAL" w:hAnsi="ARIAL"/>
          <w:sz w:val="18"/>
        </w:rPr>
        <w:t xml:space="preserve">In calculating EBITDA, the Company excludes from the calculation of net income, among other things, all the amortization of intangible assets associated with acquired customer relationships and backlog, databases, non-compete agreements and trademarks, trade names and other from non-GAAP expense and income measures as such amounts can be significantly impacted by the timing and size of acquisitions. Although the Company excludes amortization of acquired intangible assets from the Company’s non-GAAP expenses, the Company believes that it is important for investors to understand that revenue generated from such intangibles is included within revenue in determining net income attributable to the Company. </w:t>
      </w:r>
    </w:p>
    <w:p>
      <w:pPr>
        <w:pStyle w:val="TextBody"/>
        <w:bidi w:val="0"/>
        <w:spacing w:before="160" w:after="0"/>
        <w:jc w:val="left"/>
        <w:rPr>
          <w:rFonts w:ascii="ARIAL" w:hAnsi="ARIAL"/>
          <w:sz w:val="18"/>
        </w:rPr>
      </w:pPr>
      <w:r>
        <w:rPr>
          <w:rFonts w:ascii="ARIAL" w:hAnsi="ARIAL"/>
          <w:sz w:val="18"/>
        </w:rPr>
        <w:t xml:space="preserve">In calculating Adjusted EBITDA, the Company excludes from the calculation of EBITDA, among other things, all of the stock-based compensation expense, as determining the fair value of the stock-based instruments involves a high degree of judgment and estimation and the expenses recorded may bear little resemblance to the actual value realized upon the future exercise or termination of the related stock-based awards. Therefore, we believe it is useful to exclude stock-based compensation in order to better understand the long-term performance of our core business. Similarly, the amount of one-time Spin-related costs incurred were excluded as these Spin-related costs are one-time matters that are not a representative component of the day-to-day operating performance of our business.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right"/>
        <w:rPr>
          <w:rFonts w:ascii="ARIAL" w:hAnsi="ARIAL"/>
          <w:sz w:val="14"/>
        </w:rPr>
      </w:pPr>
      <w:r>
        <w:rPr>
          <w:rFonts w:ascii="ARIAL" w:hAnsi="ARIAL"/>
          <w:sz w:val="14"/>
        </w:rPr>
        <w:t>FORTREA • 2024 Proxy Statement </w:t>
      </w:r>
      <w:r>
        <w:rPr>
          <w:rFonts w:ascii="ARIAL" w:hAnsi="ARIAL"/>
          <w:b/>
          <w:color w:val="0BC11C"/>
          <w:sz w:val="16"/>
        </w:rPr>
        <w:t>57</w:t>
      </w:r>
      <w:r>
        <w:rPr>
          <w:rFonts w:ascii="ARIAL" w:hAnsi="ARIAL"/>
          <w:sz w:val="14"/>
        </w:rPr>
        <w:t xml:space="preserve"> </w:t>
      </w:r>
      <w:r>
        <w:br w:type="page"/>
      </w:r>
    </w:p>
    <w:p>
      <w:pPr>
        <w:pStyle w:val="HorizontalLine"/>
        <w:bidi w:val="0"/>
        <w:jc w:val="left"/>
        <w:rPr/>
      </w:pPr>
      <w:r>
        <w:rPr/>
      </w:r>
    </w:p>
    <w:p>
      <w:pPr>
        <w:pStyle w:val="TextBody"/>
        <w:bidi w:val="0"/>
        <w:spacing w:before="0" w:after="0"/>
        <w:jc w:val="left"/>
        <w:rPr/>
      </w:pPr>
      <w:r>
        <w:rPr/>
        <w:t> </w:t>
      </w:r>
    </w:p>
    <w:p>
      <w:pPr>
        <w:pStyle w:val="TextBody"/>
        <w:bidi w:val="0"/>
        <w:spacing w:before="0" w:after="0"/>
        <w:jc w:val="left"/>
        <w:rPr>
          <w:rFonts w:ascii="ARIAL" w:hAnsi="ARIAL"/>
          <w:sz w:val="18"/>
        </w:rPr>
      </w:pPr>
      <w:r>
        <w:rPr>
          <w:rFonts w:ascii="ARIAL" w:hAnsi="ARIAL"/>
          <w:sz w:val="18"/>
        </w:rPr>
        <w:t xml:space="preserve">The following table provides a reconciliation of net income (loss), the most directly comparable GAAP measure, to Adjusted EBITDA: </w:t>
      </w:r>
    </w:p>
    <w:p>
      <w:pPr>
        <w:pStyle w:val="TextBody"/>
        <w:bidi w:val="0"/>
        <w:spacing w:before="240" w:after="0"/>
        <w:jc w:val="center"/>
        <w:rPr>
          <w:rFonts w:ascii="ARIAL" w:hAnsi="ARIAL"/>
          <w:b/>
          <w:sz w:val="18"/>
        </w:rPr>
      </w:pPr>
      <w:r>
        <w:rPr>
          <w:rFonts w:ascii="ARIAL" w:hAnsi="ARIAL"/>
          <w:b/>
          <w:sz w:val="18"/>
        </w:rPr>
        <w:t xml:space="preserve">RECONCILIATION OF NON-GAAP MEASURES </w:t>
      </w:r>
    </w:p>
    <w:p>
      <w:pPr>
        <w:pStyle w:val="TextBody"/>
        <w:bidi w:val="0"/>
        <w:spacing w:before="240" w:after="0"/>
        <w:jc w:val="center"/>
        <w:rPr>
          <w:rFonts w:ascii="ARIAL" w:hAnsi="ARIAL"/>
          <w:b/>
          <w:sz w:val="18"/>
        </w:rPr>
      </w:pPr>
      <w:r>
        <w:rPr>
          <w:rFonts w:ascii="ARIAL" w:hAnsi="ARIAL"/>
          <w:b/>
          <w:sz w:val="18"/>
        </w:rPr>
        <w:t xml:space="preserve">FORTREA HOLDINGS, INC. </w:t>
      </w:r>
    </w:p>
    <w:p>
      <w:pPr>
        <w:pStyle w:val="TextBody"/>
        <w:bidi w:val="0"/>
        <w:spacing w:before="0" w:after="0"/>
        <w:jc w:val="center"/>
        <w:rPr>
          <w:rFonts w:ascii="ARIAL" w:hAnsi="ARIAL"/>
          <w:b/>
          <w:sz w:val="18"/>
        </w:rPr>
      </w:pPr>
      <w:r>
        <w:rPr>
          <w:rFonts w:ascii="ARIAL" w:hAnsi="ARIAL"/>
          <w:b/>
          <w:sz w:val="18"/>
        </w:rPr>
        <w:t xml:space="preserve">NET INCOME TO ADJUSTED EBITDA RECONCILIATION </w:t>
      </w:r>
    </w:p>
    <w:p>
      <w:pPr>
        <w:pStyle w:val="TextBody"/>
        <w:bidi w:val="0"/>
        <w:spacing w:before="0" w:after="0"/>
        <w:jc w:val="center"/>
        <w:rPr>
          <w:rFonts w:ascii="ARIAL" w:hAnsi="ARIAL"/>
          <w:b/>
          <w:sz w:val="18"/>
        </w:rPr>
      </w:pPr>
      <w:r>
        <w:rPr>
          <w:rFonts w:ascii="ARIAL" w:hAnsi="ARIAL"/>
          <w:b/>
          <w:sz w:val="18"/>
        </w:rPr>
        <w:t xml:space="preserve">(in millions) </w:t>
      </w:r>
    </w:p>
    <w:p>
      <w:pPr>
        <w:pStyle w:val="TextBody"/>
        <w:bidi w:val="0"/>
        <w:spacing w:before="0" w:after="0"/>
        <w:jc w:val="center"/>
        <w:rPr>
          <w:rFonts w:ascii="ARIAL" w:hAnsi="ARIAL"/>
          <w:b/>
          <w:sz w:val="18"/>
        </w:rPr>
      </w:pPr>
      <w:r>
        <w:rPr>
          <w:rFonts w:ascii="ARIAL" w:hAnsi="ARIAL"/>
          <w:b/>
          <w:sz w:val="18"/>
        </w:rPr>
        <w:t xml:space="preserve">(Unaudited) </w:t>
      </w:r>
    </w:p>
    <w:p>
      <w:pPr>
        <w:pStyle w:val="TextBody"/>
        <w:bidi w:val="0"/>
        <w:spacing w:before="0" w:after="0"/>
        <w:jc w:val="left"/>
        <w:rPr/>
      </w:pPr>
      <w:r>
        <w:rPr/>
        <w:t> </w:t>
      </w:r>
    </w:p>
    <w:tbl>
      <w:tblPr>
        <w:tblW w:w="5740" w:type="dxa"/>
        <w:jc w:val="left"/>
        <w:tblInd w:w="0" w:type="dxa"/>
        <w:tblLayout w:type="fixed"/>
        <w:tblCellMar>
          <w:top w:w="0" w:type="dxa"/>
          <w:left w:w="0" w:type="dxa"/>
          <w:bottom w:w="0" w:type="dxa"/>
          <w:right w:w="0" w:type="dxa"/>
        </w:tblCellMar>
      </w:tblPr>
      <w:tblGrid>
        <w:gridCol w:w="3770"/>
        <w:gridCol w:w="120"/>
        <w:gridCol w:w="148"/>
        <w:gridCol w:w="593"/>
        <w:gridCol w:w="164"/>
        <w:gridCol w:w="127"/>
        <w:gridCol w:w="148"/>
        <w:gridCol w:w="595"/>
        <w:gridCol w:w="75"/>
      </w:tblGrid>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770" w:type="dxa"/>
            <w:tcBorders/>
            <w:shd w:fill="0BC11C" w:val="clear"/>
            <w:vAlign w:val="center"/>
          </w:tcPr>
          <w:p>
            <w:pPr>
              <w:pStyle w:val="TableContents"/>
              <w:bidi w:val="0"/>
              <w:spacing w:before="0" w:after="283"/>
              <w:jc w:val="left"/>
              <w:rPr>
                <w:sz w:val="4"/>
                <w:szCs w:val="4"/>
              </w:rPr>
            </w:pPr>
            <w:r>
              <w:rPr>
                <w:sz w:val="4"/>
                <w:szCs w:val="4"/>
              </w:rPr>
            </w:r>
          </w:p>
        </w:tc>
        <w:tc>
          <w:tcPr>
            <w:tcW w:w="1970" w:type="dxa"/>
            <w:gridSpan w:val="8"/>
            <w:tcBorders/>
            <w:shd w:fill="0BC11C" w:val="clear"/>
            <w:vAlign w:val="center"/>
          </w:tcPr>
          <w:p>
            <w:pPr>
              <w:pStyle w:val="TableContents"/>
              <w:bidi w:val="0"/>
              <w:spacing w:before="0" w:after="283"/>
              <w:jc w:val="left"/>
              <w:rPr>
                <w:sz w:val="4"/>
                <w:szCs w:val="4"/>
              </w:rPr>
            </w:pPr>
            <w:r>
              <w:rPr>
                <w:sz w:val="4"/>
                <w:szCs w:val="4"/>
              </w:rPr>
            </w:r>
          </w:p>
        </w:tc>
      </w:tr>
      <w:tr>
        <w:trPr/>
        <w:tc>
          <w:tcPr>
            <w:tcW w:w="3770" w:type="dxa"/>
            <w:tcBorders/>
            <w:shd w:fill="0BC11C" w:val="clear"/>
            <w:vAlign w:val="center"/>
          </w:tcPr>
          <w:p>
            <w:pPr>
              <w:pStyle w:val="TableContents"/>
              <w:bidi w:val="0"/>
              <w:spacing w:before="0" w:after="283"/>
              <w:jc w:val="left"/>
              <w:rPr/>
            </w:pPr>
            <w:r>
              <w:rPr/>
              <w:t> </w:t>
            </w:r>
          </w:p>
        </w:tc>
        <w:tc>
          <w:tcPr>
            <w:tcW w:w="120" w:type="dxa"/>
            <w:tcBorders/>
            <w:shd w:fill="0BC11C" w:val="clear"/>
            <w:vAlign w:val="center"/>
          </w:tcPr>
          <w:p>
            <w:pPr>
              <w:pStyle w:val="TableContents"/>
              <w:bidi w:val="0"/>
              <w:spacing w:before="0" w:after="283"/>
              <w:jc w:val="left"/>
              <w:rPr/>
            </w:pPr>
            <w:r>
              <w:rPr/>
              <w:t>  </w:t>
            </w:r>
          </w:p>
        </w:tc>
        <w:tc>
          <w:tcPr>
            <w:tcW w:w="1775" w:type="dxa"/>
            <w:gridSpan w:val="6"/>
            <w:tcBorders/>
            <w:shd w:fill="0BC11C"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Twelve Months Ended</w:t>
            </w:r>
          </w:p>
          <w:p>
            <w:pPr>
              <w:pStyle w:val="TableContents"/>
              <w:bidi w:val="0"/>
              <w:spacing w:before="0" w:after="20"/>
              <w:jc w:val="center"/>
              <w:rPr>
                <w:rFonts w:ascii="ARIAL" w:hAnsi="ARIAL"/>
                <w:b/>
                <w:color w:val="FFFFFF"/>
                <w:sz w:val="16"/>
              </w:rPr>
            </w:pPr>
            <w:r>
              <w:rPr>
                <w:rFonts w:ascii="ARIAL" w:hAnsi="ARIAL"/>
                <w:b/>
                <w:color w:val="FFFFFF"/>
                <w:sz w:val="16"/>
              </w:rPr>
              <w:t>December 31,</w:t>
            </w:r>
          </w:p>
        </w:tc>
        <w:tc>
          <w:tcPr>
            <w:tcW w:w="75" w:type="dxa"/>
            <w:tcBorders/>
            <w:shd w:fill="0BC11C" w:val="clear"/>
            <w:vAlign w:val="center"/>
          </w:tcPr>
          <w:p>
            <w:pPr>
              <w:pStyle w:val="TableContents"/>
              <w:bidi w:val="0"/>
              <w:spacing w:before="0" w:after="283"/>
              <w:jc w:val="left"/>
              <w:rPr/>
            </w:pPr>
            <w:r>
              <w:rPr/>
              <w:t> </w:t>
            </w:r>
          </w:p>
        </w:tc>
      </w:tr>
      <w:tr>
        <w:trPr/>
        <w:tc>
          <w:tcPr>
            <w:tcW w:w="3770" w:type="dxa"/>
            <w:tcBorders/>
            <w:shd w:fill="0BC11C" w:val="clear"/>
            <w:vAlign w:val="center"/>
          </w:tcPr>
          <w:p>
            <w:pPr>
              <w:pStyle w:val="TableContents"/>
              <w:bidi w:val="0"/>
              <w:spacing w:before="0" w:after="283"/>
              <w:jc w:val="left"/>
              <w:rPr>
                <w:sz w:val="4"/>
                <w:szCs w:val="4"/>
              </w:rPr>
            </w:pPr>
            <w:r>
              <w:rPr>
                <w:sz w:val="4"/>
                <w:szCs w:val="4"/>
              </w:rPr>
            </w:r>
          </w:p>
        </w:tc>
        <w:tc>
          <w:tcPr>
            <w:tcW w:w="1025" w:type="dxa"/>
            <w:gridSpan w:val="4"/>
            <w:tcBorders/>
            <w:shd w:fill="0BC11C" w:val="clear"/>
            <w:vAlign w:val="center"/>
          </w:tcPr>
          <w:p>
            <w:pPr>
              <w:pStyle w:val="TableContents"/>
              <w:bidi w:val="0"/>
              <w:spacing w:before="0" w:after="283"/>
              <w:jc w:val="left"/>
              <w:rPr>
                <w:sz w:val="4"/>
                <w:szCs w:val="4"/>
              </w:rPr>
            </w:pPr>
            <w:r>
              <w:rPr>
                <w:sz w:val="4"/>
                <w:szCs w:val="4"/>
              </w:rPr>
            </w:r>
          </w:p>
        </w:tc>
        <w:tc>
          <w:tcPr>
            <w:tcW w:w="945" w:type="dxa"/>
            <w:gridSpan w:val="4"/>
            <w:tcBorders/>
            <w:shd w:fill="0BC11C" w:val="clear"/>
            <w:vAlign w:val="center"/>
          </w:tcPr>
          <w:p>
            <w:pPr>
              <w:pStyle w:val="TableContents"/>
              <w:bidi w:val="0"/>
              <w:spacing w:before="0" w:after="283"/>
              <w:jc w:val="left"/>
              <w:rPr>
                <w:sz w:val="4"/>
                <w:szCs w:val="4"/>
              </w:rPr>
            </w:pPr>
            <w:r>
              <w:rPr>
                <w:sz w:val="4"/>
                <w:szCs w:val="4"/>
              </w:rPr>
            </w:r>
          </w:p>
        </w:tc>
      </w:tr>
      <w:tr>
        <w:trPr/>
        <w:tc>
          <w:tcPr>
            <w:tcW w:w="3770" w:type="dxa"/>
            <w:tcBorders/>
            <w:shd w:fill="0BC11C" w:val="clear"/>
            <w:vAlign w:val="center"/>
          </w:tcPr>
          <w:p>
            <w:pPr>
              <w:pStyle w:val="TableContents"/>
              <w:bidi w:val="0"/>
              <w:spacing w:before="0" w:after="0"/>
              <w:jc w:val="left"/>
              <w:rPr>
                <w:rFonts w:ascii="ARIAL" w:hAnsi="ARIAL"/>
                <w:i/>
                <w:color w:val="FFFFFF"/>
                <w:sz w:val="16"/>
              </w:rPr>
            </w:pPr>
            <w:r>
              <w:rPr>
                <w:rFonts w:ascii="ARIAL" w:hAnsi="ARIAL"/>
                <w:i/>
                <w:color w:val="FFFFFF"/>
                <w:sz w:val="16"/>
              </w:rPr>
              <w:t>($ in millions)</w:t>
            </w:r>
          </w:p>
        </w:tc>
        <w:tc>
          <w:tcPr>
            <w:tcW w:w="120" w:type="dxa"/>
            <w:tcBorders/>
            <w:shd w:fill="0BC11C" w:val="clear"/>
            <w:vAlign w:val="center"/>
          </w:tcPr>
          <w:p>
            <w:pPr>
              <w:pStyle w:val="TableContents"/>
              <w:bidi w:val="0"/>
              <w:spacing w:before="0" w:after="283"/>
              <w:jc w:val="left"/>
              <w:rPr/>
            </w:pPr>
            <w:r>
              <w:rPr/>
              <w:t>  </w:t>
            </w:r>
          </w:p>
        </w:tc>
        <w:tc>
          <w:tcPr>
            <w:tcW w:w="741" w:type="dxa"/>
            <w:gridSpan w:val="2"/>
            <w:tcBorders/>
            <w:shd w:fill="0BC11C" w:val="clear"/>
            <w:vAlign w:val="center"/>
          </w:tcPr>
          <w:p>
            <w:pPr>
              <w:pStyle w:val="TableContents"/>
              <w:bidi w:val="0"/>
              <w:spacing w:before="0" w:after="283"/>
              <w:jc w:val="center"/>
              <w:rPr>
                <w:b/>
                <w:color w:val="FFFFFF"/>
              </w:rPr>
            </w:pPr>
            <w:r>
              <w:rPr>
                <w:b/>
                <w:color w:val="FFFFFF"/>
              </w:rPr>
              <w:t>2023</w:t>
            </w:r>
          </w:p>
        </w:tc>
        <w:tc>
          <w:tcPr>
            <w:tcW w:w="164" w:type="dxa"/>
            <w:tcBorders/>
            <w:shd w:fill="0BC11C" w:val="clear"/>
            <w:vAlign w:val="center"/>
          </w:tcPr>
          <w:p>
            <w:pPr>
              <w:pStyle w:val="TableContents"/>
              <w:bidi w:val="0"/>
              <w:spacing w:before="0" w:after="283"/>
              <w:jc w:val="left"/>
              <w:rPr/>
            </w:pPr>
            <w:r>
              <w:rPr/>
              <w:t> </w:t>
            </w:r>
          </w:p>
        </w:tc>
        <w:tc>
          <w:tcPr>
            <w:tcW w:w="127" w:type="dxa"/>
            <w:tcBorders/>
            <w:shd w:fill="0BC11C" w:val="clear"/>
            <w:vAlign w:val="center"/>
          </w:tcPr>
          <w:p>
            <w:pPr>
              <w:pStyle w:val="TableContents"/>
              <w:bidi w:val="0"/>
              <w:spacing w:before="0" w:after="283"/>
              <w:jc w:val="left"/>
              <w:rPr/>
            </w:pPr>
            <w:r>
              <w:rPr/>
              <w:t>  </w:t>
            </w:r>
          </w:p>
        </w:tc>
        <w:tc>
          <w:tcPr>
            <w:tcW w:w="743" w:type="dxa"/>
            <w:gridSpan w:val="2"/>
            <w:tcBorders/>
            <w:shd w:fill="0BC11C" w:val="clear"/>
            <w:vAlign w:val="center"/>
          </w:tcPr>
          <w:p>
            <w:pPr>
              <w:pStyle w:val="TableContents"/>
              <w:bidi w:val="0"/>
              <w:spacing w:before="0" w:after="283"/>
              <w:jc w:val="center"/>
              <w:rPr>
                <w:b/>
                <w:color w:val="FFFFFF"/>
              </w:rPr>
            </w:pPr>
            <w:r>
              <w:rPr>
                <w:b/>
                <w:color w:val="FFFFFF"/>
              </w:rPr>
              <w:t>2022</w:t>
            </w:r>
          </w:p>
        </w:tc>
        <w:tc>
          <w:tcPr>
            <w:tcW w:w="75" w:type="dxa"/>
            <w:tcBorders/>
            <w:shd w:fill="0BC11C" w:val="clear"/>
            <w:vAlign w:val="center"/>
          </w:tcPr>
          <w:p>
            <w:pPr>
              <w:pStyle w:val="TableContents"/>
              <w:bidi w:val="0"/>
              <w:spacing w:before="0" w:after="283"/>
              <w:jc w:val="left"/>
              <w:rPr/>
            </w:pPr>
            <w:r>
              <w:rPr/>
              <w:t> </w:t>
            </w:r>
          </w:p>
        </w:tc>
      </w:tr>
      <w:tr>
        <w:trPr/>
        <w:tc>
          <w:tcPr>
            <w:tcW w:w="3770" w:type="dxa"/>
            <w:tcBorders/>
            <w:shd w:fill="EDEDED" w:val="clear"/>
            <w:vAlign w:val="center"/>
          </w:tcPr>
          <w:p>
            <w:pPr>
              <w:pStyle w:val="TableContents"/>
              <w:bidi w:val="0"/>
              <w:spacing w:before="0" w:after="0"/>
              <w:jc w:val="left"/>
              <w:rPr>
                <w:rFonts w:ascii="ARIAL" w:hAnsi="ARIAL"/>
                <w:b/>
                <w:sz w:val="20"/>
              </w:rPr>
            </w:pPr>
            <w:r>
              <w:rPr>
                <w:rFonts w:ascii="ARIAL" w:hAnsi="ARIAL"/>
                <w:b/>
                <w:sz w:val="20"/>
              </w:rPr>
              <w:t>Adjusted EBITDA: </w:t>
            </w:r>
          </w:p>
        </w:tc>
        <w:tc>
          <w:tcPr>
            <w:tcW w:w="120" w:type="dxa"/>
            <w:tcBorders/>
            <w:shd w:fill="EDEDED" w:val="clear"/>
            <w:vAlign w:val="center"/>
          </w:tcPr>
          <w:p>
            <w:pPr>
              <w:pStyle w:val="TableContents"/>
              <w:bidi w:val="0"/>
              <w:spacing w:before="0" w:after="283"/>
              <w:jc w:val="left"/>
              <w:rPr/>
            </w:pPr>
            <w:r>
              <w:rPr/>
              <w:t>  </w:t>
            </w:r>
          </w:p>
        </w:tc>
        <w:tc>
          <w:tcPr>
            <w:tcW w:w="148" w:type="dxa"/>
            <w:tcBorders/>
            <w:shd w:fill="EDEDED" w:val="clear"/>
            <w:vAlign w:val="center"/>
          </w:tcPr>
          <w:p>
            <w:pPr>
              <w:pStyle w:val="TableContents"/>
              <w:bidi w:val="0"/>
              <w:spacing w:before="0" w:after="283"/>
              <w:jc w:val="left"/>
              <w:rPr>
                <w:sz w:val="4"/>
                <w:szCs w:val="4"/>
              </w:rPr>
            </w:pPr>
            <w:r>
              <w:rPr>
                <w:sz w:val="4"/>
                <w:szCs w:val="4"/>
              </w:rPr>
            </w:r>
          </w:p>
        </w:tc>
        <w:tc>
          <w:tcPr>
            <w:tcW w:w="593" w:type="dxa"/>
            <w:tcBorders/>
            <w:shd w:fill="EDEDED" w:val="clear"/>
            <w:vAlign w:val="center"/>
          </w:tcPr>
          <w:p>
            <w:pPr>
              <w:pStyle w:val="TableContents"/>
              <w:bidi w:val="0"/>
              <w:spacing w:before="0" w:after="283"/>
              <w:jc w:val="left"/>
              <w:rPr>
                <w:sz w:val="4"/>
                <w:szCs w:val="4"/>
              </w:rPr>
            </w:pPr>
            <w:r>
              <w:rPr>
                <w:sz w:val="4"/>
                <w:szCs w:val="4"/>
              </w:rPr>
            </w:r>
          </w:p>
        </w:tc>
        <w:tc>
          <w:tcPr>
            <w:tcW w:w="164" w:type="dxa"/>
            <w:tcBorders/>
            <w:shd w:fill="EDEDED" w:val="clear"/>
            <w:vAlign w:val="center"/>
          </w:tcPr>
          <w:p>
            <w:pPr>
              <w:pStyle w:val="TableContents"/>
              <w:bidi w:val="0"/>
              <w:spacing w:before="0" w:after="283"/>
              <w:jc w:val="left"/>
              <w:rPr>
                <w:sz w:val="4"/>
                <w:szCs w:val="4"/>
              </w:rPr>
            </w:pPr>
            <w:r>
              <w:rPr>
                <w:sz w:val="4"/>
                <w:szCs w:val="4"/>
              </w:rPr>
            </w:r>
          </w:p>
        </w:tc>
        <w:tc>
          <w:tcPr>
            <w:tcW w:w="127" w:type="dxa"/>
            <w:tcBorders/>
            <w:shd w:fill="EDEDED" w:val="clear"/>
            <w:vAlign w:val="center"/>
          </w:tcPr>
          <w:p>
            <w:pPr>
              <w:pStyle w:val="TableContents"/>
              <w:bidi w:val="0"/>
              <w:spacing w:before="0" w:after="283"/>
              <w:jc w:val="left"/>
              <w:rPr/>
            </w:pPr>
            <w:r>
              <w:rPr/>
              <w:t>  </w:t>
            </w:r>
          </w:p>
        </w:tc>
        <w:tc>
          <w:tcPr>
            <w:tcW w:w="148" w:type="dxa"/>
            <w:tcBorders/>
            <w:shd w:fill="EDEDED" w:val="clear"/>
            <w:vAlign w:val="center"/>
          </w:tcPr>
          <w:p>
            <w:pPr>
              <w:pStyle w:val="TableContents"/>
              <w:bidi w:val="0"/>
              <w:spacing w:before="0" w:after="283"/>
              <w:jc w:val="left"/>
              <w:rPr>
                <w:sz w:val="4"/>
                <w:szCs w:val="4"/>
              </w:rPr>
            </w:pPr>
            <w:r>
              <w:rPr>
                <w:sz w:val="4"/>
                <w:szCs w:val="4"/>
              </w:rPr>
            </w:r>
          </w:p>
        </w:tc>
        <w:tc>
          <w:tcPr>
            <w:tcW w:w="595" w:type="dxa"/>
            <w:tcBorders/>
            <w:shd w:fill="EDEDED" w:val="clear"/>
            <w:vAlign w:val="center"/>
          </w:tcPr>
          <w:p>
            <w:pPr>
              <w:pStyle w:val="TableContents"/>
              <w:bidi w:val="0"/>
              <w:spacing w:before="0" w:after="283"/>
              <w:jc w:val="left"/>
              <w:rPr>
                <w:sz w:val="4"/>
                <w:szCs w:val="4"/>
              </w:rPr>
            </w:pPr>
            <w:r>
              <w:rPr>
                <w:sz w:val="4"/>
                <w:szCs w:val="4"/>
              </w:rPr>
            </w:r>
          </w:p>
        </w:tc>
        <w:tc>
          <w:tcPr>
            <w:tcW w:w="75" w:type="dxa"/>
            <w:tcBorders/>
            <w:shd w:fill="EDEDED" w:val="clear"/>
            <w:vAlign w:val="center"/>
          </w:tcPr>
          <w:p>
            <w:pPr>
              <w:pStyle w:val="TableContents"/>
              <w:bidi w:val="0"/>
              <w:spacing w:before="0" w:after="283"/>
              <w:jc w:val="left"/>
              <w:rPr>
                <w:sz w:val="4"/>
                <w:szCs w:val="4"/>
              </w:rPr>
            </w:pPr>
            <w:r>
              <w:rPr>
                <w:sz w:val="4"/>
                <w:szCs w:val="4"/>
              </w:rPr>
            </w:r>
          </w:p>
        </w:tc>
      </w:tr>
      <w:tr>
        <w:trPr/>
        <w:tc>
          <w:tcPr>
            <w:tcW w:w="3770" w:type="dxa"/>
            <w:tcBorders/>
            <w:vAlign w:val="center"/>
          </w:tcPr>
          <w:p>
            <w:pPr>
              <w:pStyle w:val="TableContents"/>
              <w:bidi w:val="0"/>
              <w:spacing w:before="0" w:after="0"/>
              <w:jc w:val="left"/>
              <w:rPr>
                <w:rFonts w:ascii="ARIAL" w:hAnsi="ARIAL"/>
                <w:sz w:val="20"/>
              </w:rPr>
            </w:pPr>
            <w:r>
              <w:rPr>
                <w:rFonts w:ascii="ARIAL" w:hAnsi="ARIAL"/>
                <w:sz w:val="20"/>
              </w:rPr>
              <w:t>Net income (loss)</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w:t>
            </w:r>
          </w:p>
        </w:tc>
        <w:tc>
          <w:tcPr>
            <w:tcW w:w="593" w:type="dxa"/>
            <w:tcBorders/>
            <w:vAlign w:val="center"/>
          </w:tcPr>
          <w:p>
            <w:pPr>
              <w:pStyle w:val="TableContents"/>
              <w:bidi w:val="0"/>
              <w:spacing w:before="0" w:after="283"/>
              <w:jc w:val="right"/>
              <w:rPr/>
            </w:pPr>
            <w:r>
              <w:rPr/>
              <w:t>(3.4</w:t>
            </w:r>
          </w:p>
        </w:tc>
        <w:tc>
          <w:tcPr>
            <w:tcW w:w="164"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w:t>
            </w:r>
          </w:p>
        </w:tc>
        <w:tc>
          <w:tcPr>
            <w:tcW w:w="595" w:type="dxa"/>
            <w:tcBorders/>
            <w:vAlign w:val="center"/>
          </w:tcPr>
          <w:p>
            <w:pPr>
              <w:pStyle w:val="TableContents"/>
              <w:bidi w:val="0"/>
              <w:spacing w:before="0" w:after="283"/>
              <w:jc w:val="right"/>
              <w:rPr/>
            </w:pPr>
            <w:r>
              <w:rPr/>
              <w:t>192.9</w:t>
            </w:r>
          </w:p>
        </w:tc>
        <w:tc>
          <w:tcPr>
            <w:tcW w:w="75" w:type="dxa"/>
            <w:tcBorders/>
            <w:vAlign w:val="center"/>
          </w:tcPr>
          <w:p>
            <w:pPr>
              <w:pStyle w:val="TableContents"/>
              <w:bidi w:val="0"/>
              <w:spacing w:before="0" w:after="283"/>
              <w:jc w:val="left"/>
              <w:rPr/>
            </w:pPr>
            <w:r>
              <w:rPr/>
              <w:t> </w:t>
            </w:r>
          </w:p>
        </w:tc>
      </w:tr>
      <w:tr>
        <w:trPr/>
        <w:tc>
          <w:tcPr>
            <w:tcW w:w="3770" w:type="dxa"/>
            <w:tcBorders/>
            <w:shd w:fill="EDEDED" w:val="clear"/>
            <w:vAlign w:val="center"/>
          </w:tcPr>
          <w:p>
            <w:pPr>
              <w:pStyle w:val="TableContents"/>
              <w:bidi w:val="0"/>
              <w:spacing w:before="0" w:after="0"/>
              <w:jc w:val="left"/>
              <w:rPr>
                <w:rFonts w:ascii="ARIAL" w:hAnsi="ARIAL"/>
                <w:sz w:val="20"/>
              </w:rPr>
            </w:pPr>
            <w:r>
              <w:rPr>
                <w:rFonts w:ascii="ARIAL" w:hAnsi="ARIAL"/>
                <w:sz w:val="20"/>
              </w:rPr>
              <w:t>Provision for income taxes</w:t>
            </w:r>
          </w:p>
        </w:tc>
        <w:tc>
          <w:tcPr>
            <w:tcW w:w="120" w:type="dxa"/>
            <w:tcBorders/>
            <w:shd w:fill="EDEDED" w:val="clear"/>
            <w:vAlign w:val="center"/>
          </w:tcPr>
          <w:p>
            <w:pPr>
              <w:pStyle w:val="TableContents"/>
              <w:bidi w:val="0"/>
              <w:spacing w:before="0" w:after="283"/>
              <w:jc w:val="left"/>
              <w:rPr/>
            </w:pPr>
            <w:r>
              <w:rPr/>
              <w:t>  </w:t>
            </w:r>
          </w:p>
        </w:tc>
        <w:tc>
          <w:tcPr>
            <w:tcW w:w="148" w:type="dxa"/>
            <w:tcBorders/>
            <w:shd w:fill="EDEDED" w:val="clear"/>
            <w:vAlign w:val="center"/>
          </w:tcPr>
          <w:p>
            <w:pPr>
              <w:pStyle w:val="TableContents"/>
              <w:bidi w:val="0"/>
              <w:spacing w:before="0" w:after="283"/>
              <w:jc w:val="left"/>
              <w:rPr/>
            </w:pPr>
            <w:r>
              <w:rPr/>
              <w:t> </w:t>
            </w:r>
          </w:p>
        </w:tc>
        <w:tc>
          <w:tcPr>
            <w:tcW w:w="593" w:type="dxa"/>
            <w:tcBorders/>
            <w:shd w:fill="EDEDED" w:val="clear"/>
            <w:vAlign w:val="center"/>
          </w:tcPr>
          <w:p>
            <w:pPr>
              <w:pStyle w:val="TableContents"/>
              <w:bidi w:val="0"/>
              <w:spacing w:before="0" w:after="283"/>
              <w:jc w:val="right"/>
              <w:rPr/>
            </w:pPr>
            <w:r>
              <w:rPr/>
              <w:t>4.5</w:t>
            </w:r>
          </w:p>
        </w:tc>
        <w:tc>
          <w:tcPr>
            <w:tcW w:w="164" w:type="dxa"/>
            <w:tcBorders/>
            <w:shd w:fill="EDEDED" w:val="clear"/>
            <w:vAlign w:val="center"/>
          </w:tcPr>
          <w:p>
            <w:pPr>
              <w:pStyle w:val="TableContents"/>
              <w:bidi w:val="0"/>
              <w:spacing w:before="0" w:after="283"/>
              <w:jc w:val="left"/>
              <w:rPr/>
            </w:pPr>
            <w:r>
              <w:rPr/>
              <w:t> </w:t>
            </w:r>
          </w:p>
        </w:tc>
        <w:tc>
          <w:tcPr>
            <w:tcW w:w="127" w:type="dxa"/>
            <w:tcBorders/>
            <w:shd w:fill="EDEDED" w:val="clear"/>
            <w:vAlign w:val="center"/>
          </w:tcPr>
          <w:p>
            <w:pPr>
              <w:pStyle w:val="TableContents"/>
              <w:bidi w:val="0"/>
              <w:spacing w:before="0" w:after="283"/>
              <w:jc w:val="left"/>
              <w:rPr/>
            </w:pPr>
            <w:r>
              <w:rPr/>
              <w:t>  </w:t>
            </w:r>
          </w:p>
        </w:tc>
        <w:tc>
          <w:tcPr>
            <w:tcW w:w="148" w:type="dxa"/>
            <w:tcBorders/>
            <w:shd w:fill="EDEDED" w:val="clear"/>
            <w:vAlign w:val="center"/>
          </w:tcPr>
          <w:p>
            <w:pPr>
              <w:pStyle w:val="TableContents"/>
              <w:bidi w:val="0"/>
              <w:spacing w:before="0" w:after="283"/>
              <w:jc w:val="left"/>
              <w:rPr/>
            </w:pPr>
            <w:r>
              <w:rPr/>
              <w:t> </w:t>
            </w:r>
          </w:p>
        </w:tc>
        <w:tc>
          <w:tcPr>
            <w:tcW w:w="595" w:type="dxa"/>
            <w:tcBorders/>
            <w:shd w:fill="EDEDED" w:val="clear"/>
            <w:vAlign w:val="center"/>
          </w:tcPr>
          <w:p>
            <w:pPr>
              <w:pStyle w:val="TableContents"/>
              <w:bidi w:val="0"/>
              <w:spacing w:before="0" w:after="283"/>
              <w:jc w:val="right"/>
              <w:rPr/>
            </w:pPr>
            <w:r>
              <w:rPr/>
              <w:t>44.1</w:t>
            </w:r>
          </w:p>
        </w:tc>
        <w:tc>
          <w:tcPr>
            <w:tcW w:w="75" w:type="dxa"/>
            <w:tcBorders/>
            <w:shd w:fill="EDEDED"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ARIAL" w:hAnsi="ARIAL"/>
                <w:sz w:val="20"/>
              </w:rPr>
            </w:pPr>
            <w:r>
              <w:rPr>
                <w:rFonts w:ascii="ARIAL" w:hAnsi="ARIAL"/>
                <w:sz w:val="20"/>
              </w:rPr>
              <w:t>Interest expense, net</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right"/>
              <w:rPr/>
            </w:pPr>
            <w:r>
              <w:rPr/>
              <w:t>69.8</w:t>
            </w:r>
          </w:p>
        </w:tc>
        <w:tc>
          <w:tcPr>
            <w:tcW w:w="164"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0.2</w:t>
            </w:r>
          </w:p>
        </w:tc>
        <w:tc>
          <w:tcPr>
            <w:tcW w:w="75" w:type="dxa"/>
            <w:tcBorders/>
            <w:vAlign w:val="center"/>
          </w:tcPr>
          <w:p>
            <w:pPr>
              <w:pStyle w:val="TableContents"/>
              <w:bidi w:val="0"/>
              <w:spacing w:before="0" w:after="283"/>
              <w:jc w:val="left"/>
              <w:rPr/>
            </w:pPr>
            <w:r>
              <w:rPr/>
              <w:t> </w:t>
            </w:r>
          </w:p>
        </w:tc>
      </w:tr>
      <w:tr>
        <w:trPr/>
        <w:tc>
          <w:tcPr>
            <w:tcW w:w="3770" w:type="dxa"/>
            <w:tcBorders/>
            <w:shd w:fill="EDEDED" w:val="clear"/>
            <w:vAlign w:val="center"/>
          </w:tcPr>
          <w:p>
            <w:pPr>
              <w:pStyle w:val="TableContents"/>
              <w:bidi w:val="0"/>
              <w:spacing w:before="0" w:after="0"/>
              <w:jc w:val="left"/>
              <w:rPr>
                <w:rFonts w:ascii="ARIAL" w:hAnsi="ARIAL"/>
                <w:sz w:val="20"/>
              </w:rPr>
            </w:pPr>
            <w:r>
              <w:rPr>
                <w:rFonts w:ascii="ARIAL" w:hAnsi="ARIAL"/>
                <w:sz w:val="20"/>
              </w:rPr>
              <w:t xml:space="preserve">Depreciation and amortization </w:t>
            </w:r>
            <w:r>
              <w:rPr>
                <w:rFonts w:ascii="ARIAL" w:hAnsi="ARIAL"/>
                <w:i/>
                <w:sz w:val="13"/>
              </w:rPr>
              <w:t>a</w:t>
            </w:r>
          </w:p>
        </w:tc>
        <w:tc>
          <w:tcPr>
            <w:tcW w:w="120" w:type="dxa"/>
            <w:tcBorders/>
            <w:shd w:fill="EDEDED" w:val="clear"/>
            <w:vAlign w:val="center"/>
          </w:tcPr>
          <w:p>
            <w:pPr>
              <w:pStyle w:val="TableContents"/>
              <w:bidi w:val="0"/>
              <w:spacing w:before="0" w:after="283"/>
              <w:jc w:val="left"/>
              <w:rPr/>
            </w:pPr>
            <w:r>
              <w:rPr/>
              <w:t>  </w:t>
            </w:r>
          </w:p>
        </w:tc>
        <w:tc>
          <w:tcPr>
            <w:tcW w:w="148" w:type="dxa"/>
            <w:tcBorders/>
            <w:shd w:fill="EDEDED" w:val="clear"/>
            <w:vAlign w:val="center"/>
          </w:tcPr>
          <w:p>
            <w:pPr>
              <w:pStyle w:val="TableContents"/>
              <w:bidi w:val="0"/>
              <w:spacing w:before="0" w:after="283"/>
              <w:jc w:val="left"/>
              <w:rPr/>
            </w:pPr>
            <w:r>
              <w:rPr/>
              <w:t> </w:t>
            </w:r>
          </w:p>
        </w:tc>
        <w:tc>
          <w:tcPr>
            <w:tcW w:w="593" w:type="dxa"/>
            <w:tcBorders/>
            <w:shd w:fill="EDEDED" w:val="clear"/>
            <w:vAlign w:val="center"/>
          </w:tcPr>
          <w:p>
            <w:pPr>
              <w:pStyle w:val="TableContents"/>
              <w:bidi w:val="0"/>
              <w:spacing w:before="0" w:after="283"/>
              <w:jc w:val="right"/>
              <w:rPr/>
            </w:pPr>
            <w:r>
              <w:rPr/>
              <w:t>96.4</w:t>
            </w:r>
          </w:p>
        </w:tc>
        <w:tc>
          <w:tcPr>
            <w:tcW w:w="164" w:type="dxa"/>
            <w:tcBorders/>
            <w:shd w:fill="EDEDED" w:val="clear"/>
            <w:vAlign w:val="center"/>
          </w:tcPr>
          <w:p>
            <w:pPr>
              <w:pStyle w:val="TableContents"/>
              <w:bidi w:val="0"/>
              <w:spacing w:before="0" w:after="283"/>
              <w:jc w:val="left"/>
              <w:rPr/>
            </w:pPr>
            <w:r>
              <w:rPr/>
              <w:t> </w:t>
            </w:r>
          </w:p>
        </w:tc>
        <w:tc>
          <w:tcPr>
            <w:tcW w:w="127" w:type="dxa"/>
            <w:tcBorders/>
            <w:shd w:fill="EDEDED" w:val="clear"/>
            <w:vAlign w:val="center"/>
          </w:tcPr>
          <w:p>
            <w:pPr>
              <w:pStyle w:val="TableContents"/>
              <w:bidi w:val="0"/>
              <w:spacing w:before="0" w:after="283"/>
              <w:jc w:val="left"/>
              <w:rPr/>
            </w:pPr>
            <w:r>
              <w:rPr/>
              <w:t>  </w:t>
            </w:r>
          </w:p>
        </w:tc>
        <w:tc>
          <w:tcPr>
            <w:tcW w:w="148" w:type="dxa"/>
            <w:tcBorders/>
            <w:shd w:fill="EDEDED" w:val="clear"/>
            <w:vAlign w:val="center"/>
          </w:tcPr>
          <w:p>
            <w:pPr>
              <w:pStyle w:val="TableContents"/>
              <w:bidi w:val="0"/>
              <w:spacing w:before="0" w:after="283"/>
              <w:jc w:val="left"/>
              <w:rPr/>
            </w:pPr>
            <w:r>
              <w:rPr/>
              <w:t> </w:t>
            </w:r>
          </w:p>
        </w:tc>
        <w:tc>
          <w:tcPr>
            <w:tcW w:w="595" w:type="dxa"/>
            <w:tcBorders/>
            <w:shd w:fill="EDEDED" w:val="clear"/>
            <w:vAlign w:val="center"/>
          </w:tcPr>
          <w:p>
            <w:pPr>
              <w:pStyle w:val="TableContents"/>
              <w:bidi w:val="0"/>
              <w:spacing w:before="0" w:after="283"/>
              <w:jc w:val="right"/>
              <w:rPr/>
            </w:pPr>
            <w:r>
              <w:rPr/>
              <w:t>92.7</w:t>
            </w:r>
          </w:p>
        </w:tc>
        <w:tc>
          <w:tcPr>
            <w:tcW w:w="75" w:type="dxa"/>
            <w:tcBorders/>
            <w:shd w:fill="EDEDED"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pBdr>
                <w:top w:val="single" w:sz="2" w:space="1" w:color="000000"/>
              </w:pBdr>
              <w:bidi w:val="0"/>
              <w:spacing w:before="0" w:after="0"/>
              <w:jc w:val="left"/>
              <w:rPr/>
            </w:pPr>
            <w:r>
              <w:rPr/>
              <w:t> </w:t>
            </w:r>
          </w:p>
        </w:tc>
        <w:tc>
          <w:tcPr>
            <w:tcW w:w="593" w:type="dxa"/>
            <w:tcBorders/>
            <w:vAlign w:val="center"/>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8" w:type="dxa"/>
            <w:tcBorders/>
            <w:vAlign w:val="center"/>
          </w:tcPr>
          <w:p>
            <w:pPr>
              <w:pStyle w:val="TableContents"/>
              <w:pBdr>
                <w:top w:val="single" w:sz="2" w:space="1" w:color="000000"/>
              </w:pBdr>
              <w:bidi w:val="0"/>
              <w:spacing w:before="0" w:after="0"/>
              <w:jc w:val="left"/>
              <w:rPr/>
            </w:pPr>
            <w:r>
              <w:rPr/>
              <w:t> </w:t>
            </w:r>
          </w:p>
        </w:tc>
        <w:tc>
          <w:tcPr>
            <w:tcW w:w="59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ARIAL" w:hAnsi="ARIAL"/>
                <w:b/>
                <w:sz w:val="20"/>
              </w:rPr>
            </w:pPr>
            <w:r>
              <w:rPr>
                <w:rFonts w:ascii="ARIAL" w:hAnsi="ARIAL"/>
                <w:b/>
                <w:sz w:val="20"/>
              </w:rPr>
              <w:t>EBITDA</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right"/>
              <w:rPr/>
            </w:pPr>
            <w:r>
              <w:rPr/>
              <w:t>167.3</w:t>
            </w:r>
          </w:p>
        </w:tc>
        <w:tc>
          <w:tcPr>
            <w:tcW w:w="164"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329.9</w:t>
            </w:r>
          </w:p>
        </w:tc>
        <w:tc>
          <w:tcPr>
            <w:tcW w:w="75" w:type="dxa"/>
            <w:tcBorders/>
            <w:vAlign w:val="center"/>
          </w:tcPr>
          <w:p>
            <w:pPr>
              <w:pStyle w:val="TableContents"/>
              <w:bidi w:val="0"/>
              <w:spacing w:before="0" w:after="283"/>
              <w:jc w:val="left"/>
              <w:rPr/>
            </w:pPr>
            <w:r>
              <w:rPr/>
              <w:t> </w:t>
            </w:r>
          </w:p>
        </w:tc>
      </w:tr>
      <w:tr>
        <w:trPr/>
        <w:tc>
          <w:tcPr>
            <w:tcW w:w="3770" w:type="dxa"/>
            <w:tcBorders/>
            <w:shd w:fill="EDEDED" w:val="clear"/>
            <w:vAlign w:val="center"/>
          </w:tcPr>
          <w:p>
            <w:pPr>
              <w:pStyle w:val="TableContents"/>
              <w:bidi w:val="0"/>
              <w:spacing w:before="0" w:after="0"/>
              <w:jc w:val="left"/>
              <w:rPr>
                <w:rFonts w:ascii="ARIAL" w:hAnsi="ARIAL"/>
                <w:sz w:val="20"/>
              </w:rPr>
            </w:pPr>
            <w:r>
              <w:rPr>
                <w:rFonts w:ascii="ARIAL" w:hAnsi="ARIAL"/>
                <w:sz w:val="20"/>
              </w:rPr>
              <w:t>Foreign exchange (gain) loss</w:t>
            </w:r>
          </w:p>
        </w:tc>
        <w:tc>
          <w:tcPr>
            <w:tcW w:w="120" w:type="dxa"/>
            <w:tcBorders/>
            <w:shd w:fill="EDEDED" w:val="clear"/>
            <w:vAlign w:val="center"/>
          </w:tcPr>
          <w:p>
            <w:pPr>
              <w:pStyle w:val="TableContents"/>
              <w:bidi w:val="0"/>
              <w:spacing w:before="0" w:after="283"/>
              <w:jc w:val="left"/>
              <w:rPr/>
            </w:pPr>
            <w:r>
              <w:rPr/>
              <w:t>  </w:t>
            </w:r>
          </w:p>
        </w:tc>
        <w:tc>
          <w:tcPr>
            <w:tcW w:w="148" w:type="dxa"/>
            <w:tcBorders/>
            <w:shd w:fill="EDEDED" w:val="clear"/>
            <w:vAlign w:val="center"/>
          </w:tcPr>
          <w:p>
            <w:pPr>
              <w:pStyle w:val="TableContents"/>
              <w:bidi w:val="0"/>
              <w:spacing w:before="0" w:after="283"/>
              <w:jc w:val="left"/>
              <w:rPr/>
            </w:pPr>
            <w:r>
              <w:rPr/>
              <w:t> </w:t>
            </w:r>
          </w:p>
        </w:tc>
        <w:tc>
          <w:tcPr>
            <w:tcW w:w="593" w:type="dxa"/>
            <w:tcBorders/>
            <w:shd w:fill="EDEDED" w:val="clear"/>
            <w:vAlign w:val="center"/>
          </w:tcPr>
          <w:p>
            <w:pPr>
              <w:pStyle w:val="TableContents"/>
              <w:bidi w:val="0"/>
              <w:spacing w:before="0" w:after="283"/>
              <w:jc w:val="right"/>
              <w:rPr/>
            </w:pPr>
            <w:r>
              <w:rPr/>
              <w:t>(0.9</w:t>
            </w:r>
          </w:p>
        </w:tc>
        <w:tc>
          <w:tcPr>
            <w:tcW w:w="164" w:type="dxa"/>
            <w:tcBorders/>
            <w:shd w:fill="EDEDED" w:val="clear"/>
            <w:vAlign w:val="center"/>
          </w:tcPr>
          <w:p>
            <w:pPr>
              <w:pStyle w:val="TableContents"/>
              <w:bidi w:val="0"/>
              <w:spacing w:before="0" w:after="283"/>
              <w:jc w:val="left"/>
              <w:rPr/>
            </w:pPr>
            <w:r>
              <w:rPr/>
              <w:t>) </w:t>
            </w:r>
          </w:p>
        </w:tc>
        <w:tc>
          <w:tcPr>
            <w:tcW w:w="127" w:type="dxa"/>
            <w:tcBorders/>
            <w:shd w:fill="EDEDED" w:val="clear"/>
            <w:vAlign w:val="center"/>
          </w:tcPr>
          <w:p>
            <w:pPr>
              <w:pStyle w:val="TableContents"/>
              <w:bidi w:val="0"/>
              <w:spacing w:before="0" w:after="283"/>
              <w:jc w:val="left"/>
              <w:rPr/>
            </w:pPr>
            <w:r>
              <w:rPr/>
              <w:t>  </w:t>
            </w:r>
          </w:p>
        </w:tc>
        <w:tc>
          <w:tcPr>
            <w:tcW w:w="148" w:type="dxa"/>
            <w:tcBorders/>
            <w:shd w:fill="EDEDED" w:val="clear"/>
            <w:vAlign w:val="center"/>
          </w:tcPr>
          <w:p>
            <w:pPr>
              <w:pStyle w:val="TableContents"/>
              <w:bidi w:val="0"/>
              <w:spacing w:before="0" w:after="283"/>
              <w:jc w:val="left"/>
              <w:rPr/>
            </w:pPr>
            <w:r>
              <w:rPr/>
              <w:t> </w:t>
            </w:r>
          </w:p>
        </w:tc>
        <w:tc>
          <w:tcPr>
            <w:tcW w:w="595" w:type="dxa"/>
            <w:tcBorders/>
            <w:shd w:fill="EDEDED" w:val="clear"/>
            <w:vAlign w:val="center"/>
          </w:tcPr>
          <w:p>
            <w:pPr>
              <w:pStyle w:val="TableContents"/>
              <w:bidi w:val="0"/>
              <w:spacing w:before="0" w:after="283"/>
              <w:jc w:val="right"/>
              <w:rPr/>
            </w:pPr>
            <w:r>
              <w:rPr/>
              <w:t>0.9</w:t>
            </w:r>
          </w:p>
        </w:tc>
        <w:tc>
          <w:tcPr>
            <w:tcW w:w="75" w:type="dxa"/>
            <w:tcBorders/>
            <w:shd w:fill="EDEDED"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ARIAL" w:hAnsi="ARIAL"/>
                <w:sz w:val="20"/>
              </w:rPr>
            </w:pPr>
            <w:r>
              <w:rPr>
                <w:rFonts w:ascii="ARIAL" w:hAnsi="ARIAL"/>
                <w:sz w:val="20"/>
              </w:rPr>
              <w:t xml:space="preserve">Goodwill and other asset impairments </w:t>
            </w:r>
            <w:r>
              <w:rPr>
                <w:rFonts w:ascii="ARIAL" w:hAnsi="ARIAL"/>
                <w:i/>
                <w:sz w:val="20"/>
              </w:rPr>
              <w:t>b</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right"/>
              <w:rPr/>
            </w:pPr>
            <w:r>
              <w:rPr/>
              <w:t>0.0</w:t>
            </w:r>
          </w:p>
        </w:tc>
        <w:tc>
          <w:tcPr>
            <w:tcW w:w="164"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9.8</w:t>
            </w:r>
          </w:p>
        </w:tc>
        <w:tc>
          <w:tcPr>
            <w:tcW w:w="75" w:type="dxa"/>
            <w:tcBorders/>
            <w:vAlign w:val="center"/>
          </w:tcPr>
          <w:p>
            <w:pPr>
              <w:pStyle w:val="TableContents"/>
              <w:bidi w:val="0"/>
              <w:spacing w:before="0" w:after="283"/>
              <w:jc w:val="left"/>
              <w:rPr/>
            </w:pPr>
            <w:r>
              <w:rPr/>
              <w:t> </w:t>
            </w:r>
          </w:p>
        </w:tc>
      </w:tr>
      <w:tr>
        <w:trPr/>
        <w:tc>
          <w:tcPr>
            <w:tcW w:w="3770" w:type="dxa"/>
            <w:tcBorders/>
            <w:shd w:fill="EDEDED" w:val="clear"/>
            <w:vAlign w:val="center"/>
          </w:tcPr>
          <w:p>
            <w:pPr>
              <w:pStyle w:val="TableContents"/>
              <w:bidi w:val="0"/>
              <w:spacing w:before="0" w:after="0"/>
              <w:jc w:val="left"/>
              <w:rPr>
                <w:rFonts w:ascii="ARIAL" w:hAnsi="ARIAL"/>
                <w:sz w:val="20"/>
              </w:rPr>
            </w:pPr>
            <w:r>
              <w:rPr>
                <w:rFonts w:ascii="ARIAL" w:hAnsi="ARIAL"/>
                <w:sz w:val="20"/>
              </w:rPr>
              <w:t xml:space="preserve">Restructuring and other charges </w:t>
            </w:r>
            <w:r>
              <w:rPr>
                <w:rFonts w:ascii="ARIAL" w:hAnsi="ARIAL"/>
                <w:i/>
                <w:sz w:val="20"/>
              </w:rPr>
              <w:t>c</w:t>
            </w:r>
          </w:p>
        </w:tc>
        <w:tc>
          <w:tcPr>
            <w:tcW w:w="120" w:type="dxa"/>
            <w:tcBorders/>
            <w:shd w:fill="EDEDED" w:val="clear"/>
            <w:vAlign w:val="center"/>
          </w:tcPr>
          <w:p>
            <w:pPr>
              <w:pStyle w:val="TableContents"/>
              <w:bidi w:val="0"/>
              <w:spacing w:before="0" w:after="283"/>
              <w:jc w:val="left"/>
              <w:rPr/>
            </w:pPr>
            <w:r>
              <w:rPr/>
              <w:t>  </w:t>
            </w:r>
          </w:p>
        </w:tc>
        <w:tc>
          <w:tcPr>
            <w:tcW w:w="148" w:type="dxa"/>
            <w:tcBorders/>
            <w:shd w:fill="EDEDED" w:val="clear"/>
            <w:vAlign w:val="center"/>
          </w:tcPr>
          <w:p>
            <w:pPr>
              <w:pStyle w:val="TableContents"/>
              <w:bidi w:val="0"/>
              <w:spacing w:before="0" w:after="283"/>
              <w:jc w:val="left"/>
              <w:rPr/>
            </w:pPr>
            <w:r>
              <w:rPr/>
              <w:t> </w:t>
            </w:r>
          </w:p>
        </w:tc>
        <w:tc>
          <w:tcPr>
            <w:tcW w:w="593" w:type="dxa"/>
            <w:tcBorders/>
            <w:shd w:fill="EDEDED" w:val="clear"/>
            <w:vAlign w:val="center"/>
          </w:tcPr>
          <w:p>
            <w:pPr>
              <w:pStyle w:val="TableContents"/>
              <w:bidi w:val="0"/>
              <w:spacing w:before="0" w:after="283"/>
              <w:jc w:val="right"/>
              <w:rPr/>
            </w:pPr>
            <w:r>
              <w:rPr/>
              <w:t>26.9</w:t>
            </w:r>
          </w:p>
        </w:tc>
        <w:tc>
          <w:tcPr>
            <w:tcW w:w="164" w:type="dxa"/>
            <w:tcBorders/>
            <w:shd w:fill="EDEDED" w:val="clear"/>
            <w:vAlign w:val="center"/>
          </w:tcPr>
          <w:p>
            <w:pPr>
              <w:pStyle w:val="TableContents"/>
              <w:bidi w:val="0"/>
              <w:spacing w:before="0" w:after="283"/>
              <w:jc w:val="left"/>
              <w:rPr/>
            </w:pPr>
            <w:r>
              <w:rPr/>
              <w:t> </w:t>
            </w:r>
          </w:p>
        </w:tc>
        <w:tc>
          <w:tcPr>
            <w:tcW w:w="127" w:type="dxa"/>
            <w:tcBorders/>
            <w:shd w:fill="EDEDED" w:val="clear"/>
            <w:vAlign w:val="center"/>
          </w:tcPr>
          <w:p>
            <w:pPr>
              <w:pStyle w:val="TableContents"/>
              <w:bidi w:val="0"/>
              <w:spacing w:before="0" w:after="283"/>
              <w:jc w:val="left"/>
              <w:rPr/>
            </w:pPr>
            <w:r>
              <w:rPr/>
              <w:t>  </w:t>
            </w:r>
          </w:p>
        </w:tc>
        <w:tc>
          <w:tcPr>
            <w:tcW w:w="148" w:type="dxa"/>
            <w:tcBorders/>
            <w:shd w:fill="EDEDED" w:val="clear"/>
            <w:vAlign w:val="center"/>
          </w:tcPr>
          <w:p>
            <w:pPr>
              <w:pStyle w:val="TableContents"/>
              <w:bidi w:val="0"/>
              <w:spacing w:before="0" w:after="283"/>
              <w:jc w:val="left"/>
              <w:rPr/>
            </w:pPr>
            <w:r>
              <w:rPr/>
              <w:t> </w:t>
            </w:r>
          </w:p>
        </w:tc>
        <w:tc>
          <w:tcPr>
            <w:tcW w:w="595" w:type="dxa"/>
            <w:tcBorders/>
            <w:shd w:fill="EDEDED" w:val="clear"/>
            <w:vAlign w:val="center"/>
          </w:tcPr>
          <w:p>
            <w:pPr>
              <w:pStyle w:val="TableContents"/>
              <w:bidi w:val="0"/>
              <w:spacing w:before="0" w:after="283"/>
              <w:jc w:val="right"/>
              <w:rPr/>
            </w:pPr>
            <w:r>
              <w:rPr/>
              <w:t>30.5</w:t>
            </w:r>
          </w:p>
        </w:tc>
        <w:tc>
          <w:tcPr>
            <w:tcW w:w="75" w:type="dxa"/>
            <w:tcBorders/>
            <w:shd w:fill="EDEDED"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ARIAL" w:hAnsi="ARIAL"/>
                <w:sz w:val="20"/>
              </w:rPr>
            </w:pPr>
            <w:r>
              <w:rPr>
                <w:rFonts w:ascii="ARIAL" w:hAnsi="ARIAL"/>
                <w:sz w:val="20"/>
              </w:rPr>
              <w:t>Stock based compensation</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right"/>
              <w:rPr/>
            </w:pPr>
            <w:r>
              <w:rPr/>
              <w:t>42.7</w:t>
            </w:r>
          </w:p>
        </w:tc>
        <w:tc>
          <w:tcPr>
            <w:tcW w:w="164"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25.4</w:t>
            </w:r>
          </w:p>
        </w:tc>
        <w:tc>
          <w:tcPr>
            <w:tcW w:w="75" w:type="dxa"/>
            <w:tcBorders/>
            <w:vAlign w:val="center"/>
          </w:tcPr>
          <w:p>
            <w:pPr>
              <w:pStyle w:val="TableContents"/>
              <w:bidi w:val="0"/>
              <w:spacing w:before="0" w:after="283"/>
              <w:jc w:val="left"/>
              <w:rPr/>
            </w:pPr>
            <w:r>
              <w:rPr/>
              <w:t> </w:t>
            </w:r>
          </w:p>
        </w:tc>
      </w:tr>
      <w:tr>
        <w:trPr/>
        <w:tc>
          <w:tcPr>
            <w:tcW w:w="3770" w:type="dxa"/>
            <w:tcBorders/>
            <w:shd w:fill="EDEDED" w:val="clear"/>
            <w:vAlign w:val="center"/>
          </w:tcPr>
          <w:p>
            <w:pPr>
              <w:pStyle w:val="TableContents"/>
              <w:bidi w:val="0"/>
              <w:spacing w:before="0" w:after="0"/>
              <w:jc w:val="left"/>
              <w:rPr>
                <w:rFonts w:ascii="ARIAL" w:hAnsi="ARIAL"/>
                <w:sz w:val="20"/>
              </w:rPr>
            </w:pPr>
            <w:r>
              <w:rPr>
                <w:rFonts w:ascii="ARIAL" w:hAnsi="ARIAL"/>
                <w:sz w:val="20"/>
              </w:rPr>
              <w:t xml:space="preserve">Acquisition and disposition-related costs </w:t>
            </w:r>
            <w:r>
              <w:rPr>
                <w:rFonts w:ascii="ARIAL" w:hAnsi="ARIAL"/>
                <w:i/>
                <w:sz w:val="20"/>
              </w:rPr>
              <w:t>d</w:t>
            </w:r>
            <w:r>
              <w:rPr>
                <w:rFonts w:ascii="ARIAL" w:hAnsi="ARIAL"/>
                <w:sz w:val="20"/>
              </w:rPr>
              <w:t> </w:t>
            </w:r>
          </w:p>
        </w:tc>
        <w:tc>
          <w:tcPr>
            <w:tcW w:w="120" w:type="dxa"/>
            <w:tcBorders/>
            <w:shd w:fill="EDEDED" w:val="clear"/>
            <w:vAlign w:val="center"/>
          </w:tcPr>
          <w:p>
            <w:pPr>
              <w:pStyle w:val="TableContents"/>
              <w:bidi w:val="0"/>
              <w:spacing w:before="0" w:after="283"/>
              <w:jc w:val="left"/>
              <w:rPr/>
            </w:pPr>
            <w:r>
              <w:rPr/>
              <w:t>  </w:t>
            </w:r>
          </w:p>
        </w:tc>
        <w:tc>
          <w:tcPr>
            <w:tcW w:w="148" w:type="dxa"/>
            <w:tcBorders/>
            <w:shd w:fill="EDEDED" w:val="clear"/>
            <w:vAlign w:val="center"/>
          </w:tcPr>
          <w:p>
            <w:pPr>
              <w:pStyle w:val="TableContents"/>
              <w:bidi w:val="0"/>
              <w:spacing w:before="0" w:after="283"/>
              <w:jc w:val="left"/>
              <w:rPr/>
            </w:pPr>
            <w:r>
              <w:rPr/>
              <w:t> </w:t>
            </w:r>
          </w:p>
        </w:tc>
        <w:tc>
          <w:tcPr>
            <w:tcW w:w="593" w:type="dxa"/>
            <w:tcBorders/>
            <w:shd w:fill="EDEDED" w:val="clear"/>
            <w:vAlign w:val="center"/>
          </w:tcPr>
          <w:p>
            <w:pPr>
              <w:pStyle w:val="TableContents"/>
              <w:bidi w:val="0"/>
              <w:spacing w:before="0" w:after="283"/>
              <w:jc w:val="right"/>
              <w:rPr/>
            </w:pPr>
            <w:r>
              <w:rPr/>
              <w:t>0.0</w:t>
            </w:r>
          </w:p>
        </w:tc>
        <w:tc>
          <w:tcPr>
            <w:tcW w:w="164" w:type="dxa"/>
            <w:tcBorders/>
            <w:shd w:fill="EDEDED" w:val="clear"/>
            <w:vAlign w:val="center"/>
          </w:tcPr>
          <w:p>
            <w:pPr>
              <w:pStyle w:val="TableContents"/>
              <w:bidi w:val="0"/>
              <w:spacing w:before="0" w:after="283"/>
              <w:jc w:val="left"/>
              <w:rPr/>
            </w:pPr>
            <w:r>
              <w:rPr/>
              <w:t> </w:t>
            </w:r>
          </w:p>
        </w:tc>
        <w:tc>
          <w:tcPr>
            <w:tcW w:w="127" w:type="dxa"/>
            <w:tcBorders/>
            <w:shd w:fill="EDEDED" w:val="clear"/>
            <w:vAlign w:val="center"/>
          </w:tcPr>
          <w:p>
            <w:pPr>
              <w:pStyle w:val="TableContents"/>
              <w:bidi w:val="0"/>
              <w:spacing w:before="0" w:after="283"/>
              <w:jc w:val="left"/>
              <w:rPr/>
            </w:pPr>
            <w:r>
              <w:rPr/>
              <w:t>  </w:t>
            </w:r>
          </w:p>
        </w:tc>
        <w:tc>
          <w:tcPr>
            <w:tcW w:w="148" w:type="dxa"/>
            <w:tcBorders/>
            <w:shd w:fill="EDEDED" w:val="clear"/>
            <w:vAlign w:val="center"/>
          </w:tcPr>
          <w:p>
            <w:pPr>
              <w:pStyle w:val="TableContents"/>
              <w:bidi w:val="0"/>
              <w:spacing w:before="0" w:after="283"/>
              <w:jc w:val="left"/>
              <w:rPr/>
            </w:pPr>
            <w:r>
              <w:rPr/>
              <w:t> </w:t>
            </w:r>
          </w:p>
        </w:tc>
        <w:tc>
          <w:tcPr>
            <w:tcW w:w="595" w:type="dxa"/>
            <w:tcBorders/>
            <w:shd w:fill="EDEDED" w:val="clear"/>
            <w:vAlign w:val="center"/>
          </w:tcPr>
          <w:p>
            <w:pPr>
              <w:pStyle w:val="TableContents"/>
              <w:bidi w:val="0"/>
              <w:spacing w:before="0" w:after="283"/>
              <w:jc w:val="right"/>
              <w:rPr/>
            </w:pPr>
            <w:r>
              <w:rPr/>
              <w:t>3.9</w:t>
            </w:r>
          </w:p>
        </w:tc>
        <w:tc>
          <w:tcPr>
            <w:tcW w:w="75" w:type="dxa"/>
            <w:tcBorders/>
            <w:shd w:fill="EDEDED"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ARIAL" w:hAnsi="ARIAL"/>
                <w:sz w:val="20"/>
              </w:rPr>
            </w:pPr>
            <w:r>
              <w:rPr>
                <w:rFonts w:ascii="ARIAL" w:hAnsi="ARIAL"/>
                <w:sz w:val="20"/>
              </w:rPr>
              <w:t xml:space="preserve">One-time Spin related costs </w:t>
            </w:r>
            <w:r>
              <w:rPr>
                <w:rFonts w:ascii="ARIAL" w:hAnsi="ARIAL"/>
                <w:i/>
                <w:sz w:val="20"/>
              </w:rPr>
              <w:t>e</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right"/>
              <w:rPr/>
            </w:pPr>
            <w:r>
              <w:rPr/>
              <w:t>31.7</w:t>
            </w:r>
          </w:p>
        </w:tc>
        <w:tc>
          <w:tcPr>
            <w:tcW w:w="164"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0.0</w:t>
            </w:r>
          </w:p>
        </w:tc>
        <w:tc>
          <w:tcPr>
            <w:tcW w:w="75" w:type="dxa"/>
            <w:tcBorders/>
            <w:vAlign w:val="center"/>
          </w:tcPr>
          <w:p>
            <w:pPr>
              <w:pStyle w:val="TableContents"/>
              <w:bidi w:val="0"/>
              <w:spacing w:before="0" w:after="283"/>
              <w:jc w:val="left"/>
              <w:rPr/>
            </w:pPr>
            <w:r>
              <w:rPr/>
              <w:t> </w:t>
            </w:r>
          </w:p>
        </w:tc>
      </w:tr>
      <w:tr>
        <w:trPr/>
        <w:tc>
          <w:tcPr>
            <w:tcW w:w="3770" w:type="dxa"/>
            <w:tcBorders/>
            <w:shd w:fill="EDEDED" w:val="clear"/>
            <w:vAlign w:val="center"/>
          </w:tcPr>
          <w:p>
            <w:pPr>
              <w:pStyle w:val="TableContents"/>
              <w:bidi w:val="0"/>
              <w:spacing w:before="0" w:after="0"/>
              <w:jc w:val="left"/>
              <w:rPr>
                <w:rFonts w:ascii="ARIAL" w:hAnsi="ARIAL"/>
                <w:sz w:val="20"/>
              </w:rPr>
            </w:pPr>
            <w:r>
              <w:rPr>
                <w:rFonts w:ascii="ARIAL" w:hAnsi="ARIAL"/>
                <w:sz w:val="20"/>
              </w:rPr>
              <w:t xml:space="preserve">Customer matter </w:t>
            </w:r>
            <w:r>
              <w:rPr>
                <w:rFonts w:ascii="ARIAL" w:hAnsi="ARIAL"/>
                <w:i/>
                <w:sz w:val="20"/>
              </w:rPr>
              <w:t>f</w:t>
            </w:r>
          </w:p>
        </w:tc>
        <w:tc>
          <w:tcPr>
            <w:tcW w:w="120" w:type="dxa"/>
            <w:tcBorders/>
            <w:shd w:fill="EDEDED" w:val="clear"/>
            <w:vAlign w:val="center"/>
          </w:tcPr>
          <w:p>
            <w:pPr>
              <w:pStyle w:val="TableContents"/>
              <w:bidi w:val="0"/>
              <w:spacing w:before="0" w:after="283"/>
              <w:jc w:val="left"/>
              <w:rPr/>
            </w:pPr>
            <w:r>
              <w:rPr/>
              <w:t>  </w:t>
            </w:r>
          </w:p>
        </w:tc>
        <w:tc>
          <w:tcPr>
            <w:tcW w:w="148" w:type="dxa"/>
            <w:tcBorders/>
            <w:shd w:fill="EDEDED" w:val="clear"/>
            <w:vAlign w:val="center"/>
          </w:tcPr>
          <w:p>
            <w:pPr>
              <w:pStyle w:val="TableContents"/>
              <w:bidi w:val="0"/>
              <w:spacing w:before="0" w:after="283"/>
              <w:jc w:val="left"/>
              <w:rPr/>
            </w:pPr>
            <w:r>
              <w:rPr/>
              <w:t> </w:t>
            </w:r>
          </w:p>
        </w:tc>
        <w:tc>
          <w:tcPr>
            <w:tcW w:w="593" w:type="dxa"/>
            <w:tcBorders/>
            <w:shd w:fill="EDEDED" w:val="clear"/>
            <w:vAlign w:val="center"/>
          </w:tcPr>
          <w:p>
            <w:pPr>
              <w:pStyle w:val="TableContents"/>
              <w:bidi w:val="0"/>
              <w:spacing w:before="0" w:after="283"/>
              <w:jc w:val="right"/>
              <w:rPr/>
            </w:pPr>
            <w:r>
              <w:rPr/>
              <w:t>5.5</w:t>
            </w:r>
          </w:p>
        </w:tc>
        <w:tc>
          <w:tcPr>
            <w:tcW w:w="164" w:type="dxa"/>
            <w:tcBorders/>
            <w:shd w:fill="EDEDED" w:val="clear"/>
            <w:vAlign w:val="center"/>
          </w:tcPr>
          <w:p>
            <w:pPr>
              <w:pStyle w:val="TableContents"/>
              <w:bidi w:val="0"/>
              <w:spacing w:before="0" w:after="283"/>
              <w:jc w:val="left"/>
              <w:rPr/>
            </w:pPr>
            <w:r>
              <w:rPr/>
              <w:t> </w:t>
            </w:r>
          </w:p>
        </w:tc>
        <w:tc>
          <w:tcPr>
            <w:tcW w:w="127" w:type="dxa"/>
            <w:tcBorders/>
            <w:shd w:fill="EDEDED" w:val="clear"/>
            <w:vAlign w:val="center"/>
          </w:tcPr>
          <w:p>
            <w:pPr>
              <w:pStyle w:val="TableContents"/>
              <w:bidi w:val="0"/>
              <w:spacing w:before="0" w:after="283"/>
              <w:jc w:val="left"/>
              <w:rPr/>
            </w:pPr>
            <w:r>
              <w:rPr/>
              <w:t>  </w:t>
            </w:r>
          </w:p>
        </w:tc>
        <w:tc>
          <w:tcPr>
            <w:tcW w:w="148" w:type="dxa"/>
            <w:tcBorders/>
            <w:shd w:fill="EDEDED" w:val="clear"/>
            <w:vAlign w:val="center"/>
          </w:tcPr>
          <w:p>
            <w:pPr>
              <w:pStyle w:val="TableContents"/>
              <w:bidi w:val="0"/>
              <w:spacing w:before="0" w:after="283"/>
              <w:jc w:val="left"/>
              <w:rPr/>
            </w:pPr>
            <w:r>
              <w:rPr/>
              <w:t> </w:t>
            </w:r>
          </w:p>
        </w:tc>
        <w:tc>
          <w:tcPr>
            <w:tcW w:w="595" w:type="dxa"/>
            <w:tcBorders/>
            <w:shd w:fill="EDEDED" w:val="clear"/>
            <w:vAlign w:val="center"/>
          </w:tcPr>
          <w:p>
            <w:pPr>
              <w:pStyle w:val="TableContents"/>
              <w:bidi w:val="0"/>
              <w:spacing w:before="0" w:after="283"/>
              <w:jc w:val="right"/>
              <w:rPr/>
            </w:pPr>
            <w:r>
              <w:rPr/>
              <w:t>0.0</w:t>
            </w:r>
          </w:p>
        </w:tc>
        <w:tc>
          <w:tcPr>
            <w:tcW w:w="75" w:type="dxa"/>
            <w:tcBorders/>
            <w:shd w:fill="EDEDED"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0"/>
              <w:jc w:val="left"/>
              <w:rPr>
                <w:rFonts w:ascii="ARIAL" w:hAnsi="ARIAL"/>
                <w:sz w:val="20"/>
              </w:rPr>
            </w:pPr>
            <w:r>
              <w:rPr>
                <w:rFonts w:ascii="ARIAL" w:hAnsi="ARIAL"/>
                <w:sz w:val="20"/>
              </w:rPr>
              <w:t>Other</w:t>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3" w:type="dxa"/>
            <w:tcBorders/>
            <w:vAlign w:val="center"/>
          </w:tcPr>
          <w:p>
            <w:pPr>
              <w:pStyle w:val="TableContents"/>
              <w:bidi w:val="0"/>
              <w:spacing w:before="0" w:after="283"/>
              <w:jc w:val="right"/>
              <w:rPr/>
            </w:pPr>
            <w:r>
              <w:rPr/>
              <w:t>(5.9</w:t>
            </w:r>
          </w:p>
        </w:tc>
        <w:tc>
          <w:tcPr>
            <w:tcW w:w="164"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right"/>
              <w:rPr/>
            </w:pPr>
            <w:r>
              <w:rPr/>
              <w:t>4.7</w:t>
            </w:r>
          </w:p>
        </w:tc>
        <w:tc>
          <w:tcPr>
            <w:tcW w:w="75" w:type="dxa"/>
            <w:tcBorders/>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pBdr>
                <w:top w:val="single" w:sz="2" w:space="1" w:color="000000"/>
              </w:pBdr>
              <w:bidi w:val="0"/>
              <w:spacing w:before="0" w:after="0"/>
              <w:jc w:val="left"/>
              <w:rPr/>
            </w:pPr>
            <w:r>
              <w:rPr/>
              <w:t> </w:t>
            </w:r>
          </w:p>
        </w:tc>
        <w:tc>
          <w:tcPr>
            <w:tcW w:w="593" w:type="dxa"/>
            <w:tcBorders/>
            <w:vAlign w:val="center"/>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8" w:type="dxa"/>
            <w:tcBorders/>
            <w:vAlign w:val="center"/>
          </w:tcPr>
          <w:p>
            <w:pPr>
              <w:pStyle w:val="TableContents"/>
              <w:pBdr>
                <w:top w:val="single" w:sz="2" w:space="1" w:color="000000"/>
              </w:pBdr>
              <w:bidi w:val="0"/>
              <w:spacing w:before="0" w:after="0"/>
              <w:jc w:val="left"/>
              <w:rPr/>
            </w:pPr>
            <w:r>
              <w:rPr/>
              <w:t> </w:t>
            </w:r>
          </w:p>
        </w:tc>
        <w:tc>
          <w:tcPr>
            <w:tcW w:w="595" w:type="dxa"/>
            <w:tcBorders/>
            <w:vAlign w:val="center"/>
          </w:tcPr>
          <w:p>
            <w:pPr>
              <w:pStyle w:val="TableContents"/>
              <w:pBdr>
                <w:top w:val="single" w:sz="2"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r>
        <w:trPr/>
        <w:tc>
          <w:tcPr>
            <w:tcW w:w="3770" w:type="dxa"/>
            <w:tcBorders/>
            <w:shd w:fill="EDEDED" w:val="clear"/>
            <w:vAlign w:val="center"/>
          </w:tcPr>
          <w:p>
            <w:pPr>
              <w:pStyle w:val="TableContents"/>
              <w:bidi w:val="0"/>
              <w:spacing w:before="0" w:after="0"/>
              <w:jc w:val="left"/>
              <w:rPr>
                <w:rFonts w:ascii="ARIAL" w:hAnsi="ARIAL"/>
                <w:b/>
                <w:sz w:val="20"/>
              </w:rPr>
            </w:pPr>
            <w:r>
              <w:rPr>
                <w:rFonts w:ascii="ARIAL" w:hAnsi="ARIAL"/>
                <w:b/>
                <w:sz w:val="20"/>
              </w:rPr>
              <w:t>Adjusted EBITDA </w:t>
            </w:r>
          </w:p>
        </w:tc>
        <w:tc>
          <w:tcPr>
            <w:tcW w:w="120" w:type="dxa"/>
            <w:tcBorders/>
            <w:shd w:fill="EDEDED" w:val="clear"/>
            <w:vAlign w:val="center"/>
          </w:tcPr>
          <w:p>
            <w:pPr>
              <w:pStyle w:val="TableContents"/>
              <w:bidi w:val="0"/>
              <w:spacing w:before="0" w:after="283"/>
              <w:jc w:val="left"/>
              <w:rPr/>
            </w:pPr>
            <w:r>
              <w:rPr/>
              <w:t>  </w:t>
            </w:r>
          </w:p>
        </w:tc>
        <w:tc>
          <w:tcPr>
            <w:tcW w:w="148" w:type="dxa"/>
            <w:tcBorders/>
            <w:shd w:fill="EDEDED" w:val="clear"/>
            <w:vAlign w:val="center"/>
          </w:tcPr>
          <w:p>
            <w:pPr>
              <w:pStyle w:val="TableContents"/>
              <w:bidi w:val="0"/>
              <w:spacing w:before="0" w:after="283"/>
              <w:jc w:val="left"/>
              <w:rPr/>
            </w:pPr>
            <w:r>
              <w:rPr/>
              <w:t>$</w:t>
            </w:r>
          </w:p>
        </w:tc>
        <w:tc>
          <w:tcPr>
            <w:tcW w:w="593" w:type="dxa"/>
            <w:tcBorders/>
            <w:shd w:fill="EDEDED" w:val="clear"/>
            <w:vAlign w:val="center"/>
          </w:tcPr>
          <w:p>
            <w:pPr>
              <w:pStyle w:val="TableContents"/>
              <w:bidi w:val="0"/>
              <w:spacing w:before="0" w:after="283"/>
              <w:jc w:val="right"/>
              <w:rPr/>
            </w:pPr>
            <w:r>
              <w:rPr/>
              <w:t>267.3</w:t>
            </w:r>
          </w:p>
        </w:tc>
        <w:tc>
          <w:tcPr>
            <w:tcW w:w="164" w:type="dxa"/>
            <w:tcBorders/>
            <w:shd w:fill="EDEDED" w:val="clear"/>
            <w:vAlign w:val="center"/>
          </w:tcPr>
          <w:p>
            <w:pPr>
              <w:pStyle w:val="TableContents"/>
              <w:bidi w:val="0"/>
              <w:spacing w:before="0" w:after="283"/>
              <w:jc w:val="left"/>
              <w:rPr/>
            </w:pPr>
            <w:r>
              <w:rPr/>
              <w:t> </w:t>
            </w:r>
          </w:p>
        </w:tc>
        <w:tc>
          <w:tcPr>
            <w:tcW w:w="127" w:type="dxa"/>
            <w:tcBorders/>
            <w:shd w:fill="EDEDED" w:val="clear"/>
            <w:vAlign w:val="center"/>
          </w:tcPr>
          <w:p>
            <w:pPr>
              <w:pStyle w:val="TableContents"/>
              <w:bidi w:val="0"/>
              <w:spacing w:before="0" w:after="283"/>
              <w:jc w:val="left"/>
              <w:rPr/>
            </w:pPr>
            <w:r>
              <w:rPr/>
              <w:t>  </w:t>
            </w:r>
          </w:p>
        </w:tc>
        <w:tc>
          <w:tcPr>
            <w:tcW w:w="148" w:type="dxa"/>
            <w:tcBorders/>
            <w:shd w:fill="EDEDED" w:val="clear"/>
            <w:vAlign w:val="center"/>
          </w:tcPr>
          <w:p>
            <w:pPr>
              <w:pStyle w:val="TableContents"/>
              <w:bidi w:val="0"/>
              <w:spacing w:before="0" w:after="283"/>
              <w:jc w:val="left"/>
              <w:rPr/>
            </w:pPr>
            <w:r>
              <w:rPr/>
              <w:t>$</w:t>
            </w:r>
          </w:p>
        </w:tc>
        <w:tc>
          <w:tcPr>
            <w:tcW w:w="595" w:type="dxa"/>
            <w:tcBorders/>
            <w:shd w:fill="EDEDED" w:val="clear"/>
            <w:vAlign w:val="center"/>
          </w:tcPr>
          <w:p>
            <w:pPr>
              <w:pStyle w:val="TableContents"/>
              <w:bidi w:val="0"/>
              <w:spacing w:before="0" w:after="283"/>
              <w:jc w:val="right"/>
              <w:rPr/>
            </w:pPr>
            <w:r>
              <w:rPr/>
              <w:t>405.1</w:t>
            </w:r>
          </w:p>
        </w:tc>
        <w:tc>
          <w:tcPr>
            <w:tcW w:w="75" w:type="dxa"/>
            <w:tcBorders/>
            <w:shd w:fill="EDEDED" w:val="clear"/>
            <w:vAlign w:val="center"/>
          </w:tcPr>
          <w:p>
            <w:pPr>
              <w:pStyle w:val="TableContents"/>
              <w:bidi w:val="0"/>
              <w:spacing w:before="0" w:after="283"/>
              <w:jc w:val="left"/>
              <w:rPr/>
            </w:pPr>
            <w:r>
              <w:rPr/>
              <w:t> </w:t>
            </w:r>
          </w:p>
        </w:tc>
      </w:tr>
      <w:tr>
        <w:trPr/>
        <w:tc>
          <w:tcPr>
            <w:tcW w:w="37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48" w:type="dxa"/>
            <w:tcBorders/>
            <w:vAlign w:val="center"/>
          </w:tcPr>
          <w:p>
            <w:pPr>
              <w:pStyle w:val="TableContents"/>
              <w:pBdr>
                <w:top w:val="double" w:sz="6" w:space="1" w:color="000000"/>
              </w:pBdr>
              <w:bidi w:val="0"/>
              <w:spacing w:before="0" w:after="0"/>
              <w:jc w:val="left"/>
              <w:rPr/>
            </w:pPr>
            <w:r>
              <w:rPr/>
              <w:t> </w:t>
            </w:r>
          </w:p>
        </w:tc>
        <w:tc>
          <w:tcPr>
            <w:tcW w:w="593" w:type="dxa"/>
            <w:tcBorders/>
            <w:vAlign w:val="center"/>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jc w:val="left"/>
              <w:rPr/>
            </w:pPr>
            <w:r>
              <w:rPr/>
              <w:t>  </w:t>
            </w:r>
          </w:p>
        </w:tc>
        <w:tc>
          <w:tcPr>
            <w:tcW w:w="148" w:type="dxa"/>
            <w:tcBorders/>
            <w:vAlign w:val="center"/>
          </w:tcPr>
          <w:p>
            <w:pPr>
              <w:pStyle w:val="TableContents"/>
              <w:pBdr>
                <w:top w:val="double" w:sz="6" w:space="1" w:color="000000"/>
              </w:pBdr>
              <w:bidi w:val="0"/>
              <w:spacing w:before="0" w:after="0"/>
              <w:jc w:val="left"/>
              <w:rPr/>
            </w:pPr>
            <w:r>
              <w:rPr/>
              <w:t> </w:t>
            </w:r>
          </w:p>
        </w:tc>
        <w:tc>
          <w:tcPr>
            <w:tcW w:w="595" w:type="dxa"/>
            <w:tcBorders/>
            <w:vAlign w:val="center"/>
          </w:tcPr>
          <w:p>
            <w:pPr>
              <w:pStyle w:val="TableContents"/>
              <w:pBdr>
                <w:top w:val="double" w:sz="6" w:space="1" w:color="000000"/>
              </w:pBdr>
              <w:bidi w:val="0"/>
              <w:spacing w:before="0" w:after="0"/>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40" w:after="0"/>
        <w:jc w:val="left"/>
        <w:rPr>
          <w:rFonts w:ascii="ARIAL" w:hAnsi="ARIAL"/>
          <w:sz w:val="18"/>
        </w:rPr>
      </w:pPr>
      <w:r>
        <w:rPr>
          <w:rFonts w:ascii="ARIAL" w:hAnsi="ARIAL"/>
          <w:sz w:val="18"/>
        </w:rPr>
        <w:t xml:space="preserve">a Amortization represents amortization of intangible assets acquired as part of business acquisitions. </w:t>
      </w:r>
    </w:p>
    <w:p>
      <w:pPr>
        <w:pStyle w:val="TextBody"/>
        <w:bidi w:val="0"/>
        <w:spacing w:before="40" w:after="0"/>
        <w:jc w:val="left"/>
        <w:rPr>
          <w:rFonts w:ascii="ARIAL" w:hAnsi="ARIAL"/>
          <w:sz w:val="18"/>
        </w:rPr>
      </w:pPr>
      <w:r>
        <w:rPr>
          <w:rFonts w:ascii="ARIAL" w:hAnsi="ARIAL"/>
          <w:sz w:val="18"/>
        </w:rPr>
        <w:t xml:space="preserve">b During 2022, impairment of identifiable intangible assets of $9.8 was recorded for the Enabling Services segment for impairment of technology assets. </w:t>
      </w:r>
    </w:p>
    <w:p>
      <w:pPr>
        <w:pStyle w:val="TextBody"/>
        <w:bidi w:val="0"/>
        <w:spacing w:before="40" w:after="0"/>
        <w:jc w:val="left"/>
        <w:rPr>
          <w:rFonts w:ascii="ARIAL" w:hAnsi="ARIAL"/>
          <w:sz w:val="18"/>
        </w:rPr>
      </w:pPr>
      <w:r>
        <w:rPr>
          <w:rFonts w:ascii="ARIAL" w:hAnsi="ARIAL"/>
          <w:sz w:val="18"/>
        </w:rPr>
        <w:t xml:space="preserve">c Restructuring and other charges represent amounts incurred in connection with the elimination of redundant positions to reduce overcapacity, align resources, and restructure certain operations. </w:t>
      </w:r>
    </w:p>
    <w:p>
      <w:pPr>
        <w:pStyle w:val="TextBody"/>
        <w:bidi w:val="0"/>
        <w:spacing w:before="40" w:after="0"/>
        <w:jc w:val="left"/>
        <w:rPr>
          <w:rFonts w:ascii="ARIAL" w:hAnsi="ARIAL"/>
          <w:sz w:val="18"/>
        </w:rPr>
      </w:pPr>
      <w:r>
        <w:rPr>
          <w:rFonts w:ascii="ARIAL" w:hAnsi="ARIAL"/>
          <w:sz w:val="18"/>
        </w:rPr>
        <w:t xml:space="preserve">d Acquisition and disposition-related costs include due-diligence legal and advisory fees, retention bonuses and other integration or disposition-related activities. </w:t>
      </w:r>
    </w:p>
    <w:p>
      <w:pPr>
        <w:pStyle w:val="TextBody"/>
        <w:bidi w:val="0"/>
        <w:spacing w:before="40" w:after="0"/>
        <w:jc w:val="left"/>
        <w:rPr>
          <w:rFonts w:ascii="ARIAL" w:hAnsi="ARIAL"/>
          <w:sz w:val="18"/>
        </w:rPr>
      </w:pPr>
      <w:r>
        <w:rPr>
          <w:rFonts w:ascii="ARIAL" w:hAnsi="ARIAL"/>
          <w:sz w:val="18"/>
        </w:rPr>
        <w:t xml:space="preserve">e Represents one-time or incremental costs required to implement capabilities to exit transition services agreements. </w:t>
      </w:r>
    </w:p>
    <w:p>
      <w:pPr>
        <w:pStyle w:val="TextBody"/>
        <w:bidi w:val="0"/>
        <w:spacing w:before="40" w:after="0"/>
        <w:jc w:val="left"/>
        <w:rPr>
          <w:rFonts w:ascii="ARIAL" w:hAnsi="ARIAL"/>
          <w:sz w:val="18"/>
        </w:rPr>
      </w:pPr>
      <w:r>
        <w:rPr>
          <w:rFonts w:ascii="ARIAL" w:hAnsi="ARIAL"/>
          <w:sz w:val="18"/>
        </w:rPr>
        <w:t xml:space="preserve">f As part of working with the customer, the Company has agreed to make concessions and provide discounts and other consideration to the customer as part of a multi-party solution. The Company’s contribution to the customer is approximately $5.5 in 2023 and anticipated to be $7.0 in 2024. </w:t>
      </w:r>
    </w:p>
    <w:p>
      <w:pPr>
        <w:pStyle w:val="TextBody"/>
        <w:bidi w:val="0"/>
        <w:spacing w:before="0" w:after="0"/>
        <w:jc w:val="left"/>
        <w:rPr/>
      </w:pPr>
      <w:r>
        <w:rPr/>
        <w:t> </w:t>
      </w:r>
    </w:p>
    <w:p>
      <w:pPr>
        <w:pStyle w:val="TextBody"/>
        <w:pBdr>
          <w:bottom w:val="single" w:sz="2" w:space="1" w:color="0BC11C"/>
        </w:pBdr>
        <w:bidi w:val="0"/>
        <w:spacing w:lineRule="atLeast" w:line="142" w:before="0" w:after="40"/>
        <w:jc w:val="left"/>
        <w:rPr/>
      </w:pPr>
      <w:r>
        <w:rPr/>
        <w:t> </w:t>
      </w:r>
    </w:p>
    <w:p>
      <w:pPr>
        <w:pStyle w:val="TextBody"/>
        <w:bidi w:val="0"/>
        <w:spacing w:before="0" w:after="0"/>
        <w:jc w:val="left"/>
        <w:rPr>
          <w:rFonts w:ascii="ARIAL" w:hAnsi="ARIAL"/>
          <w:sz w:val="14"/>
        </w:rPr>
      </w:pPr>
      <w:r>
        <w:rPr>
          <w:rFonts w:ascii="ARIAL" w:hAnsi="ARIAL"/>
          <w:b/>
          <w:color w:val="0BC11C"/>
          <w:sz w:val="16"/>
        </w:rPr>
        <w:t>58</w:t>
      </w:r>
      <w:r>
        <w:rPr>
          <w:rFonts w:ascii="ARIAL" w:hAnsi="ARIAL"/>
          <w:sz w:val="14"/>
        </w:rPr>
        <w:t xml:space="preserve"> 2024 Proxy Statement • FORTREA </w:t>
      </w:r>
      <w:r>
        <w:br w:type="page"/>
      </w:r>
    </w:p>
    <w:p>
      <w:pPr>
        <w:pStyle w:val="HorizontalLine"/>
        <w:bidi w:val="0"/>
        <w:jc w:val="left"/>
        <w:rPr/>
      </w:pPr>
      <w:r>
        <w:rPr/>
      </w:r>
    </w:p>
    <w:p>
      <w:pPr>
        <w:pStyle w:val="TextBody"/>
        <w:bidi w:val="0"/>
        <w:spacing w:before="0" w:after="0"/>
        <w:jc w:val="center"/>
        <w:rPr/>
      </w:pPr>
      <w:r>
        <w:rPr/>
        <w:drawing>
          <wp:inline distT="0" distB="0" distL="0" distR="0">
            <wp:extent cx="6429375" cy="8382000"/>
            <wp:effectExtent l="0" t="0" r="0" b="0"/>
            <wp:docPr id="3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3" descr=""/>
                    <pic:cNvPicPr>
                      <a:picLocks noChangeAspect="1" noChangeArrowheads="1"/>
                    </pic:cNvPicPr>
                  </pic:nvPicPr>
                  <pic:blipFill>
                    <a:blip r:embed="rId30"/>
                    <a:stretch>
                      <a:fillRect/>
                    </a:stretch>
                  </pic:blipFill>
                  <pic:spPr bwMode="auto">
                    <a:xfrm>
                      <a:off x="0" y="0"/>
                      <a:ext cx="6429375" cy="8382000"/>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8 Moore drive durtham, north carolina 27709 </w:t>
      </w:r>
      <w:r>
        <w:br w:type="page"/>
      </w:r>
    </w:p>
    <w:p>
      <w:pPr>
        <w:pStyle w:val="HorizontalLine"/>
        <w:bidi w:val="0"/>
        <w:jc w:val="left"/>
        <w:rPr/>
      </w:pPr>
      <w:r>
        <w:rPr/>
      </w:r>
    </w:p>
    <w:p>
      <w:pPr>
        <w:pStyle w:val="TextBody"/>
        <w:bidi w:val="0"/>
        <w:spacing w:before="0" w:after="0"/>
        <w:jc w:val="left"/>
        <w:rPr/>
      </w:pPr>
      <w:r>
        <w:rPr/>
        <w:drawing>
          <wp:inline distT="0" distB="0" distL="0" distR="0">
            <wp:extent cx="7810500" cy="10106025"/>
            <wp:effectExtent l="0" t="0" r="0" b="0"/>
            <wp:docPr id="3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4" descr=""/>
                    <pic:cNvPicPr>
                      <a:picLocks noChangeAspect="1" noChangeArrowheads="1"/>
                    </pic:cNvPicPr>
                  </pic:nvPicPr>
                  <pic:blipFill>
                    <a:blip r:embed="rId31"/>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jc w:val="left"/>
        <w:rPr>
          <w:rFonts w:ascii="ARIAL" w:hAnsi="ARIAL"/>
          <w:color w:val="FFFFFF"/>
          <w:sz w:val="2"/>
        </w:rPr>
      </w:pPr>
      <w:r>
        <w:rPr>
          <w:rFonts w:ascii="ARIAL" w:hAnsi="ARIAL"/>
          <w:color w:val="FFFFFF"/>
          <w:sz w:val="2"/>
        </w:rPr>
        <w:t xml:space="preserve">FORTREA HOLDINGS INC. 8 MOORE DRIVE, DURHAM NORTH CAROLINA 27709 SCAN TO VIEW MATERIALS &amp; VOTE VOTE BY INTERNET—www.proxyvote.com or scan the QR Barcode above Use the Internet to transmit your voting instructions and for electronic delivery of information up until 11:59 p.m. Eastern Time on May 13, 2024. Have your proxy card in hand when you access the web site and follow the instructions to obtain your records and to create an electronic voting instruction form. VOTE BY PHONE—1-800-690-6903 Use any touch-tone telephone to transmit your voting instructions up until 11:59 p.m. Eastern Time on May 13, 2024. Have your proxy card in hand when you call and then follow the instructions. ELECTRONIC DELIVERY OF FUTURE PROXY MATERIALS If you would like to reduce the costs incurred by Fortrea Holdings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MAIL Mark, sign and date your proxy card and return it in the postage-paid envelope we have provided or return it to Fortrea Holdings Inc., c/o Broadridge, 51 Mercedes Way, Edgewood, NY 11717. TO VOTE, MARK BLOCKS BELOW IN BLUE OR BLACK INK AS FOLLOWS: V42240-TBD KEEP THIS PORTION FOR YOUR RECORDS THIS PROXY CARD IS VALID ONLY WHEN SIGNED AND DATED. DETACH AND RETURN THIS PORTION ONLY FORTREA HOLDINGS INC. The Board of Directors recommends you vote FOR each of the director nominees listed in proposal 1 ( 1a and 1b) and FOR Proposal 2 and proposal 3: 1. Election of Directors For Against Abstain Nominees: 1a. Edward Pesicka ! ! ! 1b. David Smith ! ! ! For Against Abstain 2. Ratification of the appointment of Deloitte &amp; Touche LLP. ! ! ! 3. Advisory vote to approve compensation for our named executive officers. ! ! ! The Board of Directors recommends you vote 1 Year on the following proposal: 1 Year 2 Years 3 Years Abstain 4. Advisory vote on the frequency of future advisory votes on executive compensation. ! ! ! !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w:t>
      </w:r>
      <w:r>
        <w:br w:type="page"/>
      </w:r>
    </w:p>
    <w:p>
      <w:pPr>
        <w:pStyle w:val="HorizontalLine"/>
        <w:bidi w:val="0"/>
        <w:jc w:val="left"/>
        <w:rPr/>
      </w:pPr>
      <w:r>
        <w:rPr/>
      </w:r>
    </w:p>
    <w:p>
      <w:pPr>
        <w:pStyle w:val="TextBody"/>
        <w:bidi w:val="0"/>
        <w:spacing w:before="0" w:after="0"/>
        <w:jc w:val="left"/>
        <w:rPr/>
      </w:pPr>
      <w:r>
        <w:rPr/>
        <w:drawing>
          <wp:inline distT="0" distB="0" distL="0" distR="0">
            <wp:extent cx="7810500" cy="10106025"/>
            <wp:effectExtent l="0" t="0" r="0" b="0"/>
            <wp:docPr id="3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5" descr=""/>
                    <pic:cNvPicPr>
                      <a:picLocks noChangeAspect="1" noChangeArrowheads="1"/>
                    </pic:cNvPicPr>
                  </pic:nvPicPr>
                  <pic:blipFill>
                    <a:blip r:embed="rId32"/>
                    <a:stretch>
                      <a:fillRect/>
                    </a:stretch>
                  </pic:blipFill>
                  <pic:spPr bwMode="auto">
                    <a:xfrm>
                      <a:off x="0" y="0"/>
                      <a:ext cx="7810500" cy="10106025"/>
                    </a:xfrm>
                    <a:prstGeom prst="rect">
                      <a:avLst/>
                    </a:prstGeom>
                  </pic:spPr>
                </pic:pic>
              </a:graphicData>
            </a:graphic>
          </wp:inline>
        </w:drawing>
      </w:r>
      <w:r>
        <w:rPr/>
        <w:t xml:space="preserve"> </w:t>
      </w:r>
    </w:p>
    <w:p>
      <w:pPr>
        <w:pStyle w:val="TextBody"/>
        <w:bidi w:val="0"/>
        <w:spacing w:before="0" w:after="283"/>
        <w:jc w:val="left"/>
        <w:rPr>
          <w:rFonts w:ascii="ARIAL" w:hAnsi="ARIAL"/>
          <w:color w:val="FFFFFF"/>
          <w:sz w:val="2"/>
        </w:rPr>
      </w:pPr>
      <w:r>
        <w:rPr>
          <w:rFonts w:ascii="ARIAL" w:hAnsi="ARIAL"/>
          <w:color w:val="FFFFFF"/>
          <w:sz w:val="2"/>
        </w:rPr>
        <w:t xml:space="preserve">Important Notice Regarding the Availability of Proxy Materials for the Annual Meeting: The Notice and Proxy Statement and Annual Report are available at www.proxyvote.com. V42241-TBD FORTREA HOLDINGS INC. PROXY FOR ANNUAL MEETING OF STOCKHOLDERS MAY 14, 2024 AT 7:30 A.M. THIS PROXY IS SOLICITED BY OF THE BOARD OF DIRECTORS The Stockholder(s) whose signature(s) appear(s) on the reverse side hereby appoint(s) each of Thomas Pike, Jill McConnell, and Stillman Hanson, each with full power of substitution, as proxies to vote all of the shares of stock in FORTREA HOLDINGS INC., (the “Company”) which the Stockholder(s) would be entitled to vote at the Annual Meeting of Stockholders of the Company, to be held at The Mayton Inn, 301 South Academy Street, Cary, North Carolina 27511 on May 14, 2024 at 7:30 a.m. local time and at any adjournment or postponement thereof: (1) as hereinafter specified upon the proposals listed on the reverse side and as more particularly described in the Company’s Proxy Statement, receipt of which is hereby acknowledged, and (2) in their discretion upon such other matters as may properly come before the meeting and any adjournment or postponement thereof. The shares represented hereby shall be voted as specified. If no specification is made, such shares shall be voted FOR the election of the nominees listed on the reverse side for the Board of Directors, FOR Proposals 2 and 3 and 1 YEAR on Proposal 4. Whether or not you are able to attend the meeting, you are urged to sign and mail the proxy card in the return envelope so that the stock may be represented at the meeting. Continued and to be signed on reverse side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5.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9.jpeg"/><Relationship Id="rId21" Type="http://schemas.openxmlformats.org/officeDocument/2006/relationships/image" Target="media/image9.jpeg"/><Relationship Id="rId22" Type="http://schemas.openxmlformats.org/officeDocument/2006/relationships/image" Target="media/image9.jpeg"/><Relationship Id="rId23" Type="http://schemas.openxmlformats.org/officeDocument/2006/relationships/image" Target="media/image10.jpeg"/><Relationship Id="rId24" Type="http://schemas.openxmlformats.org/officeDocument/2006/relationships/image" Target="media/image11.jpeg"/><Relationship Id="rId25" Type="http://schemas.openxmlformats.org/officeDocument/2006/relationships/image" Target="media/image12.jpeg"/><Relationship Id="rId26" Type="http://schemas.openxmlformats.org/officeDocument/2006/relationships/image" Target="media/image13.jpeg"/><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image" Target="media/image4.jpeg"/><Relationship Id="rId30" Type="http://schemas.openxmlformats.org/officeDocument/2006/relationships/image" Target="media/image16.jpeg"/><Relationship Id="rId31" Type="http://schemas.openxmlformats.org/officeDocument/2006/relationships/image" Target="media/image17.jpeg"/><Relationship Id="rId32" Type="http://schemas.openxmlformats.org/officeDocument/2006/relationships/image" Target="media/image18.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64</Pages>
  <Words>34263</Words>
  <Characters>184768</Characters>
  <CharactersWithSpaces>221662</CharactersWithSpaces>
  <Paragraphs>5960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