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Russell Carrie Elizabeth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 MOORE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DURHAM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27713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Fortrea Holdings Inc.</w:t>
              </w:r>
            </w:hyperlink>
            <w:r>
              <w:rPr/>
              <w:t xml:space="preserve"> [ </w:t>
            </w:r>
            <w:r>
              <w:rPr>
                <w:rFonts w:ascii="Times;serif" w:hAnsi="Times;serif"/>
                <w:color w:val="0000FF"/>
                <w:sz w:val="24"/>
                <w:shd w:fill="FFFFFF" w:val="clear"/>
              </w:rPr>
              <w:t>FTRE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Interim CAO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09"/>
        <w:gridCol w:w="459"/>
        <w:gridCol w:w="798"/>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850</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2,630</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(2)</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246</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16.85</w:t>
            </w:r>
            <w:r>
              <w:rPr>
                <w:rFonts w:ascii="Times;serif" w:hAnsi="Times;serif"/>
                <w:color w:val="008000"/>
                <w:position w:val="7"/>
                <w:sz w:val="16"/>
                <w:sz w:val="20"/>
                <w:shd w:fill="FFFFFF" w:val="clear"/>
              </w:rPr>
              <w:t>(3)</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2,384</w:t>
            </w:r>
            <w:r>
              <w:rPr>
                <w:rFonts w:ascii="Times;serif" w:hAnsi="Times;serif"/>
                <w:color w:val="008000"/>
                <w:position w:val="7"/>
                <w:sz w:val="16"/>
                <w:sz w:val="20"/>
                <w:shd w:fill="FFFFFF" w:val="clear"/>
              </w:rPr>
              <w:t>(4)</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850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14,475</w:t>
            </w:r>
            <w:r>
              <w:rPr>
                <w:rFonts w:ascii="Times;serif" w:hAnsi="Times;serif"/>
                <w:color w:val="008000"/>
                <w:position w:val="7"/>
                <w:sz w:val="16"/>
                <w:sz w:val="20"/>
                <w:shd w:fill="FFFFFF" w:val="clear"/>
              </w:rPr>
              <w:t>(6)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the right to receive, at settlement, one share of Fortrea Holdings Inc. ("Fortrea") Common Stock. This transaction represents the settlement of RSUs into Common Stock on their scheduled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sales reported on this Form 4 represent shares of Common Stock sold by the Reporting Person to cover tax withholding obligations in connection with the vesting of RSUs. These sales are mandated by the Issuer's election under its equity incentive plans to require the satisfaction of tax withholding obligations to be funded by a "sell to cover" transaction and do not represent discretionary trades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transaction was executed in multiple trades at prices ranging from $16.72 to $17.09. The price reported in column 4 above reflects the weighted average price of the shares of Common Stock sold.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number reflects the aggregate amount of Common Stock held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RSUs vested on September 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This number reflects the aggregate number of RSUs held by the reporting person.</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Erica Smith-Klocek, Attorney-in-Fact for Carrie Russell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50280" TargetMode="External"/><Relationship Id="rId5" Type="http://schemas.openxmlformats.org/officeDocument/2006/relationships/hyperlink" Target="http://www.sec.gov/cgi-bin/browse-edgar?action=getcompany&amp;CIK=00019650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803</Words>
  <Characters>4298</Characters>
  <CharactersWithSpaces>5009</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