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1260"/>
        <w:jc w:val="left"/>
        <w:rPr/>
      </w:pPr>
      <w:hyperlink w:anchor="icbb432a827854184a08b11a2f5970a8b_7">
        <w:r>
          <w:rPr>
            <w:rStyle w:val="InternetLink"/>
            <w:rFonts w:ascii="Times New Roman;sans-serif" w:hAnsi="Times New Roman;sans-serif"/>
            <w:b w:val="false"/>
            <w:color w:val="0000FF"/>
            <w:sz w:val="20"/>
            <w:u w:val="single"/>
          </w:rPr>
          <w:t>INDEX</w:t>
        </w:r>
      </w:hyperlink>
    </w:p>
    <w:p>
      <w:pPr>
        <w:pStyle w:val="TextBody"/>
        <w:bidi w:val="0"/>
        <w:spacing w:before="200" w:after="283"/>
        <w:ind w:left="0" w:right="0" w:firstLine="720"/>
        <w:jc w:val="left"/>
        <w:rPr/>
      </w:pPr>
      <w:r>
        <w:rPr/>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001-41704</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FORTREA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94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92-2796441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8 Moore Drive 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27709</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u w:val="single"/>
        </w:rPr>
        <w:t>(877)-495-0816</w: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353" w:type="dxa"/>
        <w:jc w:val="left"/>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FTRE</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ans-serif" w:hAnsi="Times New Roman;sans-serif"/>
          <w:b w:val="false"/>
          <w:color w:val="000000"/>
          <w:sz w:val="20"/>
        </w:rPr>
        <w:t xml:space="preserve">No </w:t>
      </w:r>
      <w:r>
        <w:rPr>
          <w:rFonts w:ascii="Wingdings;sans-serif" w:hAnsi="Wingdings;sans-serif"/>
          <w:b w:val="false"/>
          <w:color w:val="000000"/>
          <w:sz w:val="20"/>
        </w:rPr>
        <w:t xml:space="preserve">o </w:t>
      </w:r>
    </w:p>
    <w:p>
      <w:pPr>
        <w:pStyle w:val="TextBody"/>
        <w:bidi w:val="0"/>
        <w:spacing w:lineRule="auto" w:line="288" w:before="2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ind w:left="0" w:right="0" w:hanging="1260"/>
        <w:jc w:val="left"/>
        <w:rPr/>
      </w:pPr>
      <w:hyperlink w:anchor="icbb432a827854184a08b11a2f5970a8b_7">
        <w:r>
          <w:rPr>
            <w:rStyle w:val="InternetLink"/>
            <w:rFonts w:ascii="Times New Roman;sans-serif" w:hAnsi="Times New Roman;sans-serif"/>
            <w:b w:val="false"/>
            <w:color w:val="0000FF"/>
            <w:sz w:val="20"/>
            <w:u w:val="single"/>
          </w:rPr>
          <w:t>INDEX</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426" w:type="dxa"/>
        <w:jc w:val="left"/>
        <w:tblInd w:w="0" w:type="dxa"/>
        <w:tblLayout w:type="fixed"/>
        <w:tblCellMar>
          <w:top w:w="28" w:type="dxa"/>
          <w:left w:w="28" w:type="dxa"/>
          <w:bottom w:w="28" w:type="dxa"/>
          <w:right w:w="28" w:type="dxa"/>
        </w:tblCellMar>
      </w:tblPr>
      <w:tblGrid>
        <w:gridCol w:w="1119"/>
        <w:gridCol w:w="985"/>
        <w:gridCol w:w="986"/>
        <w:gridCol w:w="109"/>
        <w:gridCol w:w="109"/>
        <w:gridCol w:w="109"/>
        <w:gridCol w:w="109"/>
        <w:gridCol w:w="109"/>
        <w:gridCol w:w="109"/>
        <w:gridCol w:w="769"/>
        <w:gridCol w:w="769"/>
        <w:gridCol w:w="772"/>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18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90.5 million shares of common stock as of May 8,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left"/>
        <w:rPr/>
      </w:pPr>
      <w:hyperlink w:anchor="icbb432a827854184a08b11a2f5970a8b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w:t>
      </w:r>
    </w:p>
    <w:tbl>
      <w:tblPr>
        <w:tblW w:w="9734" w:type="dxa"/>
        <w:jc w:val="left"/>
        <w:tblInd w:w="0" w:type="dxa"/>
        <w:tblLayout w:type="fixed"/>
        <w:tblCellMar>
          <w:top w:w="28" w:type="dxa"/>
          <w:left w:w="28" w:type="dxa"/>
          <w:bottom w:w="28" w:type="dxa"/>
          <w:right w:w="28" w:type="dxa"/>
        </w:tblCellMar>
      </w:tblPr>
      <w:tblGrid>
        <w:gridCol w:w="409"/>
        <w:gridCol w:w="360"/>
        <w:gridCol w:w="360"/>
        <w:gridCol w:w="2455"/>
        <w:gridCol w:w="2455"/>
        <w:gridCol w:w="2455"/>
        <w:gridCol w:w="360"/>
        <w:gridCol w:w="360"/>
        <w:gridCol w:w="52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bb432a827854184a08b11a2f5970a8b_10">
              <w:r>
                <w:rPr>
                  <w:rStyle w:val="InternetLink"/>
                  <w:rFonts w:ascii="Times New Roman;sans-serif" w:hAnsi="Times New Roman;sans-serif"/>
                  <w:b/>
                  <w:color w:val="000080"/>
                  <w:sz w:val="20"/>
                </w:rPr>
                <w:t>PART I.</w:t>
              </w:r>
            </w:hyperlink>
            <w:r>
              <w:rPr>
                <w:rFonts w:ascii="Times New Roman;sans-serif" w:hAnsi="Times New Roman;sans-serif"/>
                <w:b/>
                <w:color w:val="000000"/>
                <w:sz w:val="20"/>
              </w:rPr>
              <w:t xml:space="preserve"> FINANCIAL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3">
              <w:r>
                <w:rPr>
                  <w:rStyle w:val="InternetLink"/>
                  <w:rFonts w:ascii="Times New Roman;sans-serif" w:hAnsi="Times New Roman;sans-serif"/>
                  <w:b w:val="false"/>
                  <w:color w:val="0000FF"/>
                  <w:sz w:val="20"/>
                  <w:u w:val="single"/>
                </w:rPr>
                <w:t>Financial Statements (unaudited)</w:t>
              </w:r>
            </w:hyperlink>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6">
              <w:r>
                <w:rPr>
                  <w:rStyle w:val="InternetLink"/>
                  <w:rFonts w:ascii="Times New Roman;sans-serif" w:hAnsi="Times New Roman;sans-serif"/>
                  <w:b w:val="false"/>
                  <w:color w:val="0000FF"/>
                  <w:sz w:val="20"/>
                  <w:u w:val="single"/>
                </w:rPr>
                <w:t>Condensed Consolidated Balance Sheets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 and December 31,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6">
              <w:r>
                <w:rPr>
                  <w:rStyle w:val="InternetLink"/>
                  <w:rFonts w:ascii="Times New Roman;sans-serif" w:hAnsi="Times New Roman;sans-serif"/>
                  <w:b w:val="false"/>
                  <w:color w:val="0000FF"/>
                  <w:sz w:val="20"/>
                  <w:u w:val="single"/>
                </w:rPr>
                <w:t>2</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9">
              <w:r>
                <w:rPr>
                  <w:rStyle w:val="InternetLink"/>
                  <w:rFonts w:ascii="Times New Roman;sans-serif" w:hAnsi="Times New Roman;sans-serif"/>
                  <w:b w:val="false"/>
                  <w:color w:val="000080"/>
                  <w:sz w:val="20"/>
                  <w:u w:val="single"/>
                </w:rPr>
                <w:t xml:space="preserve">Condensed Consolidated </w:t>
              </w:r>
            </w:hyperlink>
            <w:hyperlink w:anchor="icbb432a827854184a08b11a2f5970a8b_19">
              <w:r>
                <w:rPr>
                  <w:rStyle w:val="InternetLink"/>
                  <w:rFonts w:ascii="Times New Roman;sans-serif" w:hAnsi="Times New Roman;sans-serif"/>
                  <w:b w:val="false"/>
                  <w:color w:val="000080"/>
                  <w:sz w:val="20"/>
                  <w:u w:val="single"/>
                </w:rPr>
                <w:t>Statements of Operations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9">
              <w:r>
                <w:rPr>
                  <w:rStyle w:val="InternetLink"/>
                  <w:rFonts w:ascii="Times New Roman;sans-serif" w:hAnsi="Times New Roman;sans-serif"/>
                  <w:b w:val="false"/>
                  <w:color w:val="0000FF"/>
                  <w:sz w:val="20"/>
                  <w:u w:val="single"/>
                </w:rPr>
                <w:t>3</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22">
              <w:r>
                <w:rPr>
                  <w:rStyle w:val="InternetLink"/>
                  <w:rFonts w:ascii="Times New Roman;sans-serif" w:hAnsi="Times New Roman;sans-serif"/>
                  <w:b w:val="false"/>
                  <w:color w:val="000080"/>
                  <w:sz w:val="20"/>
                  <w:u w:val="single"/>
                </w:rPr>
                <w:t xml:space="preserve">Condensed Consolidated </w:t>
              </w:r>
            </w:hyperlink>
            <w:hyperlink w:anchor="icbb432a827854184a08b11a2f5970a8b_22">
              <w:r>
                <w:rPr>
                  <w:rStyle w:val="InternetLink"/>
                  <w:rFonts w:ascii="Times New Roman;sans-serif" w:hAnsi="Times New Roman;sans-serif"/>
                  <w:b w:val="false"/>
                  <w:color w:val="000080"/>
                  <w:sz w:val="20"/>
                  <w:u w:val="single"/>
                </w:rPr>
                <w:t xml:space="preserve">Statements of Comprehensive </w:t>
              </w:r>
            </w:hyperlink>
            <w:hyperlink w:anchor="icbb432a827854184a08b11a2f5970a8b_22">
              <w:r>
                <w:rPr>
                  <w:rStyle w:val="InternetLink"/>
                  <w:rFonts w:ascii="Times New Roman;sans-serif" w:hAnsi="Times New Roman;sans-serif"/>
                  <w:b w:val="false"/>
                  <w:color w:val="000080"/>
                  <w:sz w:val="20"/>
                  <w:u w:val="single"/>
                </w:rPr>
                <w:t>Loss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22">
              <w:r>
                <w:rPr>
                  <w:rStyle w:val="InternetLink"/>
                  <w:rFonts w:ascii="Times New Roman;sans-serif" w:hAnsi="Times New Roman;sans-serif"/>
                  <w:b w:val="false"/>
                  <w:color w:val="0000FF"/>
                  <w:sz w:val="20"/>
                  <w:u w:val="single"/>
                </w:rPr>
                <w:t>4</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25">
              <w:r>
                <w:rPr>
                  <w:rStyle w:val="InternetLink"/>
                  <w:rFonts w:ascii="Times New Roman;sans-serif" w:hAnsi="Times New Roman;sans-serif"/>
                  <w:b w:val="false"/>
                  <w:color w:val="000080"/>
                  <w:sz w:val="20"/>
                  <w:u w:val="single"/>
                </w:rPr>
                <w:t xml:space="preserve">Condensed </w:t>
              </w:r>
            </w:hyperlink>
            <w:hyperlink w:anchor="icbb432a827854184a08b11a2f5970a8b_16">
              <w:r>
                <w:rPr>
                  <w:rStyle w:val="InternetLink"/>
                  <w:rFonts w:ascii="Times New Roman;sans-serif" w:hAnsi="Times New Roman;sans-serif"/>
                  <w:b w:val="false"/>
                  <w:color w:val="000080"/>
                  <w:sz w:val="20"/>
                  <w:u w:val="single"/>
                </w:rPr>
                <w:t>Consolidated</w:t>
              </w:r>
            </w:hyperlink>
            <w:hyperlink w:anchor="icbb432a827854184a08b11a2f5970a8b_25">
              <w:r>
                <w:rPr>
                  <w:rStyle w:val="InternetLink"/>
                  <w:rFonts w:ascii="Times New Roman;sans-serif" w:hAnsi="Times New Roman;sans-serif"/>
                  <w:b w:val="false"/>
                  <w:color w:val="000080"/>
                  <w:sz w:val="20"/>
                  <w:u w:val="single"/>
                </w:rPr>
                <w:t xml:space="preserve"> Statements of Changes in Equity</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25">
              <w:r>
                <w:rPr>
                  <w:rStyle w:val="InternetLink"/>
                  <w:rFonts w:ascii="Times New Roman;sans-serif" w:hAnsi="Times New Roman;sans-serif"/>
                  <w:b w:val="false"/>
                  <w:color w:val="0000FF"/>
                  <w:sz w:val="20"/>
                  <w:u w:val="single"/>
                </w:rPr>
                <w:t>5</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28">
              <w:r>
                <w:rPr>
                  <w:rStyle w:val="InternetLink"/>
                  <w:rFonts w:ascii="Times New Roman;sans-serif" w:hAnsi="Times New Roman;sans-serif"/>
                  <w:b w:val="false"/>
                  <w:color w:val="000080"/>
                  <w:sz w:val="20"/>
                  <w:u w:val="single"/>
                </w:rPr>
                <w:t xml:space="preserve">Condensed </w:t>
              </w:r>
            </w:hyperlink>
            <w:hyperlink w:anchor="icbb432a827854184a08b11a2f5970a8b_16">
              <w:r>
                <w:rPr>
                  <w:rStyle w:val="InternetLink"/>
                  <w:rFonts w:ascii="Times New Roman;sans-serif" w:hAnsi="Times New Roman;sans-serif"/>
                  <w:b w:val="false"/>
                  <w:color w:val="000080"/>
                  <w:sz w:val="20"/>
                  <w:u w:val="single"/>
                </w:rPr>
                <w:t>Consolidated</w:t>
              </w:r>
            </w:hyperlink>
            <w:hyperlink w:anchor="icbb432a827854184a08b11a2f5970a8b_28">
              <w:r>
                <w:rPr>
                  <w:rStyle w:val="InternetLink"/>
                  <w:rFonts w:ascii="Times New Roman;sans-serif" w:hAnsi="Times New Roman;sans-serif"/>
                  <w:b w:val="false"/>
                  <w:color w:val="000080"/>
                  <w:sz w:val="20"/>
                  <w:u w:val="single"/>
                </w:rPr>
                <w:t xml:space="preserve"> Statements of Cash Flows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28">
              <w:r>
                <w:rPr>
                  <w:rStyle w:val="InternetLink"/>
                  <w:rFonts w:ascii="Times New Roman;sans-serif" w:hAnsi="Times New Roman;sans-serif"/>
                  <w:b w:val="false"/>
                  <w:color w:val="0000FF"/>
                  <w:sz w:val="20"/>
                  <w:u w:val="single"/>
                </w:rPr>
                <w:t>6</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31">
              <w:r>
                <w:rPr>
                  <w:rStyle w:val="InternetLink"/>
                  <w:rFonts w:ascii="Times New Roman;sans-serif" w:hAnsi="Times New Roman;sans-serif"/>
                  <w:b w:val="false"/>
                  <w:color w:val="000080"/>
                  <w:sz w:val="20"/>
                  <w:u w:val="single"/>
                </w:rPr>
                <w:t xml:space="preserve">Notes to Unaudited Condensed Consolidated </w:t>
              </w:r>
            </w:hyperlink>
            <w:hyperlink w:anchor="icbb432a827854184a08b11a2f5970a8b_31">
              <w:r>
                <w:rPr>
                  <w:rStyle w:val="InternetLink"/>
                  <w:rFonts w:ascii="Times New Roman;sans-serif" w:hAnsi="Times New Roman;sans-serif"/>
                  <w:b w:val="false"/>
                  <w:color w:val="000080"/>
                  <w:sz w:val="20"/>
                  <w:u w:val="single"/>
                </w:rPr>
                <w:t>Financial Statements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31">
              <w:r>
                <w:rPr>
                  <w:rStyle w:val="InternetLink"/>
                  <w:rFonts w:ascii="Times New Roman;sans-serif" w:hAnsi="Times New Roman;sans-serif"/>
                  <w:b w:val="false"/>
                  <w:color w:val="0000FF"/>
                  <w:sz w:val="20"/>
                  <w:u w:val="single"/>
                </w:rPr>
                <w:t>7</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00">
              <w:r>
                <w:rPr>
                  <w:rStyle w:val="InternetLink"/>
                  <w:rFonts w:ascii="Times New Roman;sans-serif" w:hAnsi="Times New Roman;sans-serif"/>
                  <w:b w:val="false"/>
                  <w:color w:val="000000"/>
                  <w:sz w:val="20"/>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00">
              <w:r>
                <w:rPr>
                  <w:rStyle w:val="InternetLink"/>
                  <w:rFonts w:ascii="Times New Roman;sans-serif" w:hAnsi="Times New Roman;sans-serif"/>
                  <w:b w:val="false"/>
                  <w:color w:val="0000FF"/>
                  <w:sz w:val="20"/>
                  <w:u w:val="single"/>
                </w:rPr>
                <w:t>20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15">
              <w:r>
                <w:rPr>
                  <w:rStyle w:val="InternetLink"/>
                  <w:rFonts w:ascii="Times New Roman;sans-serif" w:hAnsi="Times New Roman;sans-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15">
              <w:r>
                <w:rPr>
                  <w:rStyle w:val="InternetLink"/>
                  <w:rFonts w:ascii="Times New Roman;sans-serif" w:hAnsi="Times New Roman;sans-serif"/>
                  <w:b w:val="false"/>
                  <w:color w:val="0000FF"/>
                  <w:sz w:val="20"/>
                  <w:u w:val="single"/>
                </w:rPr>
                <w:t>Quantitative and Qualitative Disclosures About Market Risk</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15">
              <w:r>
                <w:rPr>
                  <w:rStyle w:val="InternetLink"/>
                  <w:rFonts w:ascii="Times New Roman;sans-serif" w:hAnsi="Times New Roman;sans-serif"/>
                  <w:b w:val="false"/>
                  <w:color w:val="0000FF"/>
                  <w:sz w:val="20"/>
                  <w:u w:val="single"/>
                </w:rPr>
                <w:t>28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18">
              <w:r>
                <w:rPr>
                  <w:rStyle w:val="InternetLink"/>
                  <w:rFonts w:ascii="Times New Roman;sans-serif" w:hAnsi="Times New Roman;sans-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18">
              <w:r>
                <w:rPr>
                  <w:rStyle w:val="InternetLink"/>
                  <w:rFonts w:ascii="Times New Roman;sans-serif" w:hAnsi="Times New Roman;sans-serif"/>
                  <w:b w:val="false"/>
                  <w:color w:val="0000FF"/>
                  <w:sz w:val="20"/>
                  <w:u w:val="single"/>
                </w:rPr>
                <w:t>Controls and Procedures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18">
              <w:r>
                <w:rPr>
                  <w:rStyle w:val="InternetLink"/>
                  <w:rFonts w:ascii="Times New Roman;sans-serif" w:hAnsi="Times New Roman;sans-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bb432a827854184a08b11a2f5970a8b_121">
              <w:r>
                <w:rPr>
                  <w:rStyle w:val="InternetLink"/>
                  <w:rFonts w:ascii="Times New Roman;sans-serif" w:hAnsi="Times New Roman;sans-serif"/>
                  <w:b/>
                  <w:color w:val="000080"/>
                  <w:sz w:val="20"/>
                </w:rPr>
                <w:t>PART II.</w:t>
              </w:r>
            </w:hyperlink>
            <w:r>
              <w:rPr>
                <w:rFonts w:ascii="Times New Roman;sans-serif" w:hAnsi="Times New Roman;sans-serif"/>
                <w:b/>
                <w:color w:val="000000"/>
                <w:sz w:val="20"/>
              </w:rPr>
              <w:t xml:space="preserve"> OTHER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24">
              <w:r>
                <w:rPr>
                  <w:rStyle w:val="InternetLink"/>
                  <w:rFonts w:ascii="Times New Roman;sans-serif" w:hAnsi="Times New Roman;sans-serif"/>
                  <w:b w:val="false"/>
                  <w:color w:val="000000"/>
                  <w:sz w:val="20"/>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24">
              <w:r>
                <w:rPr>
                  <w:rStyle w:val="InternetLink"/>
                  <w:rFonts w:ascii="Times New Roman;sans-serif" w:hAnsi="Times New Roman;sans-serif"/>
                  <w:b w:val="false"/>
                  <w:color w:val="0000FF"/>
                  <w:sz w:val="20"/>
                  <w:u w:val="single"/>
                </w:rPr>
                <w:t>Legal Proceedings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24">
              <w:r>
                <w:rPr>
                  <w:rStyle w:val="InternetLink"/>
                  <w:rFonts w:ascii="Times New Roman;sans-serif" w:hAnsi="Times New Roman;sans-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27">
              <w:r>
                <w:rPr>
                  <w:rStyle w:val="InternetLink"/>
                  <w:rFonts w:ascii="Times New Roman;sans-serif" w:hAnsi="Times New Roman;sans-serif"/>
                  <w:b w:val="false"/>
                  <w:color w:val="000080"/>
                  <w:sz w:val="20"/>
                </w:rPr>
                <w:t xml:space="preserve">Item </w:t>
              </w:r>
            </w:hyperlink>
            <w:r>
              <w:rPr>
                <w:rFonts w:ascii="Times New Roman;sans-serif" w:hAnsi="Times New Roman;sans-serif"/>
                <w:b w:val="false"/>
                <w:color w:val="000000"/>
                <w:sz w:val="20"/>
              </w:rPr>
              <w:t>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27">
              <w:r>
                <w:rPr>
                  <w:rStyle w:val="InternetLink"/>
                  <w:rFonts w:ascii="Times New Roman;sans-serif" w:hAnsi="Times New Roman;sans-serif"/>
                  <w:b w:val="false"/>
                  <w:color w:val="0000FF"/>
                  <w:sz w:val="20"/>
                  <w:u w:val="single"/>
                </w:rPr>
                <w:t>Risk Factors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27">
              <w:r>
                <w:rPr>
                  <w:rStyle w:val="InternetLink"/>
                  <w:rFonts w:ascii="Times New Roman;sans-serif" w:hAnsi="Times New Roman;sans-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30">
              <w:r>
                <w:rPr>
                  <w:rStyle w:val="InternetLink"/>
                  <w:rFonts w:ascii="Times New Roman;sans-serif" w:hAnsi="Times New Roman;sans-serif"/>
                  <w:b w:val="false"/>
                  <w:color w:val="000000"/>
                  <w:sz w:val="20"/>
                </w:rPr>
                <w:t xml:space="preserve">Item 2.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30">
              <w:r>
                <w:rPr>
                  <w:rStyle w:val="InternetLink"/>
                  <w:rFonts w:ascii="Times New Roman;sans-serif" w:hAnsi="Times New Roman;sans-serif"/>
                  <w:b w:val="false"/>
                  <w:color w:val="0000FF"/>
                  <w:sz w:val="20"/>
                  <w:u w:val="single"/>
                </w:rPr>
                <w:t>Unregistered Sales of Equity Securities and Use of Proceeds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30">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33">
              <w:r>
                <w:rPr>
                  <w:rStyle w:val="InternetLink"/>
                  <w:rFonts w:ascii="Times New Roman;sans-serif" w:hAnsi="Times New Roman;sans-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33">
              <w:r>
                <w:rPr>
                  <w:rStyle w:val="InternetLink"/>
                  <w:rFonts w:ascii="Times New Roman;sans-serif" w:hAnsi="Times New Roman;sans-serif"/>
                  <w:b w:val="false"/>
                  <w:color w:val="0000FF"/>
                  <w:sz w:val="20"/>
                  <w:u w:val="single"/>
                </w:rPr>
                <w:t>Defaults Upon Senior Securities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33">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36">
              <w:r>
                <w:rPr>
                  <w:rStyle w:val="InternetLink"/>
                  <w:rFonts w:ascii="Times New Roman;sans-serif" w:hAnsi="Times New Roman;sans-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36">
              <w:r>
                <w:rPr>
                  <w:rStyle w:val="InternetLink"/>
                  <w:rFonts w:ascii="Times New Roman;sans-serif" w:hAnsi="Times New Roman;sans-serif"/>
                  <w:b w:val="false"/>
                  <w:color w:val="0000FF"/>
                  <w:sz w:val="20"/>
                  <w:u w:val="single"/>
                </w:rPr>
                <w:t>Mine Safety Disclosures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36">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Other Information</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39">
              <w:r>
                <w:rPr>
                  <w:rStyle w:val="InternetLink"/>
                  <w:rFonts w:ascii="Times New Roman;sans-serif" w:hAnsi="Times New Roman;sans-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42">
              <w:r>
                <w:rPr>
                  <w:rStyle w:val="InternetLink"/>
                  <w:rFonts w:ascii="Times New Roman;sans-serif" w:hAnsi="Times New Roman;sans-serif"/>
                  <w:b w:val="false"/>
                  <w:color w:val="000000"/>
                  <w:sz w:val="20"/>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b432a827854184a08b11a2f5970a8b_142">
              <w:r>
                <w:rPr>
                  <w:rStyle w:val="InternetLink"/>
                  <w:rFonts w:ascii="Times New Roman;sans-serif" w:hAnsi="Times New Roman;sans-serif"/>
                  <w:b w:val="false"/>
                  <w:color w:val="0000FF"/>
                  <w:sz w:val="20"/>
                  <w:u w:val="single"/>
                </w:rPr>
                <w:t>Exhibits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432a827854184a08b11a2f5970a8b_142">
              <w:r>
                <w:rPr>
                  <w:rStyle w:val="InternetLink"/>
                  <w:rFonts w:ascii="Times New Roman;sans-serif" w:hAnsi="Times New Roman;sans-serif"/>
                  <w:b w:val="false"/>
                  <w:color w:val="0000FF"/>
                  <w:sz w:val="20"/>
                  <w:u w:val="singl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2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91"/>
        <w:gridCol w:w="2238"/>
        <w:gridCol w:w="2244"/>
        <w:gridCol w:w="248"/>
        <w:gridCol w:w="876"/>
        <w:gridCol w:w="138"/>
        <w:gridCol w:w="109"/>
        <w:gridCol w:w="109"/>
        <w:gridCol w:w="109"/>
        <w:gridCol w:w="289"/>
        <w:gridCol w:w="1023"/>
        <w:gridCol w:w="231"/>
      </w:tblGrid>
      <w:tr>
        <w:trPr/>
        <w:tc>
          <w:tcPr>
            <w:tcW w:w="2591"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7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unbilled services,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659.5 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1,710.4 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655.7 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353.3 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operating lease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less 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1,049.7 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and other tax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contingent liabilities (Note 9)</w:t>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90.5 and 89.7 shares outstanding at March 31, 2025 and December 31, 2024, respectively</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2,042.2 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(397.0)</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1,362.4 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183" w:type="dxa"/>
        <w:jc w:val="left"/>
        <w:tblInd w:w="0" w:type="dxa"/>
        <w:tblLayout w:type="fixed"/>
        <w:tblCellMar>
          <w:top w:w="28" w:type="dxa"/>
          <w:left w:w="28" w:type="dxa"/>
          <w:bottom w:w="28" w:type="dxa"/>
          <w:right w:w="28" w:type="dxa"/>
        </w:tblCellMar>
      </w:tblPr>
      <w:tblGrid>
        <w:gridCol w:w="2649"/>
        <w:gridCol w:w="2320"/>
        <w:gridCol w:w="2336"/>
        <w:gridCol w:w="215"/>
        <w:gridCol w:w="706"/>
        <w:gridCol w:w="111"/>
        <w:gridCol w:w="111"/>
        <w:gridCol w:w="111"/>
        <w:gridCol w:w="111"/>
        <w:gridCol w:w="215"/>
        <w:gridCol w:w="706"/>
        <w:gridCol w:w="111"/>
        <w:gridCol w:w="109"/>
        <w:gridCol w:w="109"/>
        <w:gridCol w:w="109"/>
        <w:gridCol w:w="154"/>
      </w:tblGrid>
      <w:tr>
        <w:trPr/>
        <w:tc>
          <w:tcPr>
            <w:tcW w:w="264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 exclusive of depreciation and amortization</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exclusive of depreciation and amortization</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asset impairments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 before income taxes</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(loss) per common share</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(loss) per share from continuing operations</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(loss) per share from discontinued operations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(loss) per share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77" w:type="dxa"/>
        <w:jc w:val="left"/>
        <w:tblInd w:w="0" w:type="dxa"/>
        <w:tblLayout w:type="fixed"/>
        <w:tblCellMar>
          <w:top w:w="28" w:type="dxa"/>
          <w:left w:w="28" w:type="dxa"/>
          <w:bottom w:w="28" w:type="dxa"/>
          <w:right w:w="28" w:type="dxa"/>
        </w:tblCellMar>
      </w:tblPr>
      <w:tblGrid>
        <w:gridCol w:w="2281"/>
        <w:gridCol w:w="2006"/>
        <w:gridCol w:w="2012"/>
        <w:gridCol w:w="215"/>
        <w:gridCol w:w="706"/>
        <w:gridCol w:w="111"/>
        <w:gridCol w:w="111"/>
        <w:gridCol w:w="111"/>
        <w:gridCol w:w="111"/>
        <w:gridCol w:w="215"/>
        <w:gridCol w:w="706"/>
        <w:gridCol w:w="111"/>
        <w:gridCol w:w="109"/>
        <w:gridCol w:w="109"/>
        <w:gridCol w:w="109"/>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 instruments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 related to items of comprehensive income</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92"/>
        <w:gridCol w:w="641"/>
        <w:gridCol w:w="644"/>
        <w:gridCol w:w="255"/>
        <w:gridCol w:w="256"/>
        <w:gridCol w:w="196"/>
        <w:gridCol w:w="238"/>
        <w:gridCol w:w="424"/>
        <w:gridCol w:w="113"/>
        <w:gridCol w:w="109"/>
        <w:gridCol w:w="109"/>
        <w:gridCol w:w="109"/>
        <w:gridCol w:w="264"/>
        <w:gridCol w:w="962"/>
        <w:gridCol w:w="136"/>
        <w:gridCol w:w="109"/>
        <w:gridCol w:w="109"/>
        <w:gridCol w:w="109"/>
        <w:gridCol w:w="109"/>
        <w:gridCol w:w="109"/>
        <w:gridCol w:w="267"/>
        <w:gridCol w:w="800"/>
        <w:gridCol w:w="138"/>
        <w:gridCol w:w="109"/>
        <w:gridCol w:w="109"/>
        <w:gridCol w:w="109"/>
        <w:gridCol w:w="269"/>
        <w:gridCol w:w="806"/>
        <w:gridCol w:w="141"/>
        <w:gridCol w:w="109"/>
        <w:gridCol w:w="109"/>
        <w:gridCol w:w="109"/>
        <w:gridCol w:w="211"/>
        <w:gridCol w:w="766"/>
        <w:gridCol w:w="160"/>
      </w:tblGrid>
      <w:tr>
        <w:trPr/>
        <w:tc>
          <w:tcPr>
            <w:tcW w:w="99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6"/>
        <w:gridCol w:w="498"/>
        <w:gridCol w:w="500"/>
        <w:gridCol w:w="255"/>
        <w:gridCol w:w="256"/>
        <w:gridCol w:w="196"/>
        <w:gridCol w:w="236"/>
        <w:gridCol w:w="413"/>
        <w:gridCol w:w="110"/>
        <w:gridCol w:w="109"/>
        <w:gridCol w:w="109"/>
        <w:gridCol w:w="109"/>
        <w:gridCol w:w="233"/>
        <w:gridCol w:w="846"/>
        <w:gridCol w:w="120"/>
        <w:gridCol w:w="109"/>
        <w:gridCol w:w="109"/>
        <w:gridCol w:w="109"/>
        <w:gridCol w:w="109"/>
        <w:gridCol w:w="109"/>
        <w:gridCol w:w="247"/>
        <w:gridCol w:w="739"/>
        <w:gridCol w:w="128"/>
        <w:gridCol w:w="109"/>
        <w:gridCol w:w="109"/>
        <w:gridCol w:w="109"/>
        <w:gridCol w:w="269"/>
        <w:gridCol w:w="806"/>
        <w:gridCol w:w="141"/>
        <w:gridCol w:w="109"/>
        <w:gridCol w:w="109"/>
        <w:gridCol w:w="109"/>
        <w:gridCol w:w="211"/>
        <w:gridCol w:w="766"/>
        <w:gridCol w:w="109"/>
        <w:gridCol w:w="109"/>
        <w:gridCol w:w="109"/>
        <w:gridCol w:w="109"/>
        <w:gridCol w:w="109"/>
        <w:gridCol w:w="109"/>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share settlement tax payments from issuance of stock to employees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FORTREA HOLDINGS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 (unaudited)</w:t>
      </w:r>
    </w:p>
    <w:tbl>
      <w:tblPr>
        <w:tblW w:w="8024" w:type="dxa"/>
        <w:jc w:val="center"/>
        <w:tblInd w:w="0" w:type="dxa"/>
        <w:tblLayout w:type="fixed"/>
        <w:tblCellMar>
          <w:top w:w="28" w:type="dxa"/>
          <w:left w:w="28" w:type="dxa"/>
          <w:bottom w:w="28" w:type="dxa"/>
          <w:right w:w="28" w:type="dxa"/>
        </w:tblCellMar>
      </w:tblPr>
      <w:tblGrid>
        <w:gridCol w:w="1916"/>
        <w:gridCol w:w="1685"/>
        <w:gridCol w:w="1694"/>
        <w:gridCol w:w="230"/>
        <w:gridCol w:w="740"/>
        <w:gridCol w:w="127"/>
        <w:gridCol w:w="127"/>
        <w:gridCol w:w="127"/>
        <w:gridCol w:w="127"/>
        <w:gridCol w:w="230"/>
        <w:gridCol w:w="740"/>
        <w:gridCol w:w="127"/>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for operating activities: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loss expense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 expense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 impairment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other asset impairments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accounts receivable and unbilled services,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prepaid expenses and other</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accounts payable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deferred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accrued expenses and other</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operating activities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investing activities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revolving credit facilities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of long-term debt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cash flows related to discontinued operations have not been segregated and are included in the condensed consolidated statements of cash flows.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b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BASIS OF FINANCIAL STATEMENT PRESENTATION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Fortrea Holdings Inc. (“Fortrea” or the “Company”), a Delaware corporation incorporated on January 31, 2023, is a leading global contract research organization (“CRO”) providing biopharmaceutical product and medical device development solutions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more than 30 years across more than 20 therapeutic areas. The Company leverages its global scale, clinical data insights, scientific and therapeutic expertise, technology innovation, industry network and decades of experience as a standalone company and as a business unit prior to the Spin to deliver tailored solutions to its customers. With what the Company believes is a distinctive market offering, Fortrea meets growing global demand for clinical development services. The Company has established access to all key markets worldwide through a strategic footprint of primary office locations in five countries (the United States, the United Kingdom, China, India and Singapore) with field operations in other jurisdictions worldwide.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Reportable Segment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business in one reportable segment, Clinical Services, that provides development and consulting services across the clinical pharmacology and clinical development spectrum.</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On March 9, 2024, the Company, together with its wholly-owned subsidiary, Fortrea Inc., entered into an Asset Purchase Agreement (the “Purchase Agreement”) with Endeavor Buyer LLC, an affiliate of Arsenal Capital Partners, to sell the operations of Fortrea Patient Access Inc. and its subsidiaries and Endpoint Clinical, Inc. and its subsidiaries; which are all collectively referred to as the Enabling Services Segment. The Transaction closed during the second quarter of 2024. Refer to Note 2, “Discontinued Operations” for further discussion</w:t>
      </w:r>
      <w:r>
        <w:rPr>
          <w:rFonts w:ascii="Times New Roman;sans-serif" w:hAnsi="Times New Roman;sans-serif"/>
          <w:b w:val="false"/>
          <w:i/>
          <w:color w:val="000000"/>
          <w:sz w:val="20"/>
        </w:rPr>
        <w:t xml:space="preserv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all periods presented, the Company's consolidated revenues from continuing operations were generated from the Clinical Services segment, which provides phase I-IV clinical trials, including clinical pharmacology and comprehensive clinical development capabilities. The Company’s chief operating decision maker allocates resources and assesses performance for the Clinical Services segment. For further financial information about the segment, see Note 14, “Business Segment Information”.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Discontinued Operations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definition of discontinued operations, the Company's decision to sell the assets relating to the Enabling Services Segment represented a strategic shift that had a major effect on the Company's results of operations for the periods presented. The operations of the Enabling Services Segment have been classified as income (loss) from discontinued operations on the condensed consolidated statements of operations for all periods presented.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noted, discussion within these notes to the condensed consolidated financial statements relates to the Company’s continuing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unaudited condensed consolidated financial statements have been prepared in conformity with accounting principles generally accepted in the United States of America (“U.S. GAAP”) for interim financial information. Accordingly, they do not include all of the information and notes required by U.S. GAAP for complete financial statements.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As such, the information included in this Quarterly Report on Form 10-Q should be read in conjunction with the Company’s audited consolidated and combined financial statements included in the Company’s Annual Report on Form 10-K for the fiscal year ended December 31, 2024.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and cash equivalents, accounts receivable and unbilled services.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accounts receivable and unbilled services are with companies in the pharmaceutical, biotechnology and medical device industries. As of March 31, 2025, two pharmaceutical customers accounted for 14.3% and 10.1% of the Company's combined gross accounts receivable and unbilled services. As of December 31, 2024, two pharmaceutical companies accounted for approximately 22.2% and 13.8% of the Company's combined gross accounts receivable and unbilled services. Additionally, for the three months ended March 31, 2025, one customer accounted for approximately 15.4% of revenues. For the three months ended March 31, 2024, two customers accounted for 14.0% and 13.0%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Recently Issued and Adopted Accounting Standards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guidance to require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income taxes paid by jurisdiction. This guidance is effective for fiscal years beginning after December 15, 2024, with early adoption permitted. The amendments should be applied prospectively; however, retrospective application is also permitted. The Company is currently evaluating the impact this guidance will have on its financial statement disclosures.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 - Reporting Comprehensive Income - Expense Disaggregation Disclosures (Subtopic 220-40),</w:t>
      </w:r>
      <w:r>
        <w:rPr>
          <w:color w:val="000000"/>
        </w:rPr>
        <w:t xml:space="preserve"> </w:t>
      </w:r>
      <w:r>
        <w:rPr>
          <w:rFonts w:ascii="Times New Roman;sans-serif" w:hAnsi="Times New Roman;sans-serif"/>
          <w:b w:val="false"/>
          <w:color w:val="000000"/>
          <w:sz w:val="20"/>
        </w:rPr>
        <w:t>Disaggregation of Income Statement Expenses. The new guidance requires disclosure of certain costs and expenses in the notes to the financial statements. This guidance is effective for fiscal years beginning after December 15, 2026 and interim reporting periods beginning after December 15, 2027. Early adoption is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this guidance will have on its financial statement disclosures.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     DISCONTINUED OPERATIONS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March 9, 2024, the Company entered into the Purchase Agreement with Endeavor Buyer LLC, an affiliate of Arsenal Capital Partners, pursuant to which Fortrea Inc. agreed to sell, and to cause its affiliates to sell, net assets relating to its Enabling Services Segment (the “Transaction”), specifically its Patient Access and Endpoint businesses,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The Transaction closed during the second quarter of 2024. The first milestone payment in the amount of $20.0 was received in the first quarter of 2025.</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Financial Information of Discontinued Operations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significant line items included in income (loss) from discontinued operations, net of income tax in the condensed consolidated statements of operations for the three months ended March 31, 2024:</w:t>
      </w:r>
    </w:p>
    <w:tbl>
      <w:tblPr>
        <w:tblW w:w="10205" w:type="dxa"/>
        <w:jc w:val="left"/>
        <w:tblInd w:w="0" w:type="dxa"/>
        <w:tblLayout w:type="fixed"/>
        <w:tblCellMar>
          <w:top w:w="28" w:type="dxa"/>
          <w:left w:w="28" w:type="dxa"/>
          <w:bottom w:w="28" w:type="dxa"/>
          <w:right w:w="28" w:type="dxa"/>
        </w:tblCellMar>
      </w:tblPr>
      <w:tblGrid>
        <w:gridCol w:w="2598"/>
        <w:gridCol w:w="2266"/>
        <w:gridCol w:w="2282"/>
        <w:gridCol w:w="109"/>
        <w:gridCol w:w="109"/>
        <w:gridCol w:w="549"/>
        <w:gridCol w:w="1525"/>
        <w:gridCol w:w="283"/>
        <w:gridCol w:w="109"/>
        <w:gridCol w:w="109"/>
        <w:gridCol w:w="109"/>
        <w:gridCol w:w="157"/>
      </w:tblGrid>
      <w:tr>
        <w:trPr/>
        <w:tc>
          <w:tcPr>
            <w:tcW w:w="2598"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and goodwill asset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as a result of the negotiated sale price of the Patient Access and Endpoint businesses, the Company evaluated the Enabling Services Segment for impairment and determined that it was more likely than not that the carrying value of the assets exceeded its fair value. Accordingly, an impairment analysis was performed, which resulted in a goodwill impairment charge of $24.0.</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cash flows related to discontinued operations have not been segregated and are included in the condensed consolidated statements of cash flows. The following table summarizes depreciation and amortization, capital expenditures and the significant cash flow and noncash items from discontinued operations for the three months ended March 31, 2024:</w:t>
      </w:r>
    </w:p>
    <w:tbl>
      <w:tblPr>
        <w:tblW w:w="5474" w:type="dxa"/>
        <w:jc w:val="left"/>
        <w:tblInd w:w="0" w:type="dxa"/>
        <w:tblLayout w:type="fixed"/>
        <w:tblCellMar>
          <w:top w:w="28" w:type="dxa"/>
          <w:left w:w="28" w:type="dxa"/>
          <w:bottom w:w="28" w:type="dxa"/>
          <w:right w:w="28" w:type="dxa"/>
        </w:tblCellMar>
      </w:tblPr>
      <w:tblGrid>
        <w:gridCol w:w="939"/>
        <w:gridCol w:w="826"/>
        <w:gridCol w:w="829"/>
        <w:gridCol w:w="109"/>
        <w:gridCol w:w="109"/>
        <w:gridCol w:w="697"/>
        <w:gridCol w:w="1342"/>
        <w:gridCol w:w="360"/>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operating or investing noncash items related to discontinued operations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by geography for the three months ended March 31, 2025 and 2024 are as follows:</w:t>
      </w:r>
    </w:p>
    <w:tbl>
      <w:tblPr>
        <w:tblW w:w="105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United States comprises substantially all revenue in North America.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 balances:</w:t>
      </w:r>
    </w:p>
    <w:tbl>
      <w:tblPr>
        <w:tblW w:w="5201" w:type="dxa"/>
        <w:jc w:val="left"/>
        <w:tblInd w:w="0" w:type="dxa"/>
        <w:tblLayout w:type="fixed"/>
        <w:tblCellMar>
          <w:top w:w="28" w:type="dxa"/>
          <w:left w:w="28" w:type="dxa"/>
          <w:bottom w:w="28" w:type="dxa"/>
          <w:right w:w="28" w:type="dxa"/>
        </w:tblCellMar>
      </w:tblPr>
      <w:tblGrid>
        <w:gridCol w:w="750"/>
        <w:gridCol w:w="659"/>
        <w:gridCol w:w="661"/>
        <w:gridCol w:w="320"/>
        <w:gridCol w:w="775"/>
        <w:gridCol w:w="165"/>
        <w:gridCol w:w="109"/>
        <w:gridCol w:w="109"/>
        <w:gridCol w:w="109"/>
        <w:gridCol w:w="372"/>
        <w:gridCol w:w="901"/>
        <w:gridCol w:w="27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 assets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Amortization related to sales commission assets for the three months ended March 31, 2025 and 2024 was $3.1 and $2.6, respectively. Amortization related to deferred contract costs for the three months ended March 31, 2025 and 2024 was $0.2 and $0.4, respectively. Th</w:t>
      </w:r>
      <w:r>
        <w:rPr>
          <w:rFonts w:ascii="Times New Roman;sans-serif" w:hAnsi="Times New Roman;sans-serif"/>
          <w:b w:val="false"/>
          <w:color w:val="000000"/>
          <w:sz w:val="20"/>
          <w:shd w:fill="FFFFFF" w:val="clear"/>
        </w:rPr>
        <w:t>e Company applies the practical expedient to not recognize the effect of financing in its contracts with customers when the difference in timing of payment and performance is one year or less.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Accounts Receivable, Unbilled Services and Unearned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unbilled services and unearned revenue from contracts with customers:</w:t>
      </w:r>
    </w:p>
    <w:tbl>
      <w:tblPr>
        <w:tblW w:w="5845" w:type="dxa"/>
        <w:jc w:val="left"/>
        <w:tblInd w:w="0" w:type="dxa"/>
        <w:tblLayout w:type="fixed"/>
        <w:tblCellMar>
          <w:top w:w="28" w:type="dxa"/>
          <w:left w:w="28" w:type="dxa"/>
          <w:bottom w:w="28" w:type="dxa"/>
          <w:right w:w="28" w:type="dxa"/>
        </w:tblCellMar>
      </w:tblPr>
      <w:tblGrid>
        <w:gridCol w:w="984"/>
        <w:gridCol w:w="864"/>
        <w:gridCol w:w="867"/>
        <w:gridCol w:w="284"/>
        <w:gridCol w:w="829"/>
        <w:gridCol w:w="146"/>
        <w:gridCol w:w="109"/>
        <w:gridCol w:w="109"/>
        <w:gridCol w:w="109"/>
        <w:gridCol w:w="332"/>
        <w:gridCol w:w="970"/>
        <w:gridCol w:w="24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services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Revenue recognized during the period that was included in the unearned revenue balance at the beginning of the period was $88.7 and $92.4 for the three months ended March 31, 2025 and 2024, respectively. Additionally, as of the quarter ended March 31, 2025, the Company had sold $300.0 of receivables as described in the </w:t>
      </w:r>
      <w:r>
        <w:rPr>
          <w:rFonts w:ascii="Times New Roman;sans-serif" w:hAnsi="Times New Roman;sans-serif"/>
          <w:b w:val="false"/>
          <w:i/>
          <w:color w:val="000000"/>
          <w:sz w:val="20"/>
        </w:rPr>
        <w:t>Receivables Securitization Program</w:t>
      </w:r>
      <w:r>
        <w:rPr>
          <w:color w:val="000000"/>
        </w:rPr>
        <w:t xml:space="preserve"> </w:t>
      </w:r>
      <w:r>
        <w:rPr>
          <w:rFonts w:ascii="Times New Roman;sans-serif" w:hAnsi="Times New Roman;sans-serif"/>
          <w:b w:val="false"/>
          <w:color w:val="000000"/>
          <w:sz w:val="20"/>
        </w:rPr>
        <w:t>section below.</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Credit Loss Rollforward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future expected losses on accounts receivable and unbilled services over the remaining collection period of the instrument.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rollforward for the allowance for credit losses for the three months ended March 31, 2025 is as follows:</w:t>
      </w:r>
    </w:p>
    <w:tbl>
      <w:tblPr>
        <w:tblW w:w="5210" w:type="dxa"/>
        <w:jc w:val="left"/>
        <w:tblInd w:w="0" w:type="dxa"/>
        <w:tblLayout w:type="fixed"/>
        <w:tblCellMar>
          <w:top w:w="28" w:type="dxa"/>
          <w:left w:w="28" w:type="dxa"/>
          <w:bottom w:w="28" w:type="dxa"/>
          <w:right w:w="28" w:type="dxa"/>
        </w:tblCellMar>
      </w:tblPr>
      <w:tblGrid>
        <w:gridCol w:w="1570"/>
        <w:gridCol w:w="1378"/>
        <w:gridCol w:w="1386"/>
        <w:gridCol w:w="211"/>
        <w:gridCol w:w="511"/>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Performance Obligations Under Long-Term Contracts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approximately $4,492.5 of revenues are expected to be recognized from remaining performance obligations. The Company expects to recognize approximately 28% of the existing performance obligations as of March 31, 2025 as revenue over the next 12 months and the remaining balance thereafter. The Company’s long-term contracts generally range from one to eight years.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there were reductions of approximately $16 in revenue related to performance obligations partially satisfied in previous periods. Of this reduction, the majority of the change was associated with changes in scope or price and a smaller portion related to changes in estimated effort to complete customer contract obligations. The change in estimate resulted in an estimated reduction to revenue of $3, and an increase in loss from continuing operations of $2 and in loss per share of $0.03.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there were reductions of approximately $34 in revenue related to performance obligations partially satisfied in previous periods. Of this reduction, approximately half was associated with changes in scope or price, and approximately half was related to changes in estimated effort to complete customer contract obligations. The change in estimate resulted in an estimated reduction to revenue of $17, and an increase in loss from continuing operations of $16 and in loss per share of $0.18.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Receivables Securitization Program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6, 2024, the Company entered into a three-year $300.0 accounts receivable securitization program (the “Receivables Facility”). Under this program, Fortrea Inc. conveys receivable balances to a wholly-owned, bankruptcy-remote special purpose entity (“SPE”), who in turn, may sell receivables to a third-party financial institution in exchange for cash. The facility is without recourse to the Company or any subsidiaries of the Company, other than with respect to limited indemnity obligations of Fortrea Inc., in respect to the character of the receivables sold and as to the performance of its duties as servicer and a limited performance guaranty by the Company. All unsold accounts receivable held by the SPE are pledged as collateral to secure the collectability of the sold receivables. The Receivables Facility is scheduled to terminate on May 6, 2027, unless terminated earlier pursuant to its terms.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As of March 31, 2025, the Company had sold $300.0 of receivables, which were derecognized from the Company’s consolidated balance sheet as described in the </w:t>
      </w:r>
      <w:r>
        <w:rPr>
          <w:rFonts w:ascii="Times New Roman;sans-serif" w:hAnsi="Times New Roman;sans-serif"/>
          <w:b w:val="false"/>
          <w:i/>
          <w:color w:val="000000"/>
          <w:sz w:val="20"/>
        </w:rPr>
        <w:t>Accounts Receivable, Unbilled Services and Unearned Revenue</w:t>
      </w:r>
      <w:r>
        <w:rPr>
          <w:color w:val="000000"/>
        </w:rPr>
        <w:t xml:space="preserve"> </w:t>
      </w:r>
      <w:r>
        <w:rPr>
          <w:rFonts w:ascii="Times New Roman;sans-serif" w:hAnsi="Times New Roman;sans-serif"/>
          <w:b w:val="false"/>
          <w:color w:val="000000"/>
          <w:sz w:val="20"/>
        </w:rPr>
        <w:t xml:space="preserve">section above. Total costs associated with the sale were $4.4 for the three months ended March 31, 2025 and are included within selling, general and administrative costs in the condensed consolidated statement of operations for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RESTRUCTURING AND OTHER CHARGES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the fourth quarter of 2024, the Company approved a restructuring plan to streamline its operations and eliminate redundant positions. This plan, which relates primarily to severance benefits, was accounted for under ASC 712, </w:t>
      </w:r>
      <w:r>
        <w:rPr>
          <w:rFonts w:ascii="Times New Roman;sans-serif" w:hAnsi="Times New Roman;sans-serif"/>
          <w:b w:val="false"/>
          <w:i/>
          <w:color w:val="000000"/>
          <w:sz w:val="20"/>
        </w:rPr>
        <w:t>Compensation - Nonretirement Postemployment Benefits</w:t>
      </w:r>
      <w:r>
        <w:rPr>
          <w:rFonts w:ascii="Times New Roman;sans-serif" w:hAnsi="Times New Roman;sans-serif"/>
          <w:b w:val="false"/>
          <w:color w:val="000000"/>
          <w:sz w:val="20"/>
        </w:rPr>
        <w:t>. Action under this restructuring plan is expected to continue through 2025.</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the Company’s restructuring accrual activities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tbl>
      <w:tblPr>
        <w:tblW w:w="8624" w:type="dxa"/>
        <w:jc w:val="left"/>
        <w:tblInd w:w="0" w:type="dxa"/>
        <w:tblLayout w:type="fixed"/>
        <w:tblCellMar>
          <w:top w:w="28" w:type="dxa"/>
          <w:left w:w="28" w:type="dxa"/>
          <w:bottom w:w="28" w:type="dxa"/>
          <w:right w:w="28" w:type="dxa"/>
        </w:tblCellMar>
      </w:tblPr>
      <w:tblGrid>
        <w:gridCol w:w="1152"/>
        <w:gridCol w:w="1011"/>
        <w:gridCol w:w="1017"/>
        <w:gridCol w:w="714"/>
        <w:gridCol w:w="1734"/>
        <w:gridCol w:w="372"/>
        <w:gridCol w:w="109"/>
        <w:gridCol w:w="109"/>
        <w:gridCol w:w="109"/>
        <w:gridCol w:w="318"/>
        <w:gridCol w:w="612"/>
        <w:gridCol w:w="164"/>
        <w:gridCol w:w="109"/>
        <w:gridCol w:w="109"/>
        <w:gridCol w:w="109"/>
        <w:gridCol w:w="211"/>
        <w:gridCol w:w="51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Facility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and other adjustments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43" w:type="dxa"/>
        <w:jc w:val="left"/>
        <w:tblInd w:w="0" w:type="dxa"/>
        <w:tblLayout w:type="fixed"/>
        <w:tblCellMar>
          <w:top w:w="28" w:type="dxa"/>
          <w:left w:w="28" w:type="dxa"/>
          <w:bottom w:w="28" w:type="dxa"/>
          <w:right w:w="28" w:type="dxa"/>
        </w:tblCellMar>
      </w:tblPr>
      <w:tblGrid>
        <w:gridCol w:w="1233"/>
        <w:gridCol w:w="1082"/>
        <w:gridCol w:w="1089"/>
        <w:gridCol w:w="818"/>
        <w:gridCol w:w="1576"/>
        <w:gridCol w:w="426"/>
        <w:gridCol w:w="109"/>
        <w:gridCol w:w="109"/>
        <w:gridCol w:w="109"/>
        <w:gridCol w:w="318"/>
        <w:gridCol w:w="612"/>
        <w:gridCol w:w="164"/>
        <w:gridCol w:w="109"/>
        <w:gridCol w:w="109"/>
        <w:gridCol w:w="109"/>
        <w:gridCol w:w="211"/>
        <w:gridCol w:w="40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Facility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2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of prior restructuring accruals</w:t>
            </w:r>
          </w:p>
        </w:tc>
        <w:tc>
          <w:tcPr>
            <w:tcW w:w="2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and other adjustments</w:t>
            </w:r>
          </w:p>
        </w:tc>
        <w:tc>
          <w:tcPr>
            <w:tcW w:w="2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restructuring liabilities are current as of March 31, 2025 and December 31, 2024 and are included in accrued expenses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EARNINGS (LOSS) PER SHARE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(“RSUs”), and performance share awards.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represents the computation of basic and diluted earnings (loss) per share from continuing operations per share. </w:t>
      </w:r>
    </w:p>
    <w:tbl>
      <w:tblPr>
        <w:tblW w:w="10205" w:type="dxa"/>
        <w:jc w:val="left"/>
        <w:tblInd w:w="0" w:type="dxa"/>
        <w:tblLayout w:type="fixed"/>
        <w:tblCellMar>
          <w:top w:w="28" w:type="dxa"/>
          <w:left w:w="28" w:type="dxa"/>
          <w:bottom w:w="28" w:type="dxa"/>
          <w:right w:w="28" w:type="dxa"/>
        </w:tblCellMar>
      </w:tblPr>
      <w:tblGrid>
        <w:gridCol w:w="1037"/>
        <w:gridCol w:w="911"/>
        <w:gridCol w:w="913"/>
        <w:gridCol w:w="109"/>
        <w:gridCol w:w="109"/>
        <w:gridCol w:w="109"/>
        <w:gridCol w:w="211"/>
        <w:gridCol w:w="653"/>
        <w:gridCol w:w="109"/>
        <w:gridCol w:w="109"/>
        <w:gridCol w:w="109"/>
        <w:gridCol w:w="109"/>
        <w:gridCol w:w="255"/>
        <w:gridCol w:w="256"/>
        <w:gridCol w:w="186"/>
        <w:gridCol w:w="109"/>
        <w:gridCol w:w="109"/>
        <w:gridCol w:w="109"/>
        <w:gridCol w:w="252"/>
        <w:gridCol w:w="665"/>
        <w:gridCol w:w="130"/>
        <w:gridCol w:w="109"/>
        <w:gridCol w:w="109"/>
        <w:gridCol w:w="109"/>
        <w:gridCol w:w="211"/>
        <w:gridCol w:w="548"/>
        <w:gridCol w:w="109"/>
        <w:gridCol w:w="109"/>
        <w:gridCol w:w="109"/>
        <w:gridCol w:w="109"/>
        <w:gridCol w:w="255"/>
        <w:gridCol w:w="256"/>
        <w:gridCol w:w="186"/>
        <w:gridCol w:w="109"/>
        <w:gridCol w:w="109"/>
        <w:gridCol w:w="109"/>
        <w:gridCol w:w="251"/>
        <w:gridCol w:w="660"/>
        <w:gridCol w:w="189"/>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Share Amount</w:t>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(loss) from continuing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represents the computation of basic and diluted earnings (loss) per share from discontinued operations per share. </w:t>
      </w:r>
    </w:p>
    <w:tbl>
      <w:tblPr>
        <w:tblW w:w="10205" w:type="dxa"/>
        <w:jc w:val="left"/>
        <w:tblInd w:w="0" w:type="dxa"/>
        <w:tblLayout w:type="fixed"/>
        <w:tblCellMar>
          <w:top w:w="28" w:type="dxa"/>
          <w:left w:w="28" w:type="dxa"/>
          <w:bottom w:w="28" w:type="dxa"/>
          <w:right w:w="28" w:type="dxa"/>
        </w:tblCellMar>
      </w:tblPr>
      <w:tblGrid>
        <w:gridCol w:w="1173"/>
        <w:gridCol w:w="1028"/>
        <w:gridCol w:w="1033"/>
        <w:gridCol w:w="109"/>
        <w:gridCol w:w="109"/>
        <w:gridCol w:w="109"/>
        <w:gridCol w:w="211"/>
        <w:gridCol w:w="406"/>
        <w:gridCol w:w="109"/>
        <w:gridCol w:w="109"/>
        <w:gridCol w:w="109"/>
        <w:gridCol w:w="109"/>
        <w:gridCol w:w="203"/>
        <w:gridCol w:w="203"/>
        <w:gridCol w:w="186"/>
        <w:gridCol w:w="109"/>
        <w:gridCol w:w="109"/>
        <w:gridCol w:w="109"/>
        <w:gridCol w:w="291"/>
        <w:gridCol w:w="561"/>
        <w:gridCol w:w="150"/>
        <w:gridCol w:w="109"/>
        <w:gridCol w:w="109"/>
        <w:gridCol w:w="109"/>
        <w:gridCol w:w="211"/>
        <w:gridCol w:w="551"/>
        <w:gridCol w:w="109"/>
        <w:gridCol w:w="109"/>
        <w:gridCol w:w="109"/>
        <w:gridCol w:w="109"/>
        <w:gridCol w:w="255"/>
        <w:gridCol w:w="256"/>
        <w:gridCol w:w="186"/>
        <w:gridCol w:w="109"/>
        <w:gridCol w:w="109"/>
        <w:gridCol w:w="109"/>
        <w:gridCol w:w="255"/>
        <w:gridCol w:w="675"/>
        <w:gridCol w:w="191"/>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Share Amount</w:t>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(loss) from discontinued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3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 There were no dilutive common shares for any period presented as the inclusion would be antidilutive.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potential common shares not included in the computation of diluted earnings per share because their impact would have been antidilutive:</w:t>
      </w:r>
    </w:p>
    <w:tbl>
      <w:tblPr>
        <w:tblW w:w="10205" w:type="dxa"/>
        <w:jc w:val="left"/>
        <w:tblInd w:w="0" w:type="dxa"/>
        <w:tblLayout w:type="fixed"/>
        <w:tblCellMar>
          <w:top w:w="28" w:type="dxa"/>
          <w:left w:w="28" w:type="dxa"/>
          <w:bottom w:w="28" w:type="dxa"/>
          <w:right w:w="28" w:type="dxa"/>
        </w:tblCellMar>
      </w:tblPr>
      <w:tblGrid>
        <w:gridCol w:w="2709"/>
        <w:gridCol w:w="2365"/>
        <w:gridCol w:w="2381"/>
        <w:gridCol w:w="266"/>
        <w:gridCol w:w="250"/>
        <w:gridCol w:w="246"/>
        <w:gridCol w:w="246"/>
        <w:gridCol w:w="246"/>
        <w:gridCol w:w="246"/>
        <w:gridCol w:w="266"/>
        <w:gridCol w:w="250"/>
        <w:gridCol w:w="246"/>
        <w:gridCol w:w="109"/>
        <w:gridCol w:w="109"/>
        <w:gridCol w:w="109"/>
        <w:gridCol w:w="161"/>
      </w:tblGrid>
      <w:tr>
        <w:trPr/>
        <w:tc>
          <w:tcPr>
            <w:tcW w:w="2709"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options and awards</w:t>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employee stock options and awards excluded based on reporting a net loss for the period</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GOODWILL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policy is to assess goodwill for impairment annually as of October 1, with more frequent assessments if events or changes in circumstances indicate the carrying amount may not be recoverable. Based on the annual test performed on October 1, 2024, it was previously determined that the fair values of the Company’s reporting units were greater than the carrying values, resulting in no impairment. For the Clinical Development reporting unit, the fair value of the business exceeded the book value by approximately 10% as of October 1, 2024.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due to a sustained decline in the Company’s share price and uncertainties in global macroeconomic conditions, the Company determined that an indicator of impairment existed. As a result, the Company performed an interim impairment test.</w: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goodwill impairment test as of March 31, 2025, the fair values of the Clinical Development and Clinical Pharmacology reporting units were computed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Annual cash flows, on a debt-free basis, arising from future revenues and profitability, changes in working capital, capital spending and income taxes for at least a five-year forecast period.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terminal growth rate for years beyond the forecast period. The terminal growth rate is selected based on consideration of growth rates used in the forecast period, historical performance of the reporting unit and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the results of the qualitative and quantitative assessments as of March 31, 2025, the Company concluded that the fair value of the Clinical Development reporting unit was less than its carrying value and recorded a goodwill impairment of $488.8.</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three months ended March 31, 2025 and 2024 are as follows:</w:t>
      </w:r>
    </w:p>
    <w:tbl>
      <w:tblPr>
        <w:tblW w:w="8683" w:type="dxa"/>
        <w:jc w:val="left"/>
        <w:tblInd w:w="0" w:type="dxa"/>
        <w:tblLayout w:type="fixed"/>
        <w:tblCellMar>
          <w:top w:w="28" w:type="dxa"/>
          <w:left w:w="28" w:type="dxa"/>
          <w:bottom w:w="28" w:type="dxa"/>
          <w:right w:w="28" w:type="dxa"/>
        </w:tblCellMar>
      </w:tblPr>
      <w:tblGrid>
        <w:gridCol w:w="1781"/>
        <w:gridCol w:w="1564"/>
        <w:gridCol w:w="1574"/>
        <w:gridCol w:w="245"/>
        <w:gridCol w:w="889"/>
        <w:gridCol w:w="126"/>
        <w:gridCol w:w="109"/>
        <w:gridCol w:w="109"/>
        <w:gridCol w:w="109"/>
        <w:gridCol w:w="245"/>
        <w:gridCol w:w="889"/>
        <w:gridCol w:w="126"/>
        <w:gridCol w:w="109"/>
        <w:gridCol w:w="109"/>
        <w:gridCol w:w="109"/>
        <w:gridCol w:w="109"/>
        <w:gridCol w:w="109"/>
        <w:gridCol w:w="109"/>
        <w:gridCol w:w="109"/>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impact and other adjustments to goodwill</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portion of long-term debt consisted of the following:</w:t>
      </w:r>
    </w:p>
    <w:tbl>
      <w:tblPr>
        <w:tblW w:w="8575" w:type="dxa"/>
        <w:jc w:val="left"/>
        <w:tblInd w:w="0" w:type="dxa"/>
        <w:tblLayout w:type="fixed"/>
        <w:tblCellMar>
          <w:top w:w="28" w:type="dxa"/>
          <w:left w:w="28" w:type="dxa"/>
          <w:bottom w:w="28" w:type="dxa"/>
          <w:right w:w="28" w:type="dxa"/>
        </w:tblCellMar>
      </w:tblPr>
      <w:tblGrid>
        <w:gridCol w:w="1968"/>
        <w:gridCol w:w="1731"/>
        <w:gridCol w:w="1746"/>
        <w:gridCol w:w="284"/>
        <w:gridCol w:w="829"/>
        <w:gridCol w:w="146"/>
        <w:gridCol w:w="109"/>
        <w:gridCol w:w="109"/>
        <w:gridCol w:w="109"/>
        <w:gridCol w:w="372"/>
        <w:gridCol w:w="901"/>
        <w:gridCol w:w="271"/>
      </w:tblGrid>
      <w:tr>
        <w:trPr/>
        <w:tc>
          <w:tcPr>
            <w:tcW w:w="196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7.5% senior notes due 2030</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discount and fees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borrowings and current portion of long-term debt</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6237" w:type="dxa"/>
        <w:jc w:val="left"/>
        <w:tblInd w:w="0" w:type="dxa"/>
        <w:tblLayout w:type="fixed"/>
        <w:tblCellMar>
          <w:top w:w="28" w:type="dxa"/>
          <w:left w:w="28" w:type="dxa"/>
          <w:bottom w:w="28" w:type="dxa"/>
          <w:right w:w="28" w:type="dxa"/>
        </w:tblCellMar>
      </w:tblPr>
      <w:tblGrid>
        <w:gridCol w:w="1123"/>
        <w:gridCol w:w="988"/>
        <w:gridCol w:w="994"/>
        <w:gridCol w:w="245"/>
        <w:gridCol w:w="889"/>
        <w:gridCol w:w="126"/>
        <w:gridCol w:w="109"/>
        <w:gridCol w:w="109"/>
        <w:gridCol w:w="109"/>
        <w:gridCol w:w="288"/>
        <w:gridCol w:w="1047"/>
        <w:gridCol w:w="210"/>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 senior notes due 2030</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A due 2028</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B due 2030</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discount and fees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bond indenture for the Notes contains an asset sale covenant that effectively requires the Company to utilize a prorated portion of the Net Cash Proceeds from an Asset Sale, each as defined in the indenture, to retire Notes. Absent an amendment to the indenture or other transaction related to these Notes, Fortrea currently expects that the sale of net assets relating to its Enabling Services Segment will require the Company to offer to repurchase, purchase on the open market or redeem approximately $76.0 of the Notes by the fourth quarter of 2025, which has been classified as current portion of long-term debt in the consolidated balance sheet as of March 31, 2025.</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Fortrea entered into a credit agreement (as amended,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drew on the term loan A and term loan B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March 31, 2025, the effective interest rate on the term loan A and term loan B was 6.57% and 8.07%, respectively.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is permitted, subject to certain covenant restrictions, to be used for general corporate purposes, including working capital and capital expenditures. There was $89.0 outstanding on the Company’s current revolving credit facility and $361.0 was available for borrowing as of March 31, 2025. No balances were outstanding as of December 31, 2024. As of March 31, 2025, the effective interest rate on the revolving credit facility was 7.28%. There is a commitment fee associated with the revolving credit facility of 0.35% (per annum and paid quarterly) and an annual $0.1 agency fee (paid in quarterly installments). The credit facility matures on June 30, 2028. There were no outstanding letters of credit under the Credit Agreement as of March 31, 2025.</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On February 28, 2025, the Company entered into an amendment to modify certain financial covenants for additional flexibility under the Credit Agreement. The Company was in compliance with all covenants in the Credit Agreement at March 31, 2025 and believes it will be in compliance with all covenants for a period of at least 12 months from the date these financial statements are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DERIVATIVE INSTRUMENTS AND HEDGING ACTIVITIES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Summary of Derivative Instruments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addresses its exposure to market risks, principally the market risk associated with changes in interest rates and foreign currency exchange rates, through a program of risk management that includes, from time to time, the use of derivative instruments such as foreign currency forward contracts and interest rate swap agreements.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interest rate swaps and foreign currency forward contracts are determined based on observable market inputs (Level 2). The table below presents the fair value of the Company’s derivatives on a gross basis and the balance sheet classification of those instruments:</w:t>
      </w:r>
    </w:p>
    <w:tbl>
      <w:tblPr>
        <w:tblW w:w="10205" w:type="dxa"/>
        <w:jc w:val="left"/>
        <w:tblInd w:w="0" w:type="dxa"/>
        <w:tblLayout w:type="fixed"/>
        <w:tblCellMar>
          <w:top w:w="28" w:type="dxa"/>
          <w:left w:w="28" w:type="dxa"/>
          <w:bottom w:w="28" w:type="dxa"/>
          <w:right w:w="28" w:type="dxa"/>
        </w:tblCellMar>
      </w:tblPr>
      <w:tblGrid>
        <w:gridCol w:w="1499"/>
        <w:gridCol w:w="1316"/>
        <w:gridCol w:w="1325"/>
        <w:gridCol w:w="771"/>
        <w:gridCol w:w="771"/>
        <w:gridCol w:w="773"/>
        <w:gridCol w:w="109"/>
        <w:gridCol w:w="109"/>
        <w:gridCol w:w="109"/>
        <w:gridCol w:w="211"/>
        <w:gridCol w:w="406"/>
        <w:gridCol w:w="109"/>
        <w:gridCol w:w="211"/>
        <w:gridCol w:w="478"/>
        <w:gridCol w:w="109"/>
        <w:gridCol w:w="109"/>
        <w:gridCol w:w="109"/>
        <w:gridCol w:w="109"/>
        <w:gridCol w:w="211"/>
        <w:gridCol w:w="406"/>
        <w:gridCol w:w="109"/>
        <w:gridCol w:w="211"/>
        <w:gridCol w:w="478"/>
        <w:gridCol w:w="157"/>
      </w:tblGrid>
      <w:tr>
        <w:trPr/>
        <w:tc>
          <w:tcPr>
            <w:tcW w:w="14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r>
      <w:tr>
        <w:trPr/>
        <w:tc>
          <w:tcPr>
            <w:tcW w:w="414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231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231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2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2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notional amounts of the Company’s interest rate swaps and foreign currency forward contracts were $150.0 and $256.5 as of March 31, 2025 and $150.0 and $468.6 as of December 31, 2024, respectively.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pre-tax effects of cash flow hedges included in the Company’s condensed consolidated statements of comprehensive loss: </w:t>
      </w:r>
    </w:p>
    <w:tbl>
      <w:tblPr>
        <w:tblW w:w="7028"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527"/>
        <w:gridCol w:w="1202"/>
        <w:gridCol w:w="272"/>
        <w:gridCol w:w="272"/>
        <w:gridCol w:w="272"/>
        <w:gridCol w:w="272"/>
        <w:gridCol w:w="527"/>
        <w:gridCol w:w="1015"/>
        <w:gridCol w:w="272"/>
        <w:gridCol w:w="1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Pre-Tax Gain (Loss) Included in Other Comprehensive Income</w:t>
            </w:r>
          </w:p>
        </w:tc>
        <w:tc>
          <w:tcPr>
            <w:tcW w:w="481" w:type="dxa"/>
            <w:gridSpan w:val="4"/>
            <w:tcBorders/>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amounts reclassified out of accumulated other comprehensive loss and recognized in the condensed consolidated statements of operations: </w:t>
      </w:r>
    </w:p>
    <w:tbl>
      <w:tblPr>
        <w:tblW w:w="10205" w:type="dxa"/>
        <w:jc w:val="left"/>
        <w:tblInd w:w="0" w:type="dxa"/>
        <w:tblLayout w:type="fixed"/>
        <w:tblCellMar>
          <w:top w:w="28" w:type="dxa"/>
          <w:left w:w="28" w:type="dxa"/>
          <w:bottom w:w="28" w:type="dxa"/>
          <w:right w:w="28" w:type="dxa"/>
        </w:tblCellMar>
      </w:tblPr>
      <w:tblGrid>
        <w:gridCol w:w="566"/>
        <w:gridCol w:w="497"/>
        <w:gridCol w:w="501"/>
        <w:gridCol w:w="953"/>
        <w:gridCol w:w="953"/>
        <w:gridCol w:w="956"/>
        <w:gridCol w:w="109"/>
        <w:gridCol w:w="109"/>
        <w:gridCol w:w="109"/>
        <w:gridCol w:w="565"/>
        <w:gridCol w:w="1088"/>
        <w:gridCol w:w="292"/>
        <w:gridCol w:w="292"/>
        <w:gridCol w:w="292"/>
        <w:gridCol w:w="292"/>
        <w:gridCol w:w="565"/>
        <w:gridCol w:w="1287"/>
        <w:gridCol w:w="292"/>
        <w:gridCol w:w="109"/>
        <w:gridCol w:w="109"/>
        <w:gridCol w:w="109"/>
        <w:gridCol w:w="160"/>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Other Comprehensive Loss into Earnings</w:t>
            </w:r>
          </w:p>
        </w:tc>
        <w:tc>
          <w:tcPr>
            <w:tcW w:w="487" w:type="dxa"/>
            <w:gridSpan w:val="4"/>
            <w:tcBorders/>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862"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9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amount of pre-tax net losses included in other comprehensive loss that is expected to be reclassified into earnings over the twelve months following March 31, 2025, is $0.4.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10, “Preferred Stock and Common Shareholders' Equity” for the impact of the Company’s derivative instruments included in accumulated other comprehensive loss.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loss for derivative contracts not designated as hedges included in the Company’s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035"/>
        <w:gridCol w:w="908"/>
        <w:gridCol w:w="914"/>
        <w:gridCol w:w="945"/>
        <w:gridCol w:w="945"/>
        <w:gridCol w:w="948"/>
        <w:gridCol w:w="109"/>
        <w:gridCol w:w="109"/>
        <w:gridCol w:w="109"/>
        <w:gridCol w:w="421"/>
        <w:gridCol w:w="810"/>
        <w:gridCol w:w="217"/>
        <w:gridCol w:w="217"/>
        <w:gridCol w:w="217"/>
        <w:gridCol w:w="217"/>
        <w:gridCol w:w="421"/>
        <w:gridCol w:w="958"/>
        <w:gridCol w:w="217"/>
        <w:gridCol w:w="109"/>
        <w:gridCol w:w="109"/>
        <w:gridCol w:w="109"/>
        <w:gridCol w:w="161"/>
      </w:tblGrid>
      <w:tr>
        <w:trPr/>
        <w:tc>
          <w:tcPr>
            <w:tcW w:w="10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Gain (Loss) on Derivatives Recognized in Earnings</w:t>
            </w:r>
          </w:p>
        </w:tc>
        <w:tc>
          <w:tcPr>
            <w:tcW w:w="488" w:type="dxa"/>
            <w:gridSpan w:val="4"/>
            <w:tcBorders/>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2838"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1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9.    COMMITMENTS AND CONTINGENT LIABILITIES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the Company establishes reserves for claims and legal actions when those matters present loss contingencies that are both probable and estimable. When loss contingencies are not both probable and estimable, the Company does not establish reserves. The outcomes of such proceedings are inherently unpredictable and subject to significant uncertainties. When the Company determines that it has a meritorious defense to any claims asserted, the Company defends itself vigorously; however the Company also considers and enters into discussions regarding settlement of disputes, and may enter into settlement agreements, if in management’s judgment, it is in the best interest of the Company to do so. For the three months ended March 31, 2025, the Company recorded legal expenses of $1.9 related to legal matters initiated prior to the spin. The Company does not believe that any liabilities resulting from claims and legal actions will have a material effect on its financial condition, results of operations or cash flows.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was previously disclosed that there was an issue in a customer’s trial caused by a third-party vendor not affiliated with the Company. As part of working with this customer, the Company made concessions and provide discounts and other consideration to the customer in the amount of $12.5 as part of a multi-party solution to facilitate the ongoing trials, of which $1.7 was recorded as a reduction of revenue for the three months ended March 31, 2024. There were no related reductions of revenue during the three months ended March 31, 2025, as the agreed-upon amount had been satisfied.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PREFERRED STOCK AND COMMON SHAREHOLDERS’ EQUITY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up to 265.0 shares of common stock, par value $0.001 per share. The Company is authorized to issue up to 30.0 shares of preferred stock, par value $0.001 per share. There were no preferred shares outstanding as of March 31, 2025 and December 31, 2024.</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Loss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are as follows:</w:t>
      </w:r>
    </w:p>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(276.0)</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(206.7)</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(234.4)</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(241.6)</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 recognized income tax expenses of $14.9 and $4.1, respectively, which resulted in effective tax rates of (2.7)% and (5.4)%, respectively. The effective tax rate for the three months ended March 31, 2025 was lower than the Company’s statutory tax rate primarily due to impairment of goodwill that has no tax benefit, an increase in valuation allowance, BEAT, non-deductible compensation expenses and withholding taxes for 2025 non-U.S. earnings that are not permanently reinvested. The effective tax rate for the three months ended March 31, 2024 was lower than the Company’s statutory tax rate primarily due to a change in valuation allowance, the geographic mix of earnings, and non-deductible compensation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STOCK COMPENSATION PLANS</w:t>
      </w:r>
    </w:p>
    <w:p>
      <w:pPr>
        <w:pStyle w:val="TextBody"/>
        <w:bidi w:val="0"/>
        <w:spacing w:lineRule="auto" w:line="288"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5.6 and 0.5 of restricted stock units and performance share awards, respectively, during the three months ended March 31, 2025 with weighted average grant date fair values of $10.65 and $8.13 per share.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and the associated income tax benefits recognized by the Company in the condensed consolidated statements of operations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tbl>
      <w:tblPr>
        <w:tblW w:w="6611" w:type="dxa"/>
        <w:jc w:val="left"/>
        <w:tblInd w:w="0" w:type="dxa"/>
        <w:tblLayout w:type="fixed"/>
        <w:tblCellMar>
          <w:top w:w="28" w:type="dxa"/>
          <w:left w:w="28" w:type="dxa"/>
          <w:bottom w:w="28" w:type="dxa"/>
          <w:right w:w="28" w:type="dxa"/>
        </w:tblCellMar>
      </w:tblPr>
      <w:tblGrid>
        <w:gridCol w:w="1351"/>
        <w:gridCol w:w="1186"/>
        <w:gridCol w:w="1198"/>
        <w:gridCol w:w="254"/>
        <w:gridCol w:w="616"/>
        <w:gridCol w:w="131"/>
        <w:gridCol w:w="131"/>
        <w:gridCol w:w="131"/>
        <w:gridCol w:w="131"/>
        <w:gridCol w:w="254"/>
        <w:gridCol w:w="616"/>
        <w:gridCol w:w="131"/>
        <w:gridCol w:w="109"/>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 compensation expense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13.    SUPPLEMENTAL CASH FLOW INFORMATION</w:t>
      </w:r>
    </w:p>
    <w:tbl>
      <w:tblPr>
        <w:tblW w:w="6582" w:type="dxa"/>
        <w:jc w:val="left"/>
        <w:tblInd w:w="0" w:type="dxa"/>
        <w:tblLayout w:type="fixed"/>
        <w:tblCellMar>
          <w:top w:w="28" w:type="dxa"/>
          <w:left w:w="28" w:type="dxa"/>
          <w:bottom w:w="28" w:type="dxa"/>
          <w:right w:w="28" w:type="dxa"/>
        </w:tblCellMar>
      </w:tblPr>
      <w:tblGrid>
        <w:gridCol w:w="1498"/>
        <w:gridCol w:w="1319"/>
        <w:gridCol w:w="1322"/>
        <w:gridCol w:w="253"/>
        <w:gridCol w:w="614"/>
        <w:gridCol w:w="131"/>
        <w:gridCol w:w="131"/>
        <w:gridCol w:w="131"/>
        <w:gridCol w:w="131"/>
        <w:gridCol w:w="253"/>
        <w:gridCol w:w="614"/>
        <w:gridCol w:w="185"/>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schedule of cash flow information:</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period for:</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net of refunds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of non-cash investing activities:</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accrued property, plant and equipment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14.    BUSINESS SEGMENT INFORMATION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segment information for the three months ended March 31, 2025 and 2024.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CODM allocates resources and assesses performance based on the underlying businesses which determines the Company's operating segments. When determining the reportable segments, the Company aggregated operating segments based on their similar economic and operating characteristics. Subsequent to the sale of the Enabling Services Segment in 2024, the Company reports its business in one reportable segment: Clinical Services, which provides phase I-IV clinical trials, including clinical pharmacology and comprehensive clinical development capabilities. The measure of segment profit or loss that the CODM uses to evaluates performance and allocate resources is segment operating income. The CODM uses segment operating income to monitor budget versus actual results and to make decisions about resources to be allocated to the segment and assess its performance.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 accordance with ASU 2023-07,</w:t>
      </w:r>
      <w:r>
        <w:rPr>
          <w:color w:val="000000"/>
        </w:rPr>
        <w:t xml:space="preserve">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significant expenses included within segment operating income have been assessed and disclosed in the table below. Corporate costs not included in the segment operating income measure provided to the CODM are included within “Corporate costs not included in segment operating income.” Segment asset information is not presented because it is not used by the CODM at the segment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cbb432a827854184a08b11a2f5970a8b_7">
              <w:r>
                <w:rPr>
                  <w:rStyle w:val="InternetLink"/>
                  <w:rFonts w:ascii="Times New Roman;sans-serif" w:hAnsi="Times New Roman;sans-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 for the three months ended March 31, 2025 and 2024 is reconciled to income (loss) from continuing operations before income taxes as follows:</w:t>
      </w:r>
    </w:p>
    <w:tbl>
      <w:tblPr>
        <w:tblW w:w="7520" w:type="dxa"/>
        <w:jc w:val="left"/>
        <w:tblInd w:w="0" w:type="dxa"/>
        <w:tblLayout w:type="fixed"/>
        <w:tblCellMar>
          <w:top w:w="28" w:type="dxa"/>
          <w:left w:w="28" w:type="dxa"/>
          <w:bottom w:w="28" w:type="dxa"/>
          <w:right w:w="28" w:type="dxa"/>
        </w:tblCellMar>
      </w:tblPr>
      <w:tblGrid>
        <w:gridCol w:w="1762"/>
        <w:gridCol w:w="1544"/>
        <w:gridCol w:w="1553"/>
        <w:gridCol w:w="222"/>
        <w:gridCol w:w="729"/>
        <w:gridCol w:w="115"/>
        <w:gridCol w:w="115"/>
        <w:gridCol w:w="115"/>
        <w:gridCol w:w="115"/>
        <w:gridCol w:w="222"/>
        <w:gridCol w:w="650"/>
        <w:gridCol w:w="115"/>
        <w:gridCol w:w="109"/>
        <w:gridCol w:w="154"/>
      </w:tblGrid>
      <w:tr>
        <w:trPr/>
        <w:tc>
          <w:tcPr>
            <w:tcW w:w="176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 through costs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costs not included in segment operating income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asset impairments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 before income taxes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(in millions)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is intended to provide a summary of significant factors relevant to the financial performance and condition of Fortrea Holdings Inc., which we refer to in this discussion and analysis as “Fortrea,” the “Company,” “our” and “we”. Prior to the spin-off which was completed on June 30, 2023 (the “Spin” or “the Separation”), Fortrea existed and functioned as part of Labcorp Holdings Inc., which we refer to in this discussion and analysis as “Labcorp” or “Former Parent.” The following discussion and analysis of our financial condition and results of operations should be read in conjunction with our audited consolidated and combined financial statements and corresponding notes included in our Annual Report on Form 10-K for the year ended December 31, 2024 (the “Form 10-K”) and our unaudited condensed consolidated financial statements and corresponding notes in Item 1. “Financial Statements.” Unless otherwise noted, the following information and discussion relates to our continuing operations.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Cautionary Statement Concerning Forward-Looking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 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the “Risk Factors” Section of our Form 10-K, as filed with the SEC. Factors that could cause actual results to differ from those reflected in forward-looking statements relating to our operations and business include, among other things: the impacts of becoming and our limited operating history as an independent public company; our ability to maintain financial reporting and other financial and accounting information following the Spin due to the end of the relevant transition agreements, as well as IT, accounting, finance, legal, human resources, and other services critical to our businesses; our dependence on third parties generally to provide services critical to our businesses; the risk that establishment of our accounting, enterprise resource planning, and other management systems post the transition period could cost more or take longer than anticipated; the impact of building our brand and increasing our value; our ability to successfully implement our business strategies and execute our long-term value creation strategy; risks and expenses associated with our international operations including but not limited to currency fluctuations and trade policies; our customer or therapeutic area concentrations; any deterioration in the macroeconomic environment, which could lead to defaults or cancellations by our customers; the risk that our backlog and net new business may not grow to the extent we anticipate over the time period we anticipate,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our ability to complete the divestiture of Endpoint Clinical and Fortrea Patient access businesses on time or at all and our ability to realize the full purchase price and benefits of the transaction; and other factors described in the Form 10-K and from time to time in documents that we file with the SEC.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Annual Report on Form 10-K.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Fortrea, a Delaware corporation incorporated on January 31, 2023, is a leading global contract research organization (“CRO”) providing biopharmaceutical product and medical device development solutions to pharmaceutical, biotechnology and medical device customers. We offer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scientific and therapeutic expertise, clinical data insights, technology innovation,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team of approximately 15,000 employees conducts operations in approximately 100 countries and delivers comprehensive phase I – IV clinical trial management, clinical pharmacology, and consulting services for our customers. Our offering is scaled to deliver focused and agile solutions to customers globally, streamlining the biopharmaceutical product, and medical device development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Sale of Assets Relating to the Enabling Services Segment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March 9, 2024, the Company, together with its wholly-owned subsidiary, Fortrea Inc. (the “Seller”), entered into an Asset Purchase Agreement (the “Purchase Agreement”) with Endeavor Buyer LLC, an affiliate of Arsenal Capital Partners, pursuant to which the Seller agreed to sell, and to cause its affiliates to sell, certain assets relating to its Enabling Services Segment (the “Transaction”),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which includes certain services provided through a Transition Services Agreement. The Transaction closed during the second quarter of 2024. The first milestone payment in the amount of $20.0 was received in the first quarter of 2025. The decision to sell such assets relating to the Enabling Services Segment represented a strategic shift that had a significant effect on the Company's results and operations for the periods presented. As a result, the operations of the Enabling Services Segment have been classified as loss from discontinued operations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 typically require notice periods ranging from 30 to 90 days. We adjust backlog for foreign currency fluctuations and exclude from backlog amounts that have been recognized as revenue in our statements of operations. Our backlog was $7.7 billion as of March 31, 2025.</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a further discussion of the risks relating to our business, see the “Risk Factors” section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CONTINUING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with Three Months Ended March 31, 2024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financial measures that management considers to be the most significant indicators of the Company's performance.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tbl>
      <w:tblPr>
        <w:tblW w:w="5188" w:type="dxa"/>
        <w:jc w:val="left"/>
        <w:tblInd w:w="0" w:type="dxa"/>
        <w:tblLayout w:type="fixed"/>
        <w:tblCellMar>
          <w:top w:w="28" w:type="dxa"/>
          <w:left w:w="28" w:type="dxa"/>
          <w:bottom w:w="28" w:type="dxa"/>
          <w:right w:w="28" w:type="dxa"/>
        </w:tblCellMar>
      </w:tblPr>
      <w:tblGrid>
        <w:gridCol w:w="332"/>
        <w:gridCol w:w="291"/>
        <w:gridCol w:w="293"/>
        <w:gridCol w:w="230"/>
        <w:gridCol w:w="672"/>
        <w:gridCol w:w="119"/>
        <w:gridCol w:w="119"/>
        <w:gridCol w:w="119"/>
        <w:gridCol w:w="119"/>
        <w:gridCol w:w="230"/>
        <w:gridCol w:w="672"/>
        <w:gridCol w:w="119"/>
        <w:gridCol w:w="109"/>
        <w:gridCol w:w="109"/>
        <w:gridCol w:w="109"/>
        <w:gridCol w:w="239"/>
        <w:gridCol w:w="241"/>
        <w:gridCol w:w="367"/>
        <w:gridCol w:w="109"/>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for the three months ended March 31, 2025 were $651.3, a decrease of 1.6% from revenues of $662.1 in the corresponding period in 2024. The change in revenues was due to a decrease in organic revenues of 1.1% and unfavorable foreign currency translation of 0.5%. The Company defines organic growth as the change in revenues excluding the year over year impact of acquisitions, divestitures and currency. The 1.1% decrease in organic revenues was primarily driven by lower clinical development revenues resulting primarily from a slower backlog burn rate resulting from the mix of complex and longer duration studies in our portfolio as well as slower study start up on our biotech studies. This decrease was partially offset by an increase in revenue resulting from higher pass through costs and growth in our clinical pharmacology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 Costs, Exclusive of Depreciation and Amortization</w:t>
      </w:r>
    </w:p>
    <w:tbl>
      <w:tblPr>
        <w:tblW w:w="6991" w:type="dxa"/>
        <w:jc w:val="left"/>
        <w:tblInd w:w="0" w:type="dxa"/>
        <w:tblLayout w:type="fixed"/>
        <w:tblCellMar>
          <w:top w:w="28" w:type="dxa"/>
          <w:left w:w="28" w:type="dxa"/>
          <w:bottom w:w="28" w:type="dxa"/>
          <w:right w:w="28" w:type="dxa"/>
        </w:tblCellMar>
      </w:tblPr>
      <w:tblGrid>
        <w:gridCol w:w="939"/>
        <w:gridCol w:w="827"/>
        <w:gridCol w:w="829"/>
        <w:gridCol w:w="211"/>
        <w:gridCol w:w="616"/>
        <w:gridCol w:w="271"/>
        <w:gridCol w:w="109"/>
        <w:gridCol w:w="109"/>
        <w:gridCol w:w="109"/>
        <w:gridCol w:w="211"/>
        <w:gridCol w:w="616"/>
        <w:gridCol w:w="271"/>
        <w:gridCol w:w="109"/>
        <w:gridCol w:w="109"/>
        <w:gridCol w:w="109"/>
        <w:gridCol w:w="239"/>
        <w:gridCol w:w="241"/>
        <w:gridCol w:w="367"/>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 as a % of revenues</w:t>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7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 consist primarily of payroll and related benefits for project-related employees, reimbursable expenses (pass through costs), transition services agreement costs, information technology costs, and other direct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 decreased 3.5% during the three months ended March 31, 2025 as compared with the corresponding period in 2024. Direct costs decreased as a percentage of revenues to 82.1% during the three months ended March 31, 2025 as compared to 83.7% in the corresponding period in 2024. The decrease in direct costs was primarily due to lower headcount and personnel costs. This decrease was partially offset by an increase in pass through costs and professional fees, as well as a reduction in research and development tax credits.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 Exclusive of Depreciation and Amortization</w:t>
      </w:r>
    </w:p>
    <w:tbl>
      <w:tblPr>
        <w:tblW w:w="7933" w:type="dxa"/>
        <w:jc w:val="left"/>
        <w:tblInd w:w="0" w:type="dxa"/>
        <w:tblLayout w:type="fixed"/>
        <w:tblCellMar>
          <w:top w:w="28" w:type="dxa"/>
          <w:left w:w="28" w:type="dxa"/>
          <w:bottom w:w="28" w:type="dxa"/>
          <w:right w:w="28" w:type="dxa"/>
        </w:tblCellMar>
      </w:tblPr>
      <w:tblGrid>
        <w:gridCol w:w="1354"/>
        <w:gridCol w:w="1189"/>
        <w:gridCol w:w="1192"/>
        <w:gridCol w:w="230"/>
        <w:gridCol w:w="672"/>
        <w:gridCol w:w="119"/>
        <w:gridCol w:w="119"/>
        <w:gridCol w:w="119"/>
        <w:gridCol w:w="119"/>
        <w:gridCol w:w="230"/>
        <w:gridCol w:w="672"/>
        <w:gridCol w:w="119"/>
        <w:gridCol w:w="109"/>
        <w:gridCol w:w="109"/>
        <w:gridCol w:w="109"/>
        <w:gridCol w:w="203"/>
        <w:gridCol w:w="203"/>
        <w:gridCol w:w="367"/>
        <w:gridCol w:w="109"/>
        <w:gridCol w:w="109"/>
        <w:gridCol w:w="109"/>
        <w:gridCol w:w="109"/>
        <w:gridCol w:w="109"/>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administrative payroll and related benefit charges, transition services agreement costs, information technology costs, other facility charges, advertising and promotional expenses, administrative travel and credit loss provisions.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1.4% during the three months ended March 31, 2025 as compared with the corresponding period in 2024. The increase was primarily due to an increase in personnel costs and professional fees to support the establishment of our corporate functions as a stand-alone company as well as $4.4 of costs associated with the receivable securitization program. This increase was partially offset by lower transition service agreement costs.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Expense</w:t>
      </w:r>
    </w:p>
    <w:tbl>
      <w:tblPr>
        <w:tblW w:w="6251" w:type="dxa"/>
        <w:jc w:val="left"/>
        <w:tblInd w:w="0" w:type="dxa"/>
        <w:tblLayout w:type="fixed"/>
        <w:tblCellMar>
          <w:top w:w="28" w:type="dxa"/>
          <w:left w:w="28" w:type="dxa"/>
          <w:bottom w:w="28" w:type="dxa"/>
          <w:right w:w="28" w:type="dxa"/>
        </w:tblCellMar>
      </w:tblPr>
      <w:tblGrid>
        <w:gridCol w:w="679"/>
        <w:gridCol w:w="597"/>
        <w:gridCol w:w="599"/>
        <w:gridCol w:w="284"/>
        <w:gridCol w:w="547"/>
        <w:gridCol w:w="147"/>
        <w:gridCol w:w="147"/>
        <w:gridCol w:w="147"/>
        <w:gridCol w:w="147"/>
        <w:gridCol w:w="284"/>
        <w:gridCol w:w="547"/>
        <w:gridCol w:w="147"/>
        <w:gridCol w:w="109"/>
        <w:gridCol w:w="109"/>
        <w:gridCol w:w="109"/>
        <w:gridCol w:w="293"/>
        <w:gridCol w:w="293"/>
        <w:gridCol w:w="367"/>
        <w:gridCol w:w="109"/>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depreciation expense for the three months ended March 31, 2025, as compared to the corresponding period in 2024, was due to a decrease in depreciable property, plant and equipment, primarily IT assets.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Expense</w:t>
      </w:r>
    </w:p>
    <w:tbl>
      <w:tblPr>
        <w:tblW w:w="7957" w:type="dxa"/>
        <w:jc w:val="left"/>
        <w:tblInd w:w="0" w:type="dxa"/>
        <w:tblLayout w:type="fixed"/>
        <w:tblCellMar>
          <w:top w:w="28" w:type="dxa"/>
          <w:left w:w="28" w:type="dxa"/>
          <w:bottom w:w="28" w:type="dxa"/>
          <w:right w:w="28" w:type="dxa"/>
        </w:tblCellMar>
      </w:tblPr>
      <w:tblGrid>
        <w:gridCol w:w="1336"/>
        <w:gridCol w:w="1173"/>
        <w:gridCol w:w="1180"/>
        <w:gridCol w:w="254"/>
        <w:gridCol w:w="616"/>
        <w:gridCol w:w="131"/>
        <w:gridCol w:w="131"/>
        <w:gridCol w:w="131"/>
        <w:gridCol w:w="131"/>
        <w:gridCol w:w="254"/>
        <w:gridCol w:w="616"/>
        <w:gridCol w:w="131"/>
        <w:gridCol w:w="109"/>
        <w:gridCol w:w="109"/>
        <w:gridCol w:w="109"/>
        <w:gridCol w:w="239"/>
        <w:gridCol w:w="241"/>
        <w:gridCol w:w="367"/>
        <w:gridCol w:w="109"/>
        <w:gridCol w:w="109"/>
        <w:gridCol w:w="109"/>
        <w:gridCol w:w="109"/>
        <w:gridCol w:w="109"/>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and other assets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 xml:space="preserve">he change in amortization of intangibles and other assets during the three 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as compared to the corresponding period in </w:t>
      </w:r>
      <w:r>
        <w:rPr>
          <w:rFonts w:ascii="Times New Roman;sans-serif" w:hAnsi="Times New Roman;sans-serif"/>
          <w:b w:val="false"/>
          <w:color w:val="000000"/>
          <w:sz w:val="20"/>
        </w:rPr>
        <w:t xml:space="preserve">2024, was due to certain intangible assets reaching the end of their useful lives </w:t>
      </w:r>
      <w:r>
        <w:rPr>
          <w:rFonts w:ascii="Times New Roman;sans-serif" w:hAnsi="Times New Roman;sans-serif"/>
          <w:b w:val="false"/>
          <w:color w:val="000000"/>
          <w:sz w:val="20"/>
          <w:shd w:fill="FFFFFF" w:val="clear"/>
        </w:rPr>
        <w:t xml:space="preserve">during the three months ended </w:t>
      </w:r>
      <w:r>
        <w:rPr>
          <w:rFonts w:ascii="Times New Roman;sans-serif" w:hAnsi="Times New Roman;sans-serif"/>
          <w:b w:val="false"/>
          <w:color w:val="000000"/>
          <w:sz w:val="20"/>
        </w:rPr>
        <w:t>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and other asset impairments</w:t>
      </w:r>
    </w:p>
    <w:tbl>
      <w:tblPr>
        <w:tblW w:w="7263" w:type="dxa"/>
        <w:jc w:val="left"/>
        <w:tblInd w:w="0" w:type="dxa"/>
        <w:tblLayout w:type="fixed"/>
        <w:tblCellMar>
          <w:top w:w="28" w:type="dxa"/>
          <w:left w:w="28" w:type="dxa"/>
          <w:bottom w:w="28" w:type="dxa"/>
          <w:right w:w="28" w:type="dxa"/>
        </w:tblCellMar>
      </w:tblPr>
      <w:tblGrid>
        <w:gridCol w:w="1152"/>
        <w:gridCol w:w="1011"/>
        <w:gridCol w:w="1017"/>
        <w:gridCol w:w="254"/>
        <w:gridCol w:w="743"/>
        <w:gridCol w:w="131"/>
        <w:gridCol w:w="131"/>
        <w:gridCol w:w="131"/>
        <w:gridCol w:w="131"/>
        <w:gridCol w:w="254"/>
        <w:gridCol w:w="490"/>
        <w:gridCol w:w="131"/>
        <w:gridCol w:w="109"/>
        <w:gridCol w:w="109"/>
        <w:gridCol w:w="109"/>
        <w:gridCol w:w="220"/>
        <w:gridCol w:w="220"/>
        <w:gridCol w:w="221"/>
        <w:gridCol w:w="109"/>
        <w:gridCol w:w="109"/>
        <w:gridCol w:w="109"/>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asset impairments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for the three months ended March 31, 2025 was $488.8. This impairment was specific to the Clinical Development reporting unit. There were no goodwill and other asset impairments for the three months ended March 31, 2024.</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and Other Charges</w:t>
      </w:r>
    </w:p>
    <w:tbl>
      <w:tblPr>
        <w:tblW w:w="7001" w:type="dxa"/>
        <w:jc w:val="left"/>
        <w:tblInd w:w="0" w:type="dxa"/>
        <w:tblLayout w:type="fixed"/>
        <w:tblCellMar>
          <w:top w:w="28" w:type="dxa"/>
          <w:left w:w="28" w:type="dxa"/>
          <w:bottom w:w="28" w:type="dxa"/>
          <w:right w:w="28" w:type="dxa"/>
        </w:tblCellMar>
      </w:tblPr>
      <w:tblGrid>
        <w:gridCol w:w="978"/>
        <w:gridCol w:w="860"/>
        <w:gridCol w:w="862"/>
        <w:gridCol w:w="284"/>
        <w:gridCol w:w="547"/>
        <w:gridCol w:w="147"/>
        <w:gridCol w:w="147"/>
        <w:gridCol w:w="147"/>
        <w:gridCol w:w="147"/>
        <w:gridCol w:w="284"/>
        <w:gridCol w:w="547"/>
        <w:gridCol w:w="147"/>
        <w:gridCol w:w="109"/>
        <w:gridCol w:w="109"/>
        <w:gridCol w:w="109"/>
        <w:gridCol w:w="255"/>
        <w:gridCol w:w="256"/>
        <w:gridCol w:w="367"/>
        <w:gridCol w:w="109"/>
        <w:gridCol w:w="109"/>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restructuring and other charges for the three months ended March 31, 2025, as compared to the corresponding period in 2024, was due to continued charges associated with the Company’s actions to streamline its operations and eliminate redundant positions including $3.2 in impairment of facility related assets during the three months ended March 31, 2025.</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5798" w:type="dxa"/>
        <w:jc w:val="left"/>
        <w:tblInd w:w="0" w:type="dxa"/>
        <w:tblLayout w:type="fixed"/>
        <w:tblCellMar>
          <w:top w:w="28" w:type="dxa"/>
          <w:left w:w="28" w:type="dxa"/>
          <w:bottom w:w="28" w:type="dxa"/>
          <w:right w:w="28" w:type="dxa"/>
        </w:tblCellMar>
      </w:tblPr>
      <w:tblGrid>
        <w:gridCol w:w="516"/>
        <w:gridCol w:w="452"/>
        <w:gridCol w:w="456"/>
        <w:gridCol w:w="254"/>
        <w:gridCol w:w="616"/>
        <w:gridCol w:w="131"/>
        <w:gridCol w:w="131"/>
        <w:gridCol w:w="131"/>
        <w:gridCol w:w="131"/>
        <w:gridCol w:w="254"/>
        <w:gridCol w:w="616"/>
        <w:gridCol w:w="131"/>
        <w:gridCol w:w="109"/>
        <w:gridCol w:w="109"/>
        <w:gridCol w:w="109"/>
        <w:gridCol w:w="293"/>
        <w:gridCol w:w="293"/>
        <w:gridCol w:w="367"/>
        <w:gridCol w:w="109"/>
        <w:gridCol w:w="109"/>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for the three months ended March 31, 2025, as compared with the corresponding period in 2024, is primarily due to the pay down of $70.2 on term loan A and $412.5 on term loan B in the six months ended June 30, 2024.</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Loss</w:t>
      </w:r>
    </w:p>
    <w:tbl>
      <w:tblPr>
        <w:tblW w:w="6174" w:type="dxa"/>
        <w:jc w:val="left"/>
        <w:tblInd w:w="0" w:type="dxa"/>
        <w:tblLayout w:type="fixed"/>
        <w:tblCellMar>
          <w:top w:w="28" w:type="dxa"/>
          <w:left w:w="28" w:type="dxa"/>
          <w:bottom w:w="28" w:type="dxa"/>
          <w:right w:w="28" w:type="dxa"/>
        </w:tblCellMar>
      </w:tblPr>
      <w:tblGrid>
        <w:gridCol w:w="716"/>
        <w:gridCol w:w="631"/>
        <w:gridCol w:w="633"/>
        <w:gridCol w:w="262"/>
        <w:gridCol w:w="598"/>
        <w:gridCol w:w="135"/>
        <w:gridCol w:w="135"/>
        <w:gridCol w:w="135"/>
        <w:gridCol w:w="135"/>
        <w:gridCol w:w="262"/>
        <w:gridCol w:w="598"/>
        <w:gridCol w:w="135"/>
        <w:gridCol w:w="109"/>
        <w:gridCol w:w="109"/>
        <w:gridCol w:w="109"/>
        <w:gridCol w:w="203"/>
        <w:gridCol w:w="203"/>
        <w:gridCol w:w="367"/>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loss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exchange loss for the three months ended March 31, 2025 compared to the foreign exchange loss for three months ended March 31, 2024 was primarily due to the fluctuations in the U.S. Dollar against the British Pound and the Euro.</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net</w:t>
      </w:r>
    </w:p>
    <w:tbl>
      <w:tblPr>
        <w:tblW w:w="5394" w:type="dxa"/>
        <w:jc w:val="left"/>
        <w:tblInd w:w="0" w:type="dxa"/>
        <w:tblLayout w:type="fixed"/>
        <w:tblCellMar>
          <w:top w:w="28" w:type="dxa"/>
          <w:left w:w="28" w:type="dxa"/>
          <w:bottom w:w="28" w:type="dxa"/>
          <w:right w:w="28" w:type="dxa"/>
        </w:tblCellMar>
      </w:tblPr>
      <w:tblGrid>
        <w:gridCol w:w="331"/>
        <w:gridCol w:w="291"/>
        <w:gridCol w:w="292"/>
        <w:gridCol w:w="284"/>
        <w:gridCol w:w="547"/>
        <w:gridCol w:w="147"/>
        <w:gridCol w:w="147"/>
        <w:gridCol w:w="147"/>
        <w:gridCol w:w="147"/>
        <w:gridCol w:w="284"/>
        <w:gridCol w:w="547"/>
        <w:gridCol w:w="147"/>
        <w:gridCol w:w="109"/>
        <w:gridCol w:w="109"/>
        <w:gridCol w:w="109"/>
        <w:gridCol w:w="344"/>
        <w:gridCol w:w="346"/>
        <w:gridCol w:w="367"/>
        <w:gridCol w:w="109"/>
        <w:gridCol w:w="109"/>
        <w:gridCol w:w="109"/>
        <w:gridCol w:w="109"/>
        <w:gridCol w:w="109"/>
        <w:gridCol w:w="15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other, net for the three months ended March 31, 2025, as compared with the corresponding period in 2024, is primarily related to a change in the estimated amount of the contingent consideration payment on a sale of a facility to a third party. This decrease was partially offset by income related to services provided under transition services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tbl>
      <w:tblPr>
        <w:tblW w:w="8081" w:type="dxa"/>
        <w:jc w:val="left"/>
        <w:tblInd w:w="0" w:type="dxa"/>
        <w:tblLayout w:type="fixed"/>
        <w:tblCellMar>
          <w:top w:w="28" w:type="dxa"/>
          <w:left w:w="28" w:type="dxa"/>
          <w:bottom w:w="28" w:type="dxa"/>
          <w:right w:w="28" w:type="dxa"/>
        </w:tblCellMar>
      </w:tblPr>
      <w:tblGrid>
        <w:gridCol w:w="1888"/>
        <w:gridCol w:w="1655"/>
        <w:gridCol w:w="1661"/>
        <w:gridCol w:w="229"/>
        <w:gridCol w:w="555"/>
        <w:gridCol w:w="294"/>
        <w:gridCol w:w="118"/>
        <w:gridCol w:w="118"/>
        <w:gridCol w:w="118"/>
        <w:gridCol w:w="229"/>
        <w:gridCol w:w="441"/>
        <w:gridCol w:w="294"/>
        <w:gridCol w:w="109"/>
        <w:gridCol w:w="109"/>
        <w:gridCol w:w="109"/>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as a % of income (loss) before tax</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the Company's effective tax rate was (2.7)% compared to the 2024 tax rate of (5.4)%. The fluctuation was primarily due to goodwill impairment with no tax benefit, withholding taxes on 2025 non-U.S. earnings that are not permanently reinvested, valuation allowance, and non-deductible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Financial Position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cash flow to fund and invest in operational growth, capital expenditures, and credit facility repayments. In connection with the Spin, we incurred indebtedness in an aggregate principal amount of $1,640.0, which consists of borrowings under senior secured term loan facilities and senior secured notes. During 2024, we paid down $70.2 on term loan A, and $412.5 on term loan B, respectively. We have also entered into a senior secured revolving credit facility, which consists of a five-year facility in the principal amount of up to $450.0 as further discussed in Note 7, “Debt” to our condensed consolidated financial statements. As of March 31, 2025, there was $89.0 outstanding on the Company’s revolving credit facility and $361.0 was available for borrowing. The maximum revolver borrowing outstanding was $98.5 and $75.5 during the three months ended March 31, 2025 and 2024, respectively.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6, 2024, we entered into a three-year $300.0 accounts receivable securitization program (the “Receivables Facility”). Under this program, Fortrea Inc. conveys receivable balances to a wholly-owned, bankruptcy-remote special purpose entity, which in turn, may sell receivables to a third-party financial institution in exchange for cash. As of March 31, 2025, the Company had sold $300.0 of receivables, which were derecognized from the Company’s consolidated balance sheet.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or for other strategic opportunities, or general corporate purposes.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for the three months ended March 31, 2025 and 2024</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cash flows related to discontinued operations have not been segregated and are included in the condensed consolidated statements of cash flows and the discussion of the cash flow activity. In summary, the Company’s cash flows were as follows:</w:t>
      </w:r>
    </w:p>
    <w:tbl>
      <w:tblPr>
        <w:tblW w:w="7527" w:type="dxa"/>
        <w:jc w:val="left"/>
        <w:tblInd w:w="0" w:type="dxa"/>
        <w:tblLayout w:type="fixed"/>
        <w:tblCellMar>
          <w:top w:w="28" w:type="dxa"/>
          <w:left w:w="28" w:type="dxa"/>
          <w:bottom w:w="28" w:type="dxa"/>
          <w:right w:w="28" w:type="dxa"/>
        </w:tblCellMar>
      </w:tblPr>
      <w:tblGrid>
        <w:gridCol w:w="1840"/>
        <w:gridCol w:w="1620"/>
        <w:gridCol w:w="1625"/>
        <w:gridCol w:w="225"/>
        <w:gridCol w:w="738"/>
        <w:gridCol w:w="116"/>
        <w:gridCol w:w="116"/>
        <w:gridCol w:w="116"/>
        <w:gridCol w:w="116"/>
        <w:gridCol w:w="225"/>
        <w:gridCol w:w="626"/>
        <w:gridCol w:w="16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investing activities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March 31, 2025 and 2024 totaled $101.6 and $92.8, respectively. Cash and cash equivalents consist of highly liquid instruments, such as commercial paper, time deposits and other money market instruments, which have maturities when purchased of three months or less.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Company’s operations used $124.2 of cash as compared to $25.6 of cash used by operations during the three months ended March 31, 2024. The increase in cash used of $98.6 for the three months ended March 31, 2025 was primarily due to a decrease in cash received from accounts receivable partially offset by lower use of cash for prepaid expenses and interest.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for the three months ended March 31, 2025 was $16.1 as compared to net cash used for investing activities of $9.2 for the three months ended March 31, 2024. The $25.3 increase in net cash provided by (used for) investing activities for the three months ended March 31, 2025 was primarily due to receipt of the first milestone payment related to the sale of the Enabling Services Segment and a period over period decrease in capital expenditures. Capital expenditures were $2.9 and $9.3 for the three months ended March 31, 2025 and 2024, respectively. Capital expenditures for the three months ended March 31, 2025 were 0.4% of revenues, primarily in connection with projects to support growth in the Company's core businesses. The Company intends to continue to pursue selective investments in key therapeutic areas, business areas and geographies to drive growth and to improve efficiency of the Company's operations. Such expenditures are expected to be funded by cash flow from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2025 was $88.4 compared to cash provided by financing activities of $21.3 for the three months ended March 31, 2024. Cash provided by financing activities for the three months ended March 31, 2025 was primarily related to net proceeds from the revolving credit facility.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off-balance sheet financing other than short term operating leases and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chosen accounting policies that management believes are appropriate to accurately and fairly report our operating results and financial position in conformity with U.S. GAAP. We apply these accounting policies in a consistent manner. The Company’s critical accounting policies are summarized in Note 2, “Summary of Significant Accounting Policies” to the consolidated and combined financial statements included in the Annual Report on Form 10-K.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application of these accounting policies requires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the circumstances. Management evaluates these estimates and assumptions on an ongoing basis. If actual results ultimately differ from previous estimates, the revisions are included in results of operations when the actual amounts become known.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that involve the most significant estimates, assumptions and management judgments used in preparation of the condensed consolidated financial statements, or are the most sensitive to change due to outside factors, are discussed in Management’s Discussion and Analysis in the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to assess goodwill for impairment annually as of October 1, with more frequent assessments if events or changes in circumstances indicate the carrying amount may not be recoverable. Based on the annual test performed on October 1, 2024, it was previously determined that the fair values of our reporting units were greater than the carrying values, resulting in no impairment. For the Clinical Development reporting unit, the fair value of the business exceeded the book value by approximately 10% as of October 1, 2024.</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due to a sustained decline in our share price and uncertainties in global macroeconomic conditions, we determined that an indicator of impairment existed. As a result, we performed an interim impairment test.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upon the results of the qualitative and quantitative assessments as of March 31, 2025, we concluded that the fair value of the Clinical Development reporting unit was less than its carrying value and recorded a goodwill impairment of $488.8.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Clinical Pharmacology reporting unit, the fair value of the business substantially exceeded the book value.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current assumptions and estimates used in our goodwill impairment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It is possible that our conclusions regarding impairment or recoverability of goodwill in any reporting unit could change in future periods. There can be no assurance that the estimates and assumptions used in our goodwill impairment testing performed as of March 31, 2025 will prove to be accurate predictions of the future, if, for example, (i) the businesses do not perform as projected, (ii) overall economic conditions in 2025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our share price was to suffer further sustained declines in the future, or other indicators of impairment are present in future reporting periods, additional impairment testing will be required, which could result in further impairment charges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 (in millions)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associated with changes in foreign currency exchange rates and interest rates, through a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Note 8, “Derivative Instruments and Hedging Activities” to the condensed consolidated financial statements for information on how the Company utilizes derivative financial instruments.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Foreign Currency Exchange Rates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15.9% and 16.8% of our revenues for the three months ended March 31, 2025 and 2024,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financial results. In the three months ended March 31, 2025 and the year ended December 31, 2024, the most significant currency exchange rate exposure was the Euro. Excluding the impacts from any outstanding or future hedging transactions, a hypothetical change of 10% in average exchange rates used to translate all foreign currencies to USD would have impacted operating loss for the three months ended March 31, 2025 by approximately $0.5. Gross accumulated currency translation adjustments recorded as a separate component of stockholders’ equity were $45.2 and $(27.7) at March 31, 2025 and March 31, 2024, respectively. We do not have significant operations in countries in which the economy is considered to be highly inflationary.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 into foreign currency forward contracts with external counterparties to hedge certain foreign currency transactions with exposure predominantly to the Euro and British Pound. These contracts do not qualify for hedge accounting under U.S. GAAP and the changes in fair value are recorded directly to earnings.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may incur additional indebtedness in the future.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we face the market risks associated with interest rate movements on our variable rate debt. We entered into a variable-to-fixed interest rate swap with respect to some of our floating rate debt in August 2023. At March 31, 2025, we had $661.0 outstanding related to our variable rate debt. Excluding the impacts from any outstanding or future variable-to-fixed interest rate swap transactions, a hypothetical 1% increase in interest rates would result in increased interest expenses of $6.6. We expect to continue to be exposed to an element of market risk from changes to interest rates, including on any refinancing of debt. We expect to regularly assess market risks and to establish policies and business practices to protect against the adverse effects of these exposures. See Note 7, “Debt”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(as that term is defined in Rules 13a-15(e) and 15d-15(e) under the Securities Exchange Act of 1934, as amended (the “Exchange Act”)), are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Internal controls over financial reporting, no matter how well designed, have inherent limitations, including the possibility of human error and the override of controls. Therefore, even those systems determined to be effective can provide only “reasonable assurance” with respect to the reliability of financial reporting and financial statement preparation and presentation. Further, because of changes in conditions, the effectiveness of our internal controls may vary over time. We review our disclosure controls and procedures and our internal control over financial reporting on an on-going basis and may from time to time make changes aimed at enhancing their effectiveness to ensure that our systems evolve with our business.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March 31, 2025. Based on this evaluation, our chief executive officer and our chief financial officer have concluded that, as of the end of the period covered by this report, our disclosure controls and procedures were effective to accomplish their objectives at the reasonable assurance level.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we completed the implementation of an upgraded, standalone enterprise resource planning ("ERP") system after successfully transitioning from our dependence on our Former Parent’s system. Implementation of the ERP system is related to IT systems that impact financial reporting. The changes in process under the new ERP will be subject to our evaluation of the operating effectiveness of internal control over financial reporting.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implementation of an ERP system, there have been no changes in our internal control over financial reporting that occurred during the quarter ended March 31,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Note 9, “Commitments and Contingent Liabilities” to the condensed consolidated financial statements,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as set forth below, there have been no material changes to the risk factors described in our Annual Report on Form 10-K for the year ended December 31, 2024, as filed with the SEC on March 3, 2025. For a discussion of the risks relating to our business, see the “Risk Factors” section of our Annual Report on Form 10-K, the “Cautionary Statement Concerning Forward-Looking Statements” set forth in Part I, Item 2 of this Form 10-Q, and as updated by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and uncertainty regarding U.S. regulations, government policies, government funding decisions, trade policies or tariffs could have a material adverse effect upon our business.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regulations, government funding, government funding decisions, trade policies, pricing policies and tariffs imposed by the U.S. and other governments could have an impact on our business and our pharmaceutical, biotechnology and medical device customers.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political, trade, or regulatory developments in the jurisdictions in which we operate, such as those stemming from the U.S. administration, are difficult to predict and may have a material adverse effect on us. Similarly, changes in U.S. administration policy or the policies of foreign countries that affect the geopolitical landscape could give rise to circumstances outside our control that could negatively impact our business operations, including movement of data, particularly given our international operations, or could subject us to additional risks and expenses including discriminatory or conflicting trade policies, sanctions or tariffs. The extent and duration of increased tariffs or sanctions and the resulting impact on general economic conditions and on our business are uncertain and depend on various factors, including but not limited to negotiations between the U.S. and affected countries, the responses of other countries or regions, and exemptions or exclusions that may be granted. The existing and any further trade restrictions, retaliatory trade measures, sanctions and additional tariffs could result in increased costs, disruptions in global shipping and supply chains, restrictions on access to markets and customers, inability to conduct clinical trials in other countries and impacts on our customers and their R&amp;D budgets and priorities, all of which could adversely affect our results of operations or financial condition. In particular, the exposure among certain of our customers to tariffs, pricing mandates, and trade restrictions along with their limited ability to quickly relocate manufacturing may increase capital requirements and create additional pressure on such customers during what may be a period of reduced investment and could create a risk to growth, which could in turn impact our results of operations or financial condition. We and our customers may not be able to fully mitigate the impact of these operational issues, market forces and increased costs or pass price increases on to our customers. While tariffs, pricing, and other trade measures have not yet had a significant impact on our business or results of operations, we cannot predict further developments, and how they may adversely affect our results of operations or financial condition.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reductions in funding of government agencies and programs relevant to the pharmaceutical, biotechnology and medical device industries—such as the Food and Drug Administration, the National Institutes of Health, and Medicaid—or changes in funding priorities relevant to the pharmaceutical, biotechnology and medical device industries could adversely affect those industries, which could in turn have an effect on the demand for clinical trials and our business. At this time, it is unclear exactly how changes at the federal and state level, as well as any future changes that are made, will impact the industry, what changes will be made to the healthcare reform measures of prior administrations, or whether the government could impose other reform efforts, whether by statute, regulation or executive order, including what, if any, impact such changes could have on our business. We may be unable to anticipate changes in regulatory regimes of the governments where we operate and, therefore, be unable to make timely operational or other changes, assuming we are in a position to effectively respond to any such change, which may not be the case, or to ensure compliance with applicable regulations or orders, all of which could have a material adverse effect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quarterly period covered by this report, in March 2025, the Company issued restricted stock units (“RSU”) to the Company’s executive officers that included a mandatory sell-to-cover arrangement. This arrangement provides for the automatic sale of shares of the Company’s common stock that would otherwise be issuable on each settlement date of a covered RSU in an amount necessary to satisfy the applicable withholding obligation, with the proceeds of the sale delivered to the Company in satisfaction of the applicable withholding obligation. The number of shares that will be sold under this arrangement is not currently determinable as the number will vary based on the extent to which vesting conditions are satisfied, the market price of the Company’s common stock at the time of settlement and the potential future grant of additional RSUs subject to this arrangement. This arrangement constitutes a Rule 10b5-1 trading arrangement that is intended to qualify as an “eligible sell-to-cover transaction” (as described in Rule 10b5-1(c)(1)(ii)(D)(3)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below are filed or furnished as a part of this report and are incorporated herein by reference.</w:t>
      </w:r>
    </w:p>
    <w:tbl>
      <w:tblPr>
        <w:tblW w:w="10205" w:type="dxa"/>
        <w:jc w:val="left"/>
        <w:tblInd w:w="0" w:type="dxa"/>
        <w:tblLayout w:type="fixed"/>
        <w:tblCellMar>
          <w:top w:w="28" w:type="dxa"/>
          <w:left w:w="28" w:type="dxa"/>
          <w:bottom w:w="28" w:type="dxa"/>
          <w:right w:w="28" w:type="dxa"/>
        </w:tblCellMar>
      </w:tblPr>
      <w:tblGrid>
        <w:gridCol w:w="326"/>
        <w:gridCol w:w="286"/>
        <w:gridCol w:w="287"/>
        <w:gridCol w:w="109"/>
        <w:gridCol w:w="109"/>
        <w:gridCol w:w="109"/>
        <w:gridCol w:w="1276"/>
        <w:gridCol w:w="1248"/>
        <w:gridCol w:w="1250"/>
        <w:gridCol w:w="109"/>
        <w:gridCol w:w="109"/>
        <w:gridCol w:w="109"/>
        <w:gridCol w:w="286"/>
        <w:gridCol w:w="286"/>
        <w:gridCol w:w="287"/>
        <w:gridCol w:w="109"/>
        <w:gridCol w:w="109"/>
        <w:gridCol w:w="109"/>
        <w:gridCol w:w="220"/>
        <w:gridCol w:w="220"/>
        <w:gridCol w:w="221"/>
        <w:gridCol w:w="110"/>
        <w:gridCol w:w="110"/>
        <w:gridCol w:w="110"/>
        <w:gridCol w:w="253"/>
        <w:gridCol w:w="253"/>
        <w:gridCol w:w="139"/>
        <w:gridCol w:w="110"/>
        <w:gridCol w:w="110"/>
        <w:gridCol w:w="110"/>
        <w:gridCol w:w="240"/>
        <w:gridCol w:w="240"/>
        <w:gridCol w:w="241"/>
        <w:gridCol w:w="110"/>
        <w:gridCol w:w="110"/>
        <w:gridCol w:w="110"/>
        <w:gridCol w:w="194"/>
        <w:gridCol w:w="194"/>
        <w:gridCol w:w="287"/>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Amendment No. 2 to Credit Agreement, dated as of February 28, 2025, among Fortrea Holdings Inc., as the Parent Borrower, Fortrea UK Holdings Limited, as the Initial English Borrower, certain Subsidiaries (as defined in the Credit Agreement) of the Parent Borrower party thereto pursuant to Section 1.15 of the Credit Agreement, Goldman Sachs Bank USA, as Agent for the several financial institutions from time to time party thereto (collectively, the “Lenders” and individually each a “Lender”) and other Secured Parties (as defined in the Credit Agreement) and for itself as a Lender (including as Swingline Lender (as defined in the Credit Agreement)), and the other Lenders and L/C Issuers from time to time party thereto</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3-Mar-25</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u w:val="single"/>
                </w:rPr>
                <w:t>Agreement dated as of February 21, 2025 by a</w:t>
              </w:r>
            </w:hyperlink>
            <w:hyperlink r:id="rId6">
              <w:r>
                <w:rPr>
                  <w:rStyle w:val="InternetLink"/>
                  <w:rFonts w:ascii="Times New Roman;sans-serif" w:hAnsi="Times New Roman;sans-serif"/>
                  <w:b w:val="false"/>
                  <w:color w:val="000080"/>
                  <w:sz w:val="20"/>
                  <w:u w:val="single"/>
                </w:rPr>
                <w:t>nd amo</w:t>
              </w:r>
            </w:hyperlink>
            <w:hyperlink r:id="rId7">
              <w:r>
                <w:rPr>
                  <w:rStyle w:val="InternetLink"/>
                  <w:rFonts w:ascii="Times New Roman;sans-serif" w:hAnsi="Times New Roman;sans-serif"/>
                  <w:b w:val="false"/>
                  <w:color w:val="000080"/>
                  <w:sz w:val="20"/>
                  <w:u w:val="single"/>
                </w:rPr>
                <w:t>ng Fortrea Holdings Inc. and Starboard Value LP and certain of its affiliated entities and natural persons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21-Feb-25</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3-formofrestricte.htm">
              <w:r>
                <w:rPr>
                  <w:rStyle w:val="InternetLink"/>
                  <w:rFonts w:ascii="Times New Roman;sans-serif" w:hAnsi="Times New Roman;sans-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3-formofrestricte.htm">
              <w:r>
                <w:rPr>
                  <w:rStyle w:val="InternetLink"/>
                  <w:rFonts w:ascii="Times New Roman;sans-serif" w:hAnsi="Times New Roman;sans-serif"/>
                  <w:b w:val="false"/>
                  <w:color w:val="0000FF"/>
                  <w:sz w:val="20"/>
                  <w:u w:val="single"/>
                </w:rPr>
                <w:t>Form of Restricted Stock Unit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5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5exhibit-311.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5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5exhibit-312.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5exhibit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5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243"/>
        <w:gridCol w:w="197"/>
        <w:gridCol w:w="198"/>
        <w:gridCol w:w="109"/>
        <w:gridCol w:w="109"/>
        <w:gridCol w:w="109"/>
        <w:gridCol w:w="1973"/>
        <w:gridCol w:w="1973"/>
        <w:gridCol w:w="197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5exhibit-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5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Instance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6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80"/>
        <w:jc w:val="left"/>
        <w:rPr/>
      </w:pPr>
      <w:r>
        <w:rPr/>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p>
      <w:pPr>
        <w:pStyle w:val="TextBody"/>
        <w:bidi w:val="0"/>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Fortrea Holdings Inc. </w:t>
      </w:r>
    </w:p>
    <w:tbl>
      <w:tblPr>
        <w:tblW w:w="617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21"/>
        <w:gridCol w:w="1521"/>
        <w:gridCol w:w="2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behalf of the Registrant and as Principal Financial Officer)</w:t>
            </w:r>
          </w:p>
        </w:tc>
      </w:tr>
    </w:tbl>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FORTREA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 xml:space="preserve">2023 OMNIBUS INCENTIVE PLAN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 OF GRANT OF RESTRICTED STOCK UNIT AWARD</w:t>
      </w:r>
    </w:p>
    <w:p>
      <w:pPr>
        <w:pStyle w:val="TextBody"/>
        <w:bidi w:val="0"/>
        <w:spacing w:before="0" w:after="0"/>
        <w:jc w:val="center"/>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Notice of Grant hereby evidences a grant of restricted stock units (the “Restricted Stock Units”) relating to shares of common stock, par value $0.001 per share, of Fortrea Holdings Inc., a Delaware corporation (the “Company”), to the Grantee named below, subject to the vesting and other conditions set forth below in this Notice of Grant. Additional terms and conditions of the grant are set forth in the attached Restricted Stock Unit Agreement (the “Agreement”) and in the Company’s 2023 Omnibus Incentive Plan (as may be amended or amended and restated from time to time) (the “Plan”).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Grant Date: ________ __, 20__</w:t>
      </w:r>
    </w:p>
    <w:p>
      <w:pPr>
        <w:pStyle w:val="TextBody"/>
        <w:bidi w:val="0"/>
        <w:spacing w:lineRule="auto" w:line="288" w:before="0" w:after="240"/>
        <w:jc w:val="left"/>
        <w:rPr/>
      </w:pPr>
      <w:r>
        <w:rPr>
          <w:rFonts w:ascii="Times New Roman;sans-serif" w:hAnsi="Times New Roman;sans-serif"/>
          <w:b w:val="false"/>
          <w:color w:val="000000"/>
          <w:sz w:val="20"/>
        </w:rPr>
        <w:t xml:space="preserve">Name of Grantee: </w:t>
      </w:r>
      <w:r>
        <w:rPr>
          <w:color w:val="000000"/>
          <w:u w:val="single"/>
        </w:rPr>
        <w: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of Stock underlying the Restricted Stock Units: ______________</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per share of Stock: $______</w:t>
      </w:r>
    </w:p>
    <w:p>
      <w:pPr>
        <w:pStyle w:val="TextBody"/>
        <w:bidi w:val="0"/>
        <w:spacing w:lineRule="auto" w:line="288" w:before="0" w:after="0"/>
        <w:jc w:val="both"/>
        <w:rPr/>
      </w:pPr>
      <w:r>
        <w:rPr>
          <w:rFonts w:ascii="Times New Roman;sans-serif" w:hAnsi="Times New Roman;sans-serif"/>
          <w:b w:val="false"/>
          <w:color w:val="000000"/>
          <w:sz w:val="20"/>
        </w:rPr>
        <w:t xml:space="preserve">Vesting Schedule: Subject to alternative vesting terms in the Agreement, ____________________ (each, a “Vesting Date”),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Grantee has not had a Separation from Service prior to each such Vesting Date. The number of Restricted Stock Units that vest on each Vesting Date will be rounded to the nearest whole number, and Grantee cannot vest in more than the number of Restricted Stock Units set forth above. </w:t>
      </w:r>
    </w:p>
    <w:p>
      <w:pPr>
        <w:pStyle w:val="TextBody"/>
        <w:bidi w:val="0"/>
        <w:spacing w:lineRule="auto" w:line="288" w:before="240" w:after="480"/>
        <w:jc w:val="both"/>
        <w:rPr>
          <w:rFonts w:ascii="Times New Roman;sans-serif" w:hAnsi="Times New Roman;sans-serif"/>
          <w:b/>
          <w:i/>
          <w:color w:val="000000"/>
          <w:sz w:val="20"/>
        </w:rPr>
      </w:pPr>
      <w:r>
        <w:rPr>
          <w:rFonts w:ascii="Times New Roman;sans-serif" w:hAnsi="Times New Roman;sans-serif"/>
          <w:b/>
          <w:i/>
          <w:color w:val="000000"/>
          <w:sz w:val="20"/>
        </w:rPr>
        <w:t>This grant of Restricted Stock Units is subject to all of the terms and conditions described in this Notice of Grant, the Agreement and the Plan, a copy of which has been provided to you. You acknowledge that you have carefully reviewed the Agreement and the Plan, and agree that the Plan will control in the event any provision of this Notice of Grant or the Agreement should appear inconsistent. Certain capitalized terms used in this Notice of Grant that are not defined herein are defined in the Agreement or the Plan, and have the meanings set forth in the Agreement or the Plan, as applicable.</w:t>
      </w:r>
    </w:p>
    <w:p>
      <w:pPr>
        <w:pStyle w:val="TextBody"/>
        <w:bidi w:val="0"/>
        <w:spacing w:lineRule="auto" w:line="288" w:before="0" w:after="0"/>
        <w:jc w:val="left"/>
        <w:rPr/>
      </w:pPr>
      <w:r>
        <w:rPr>
          <w:rFonts w:ascii="Times New Roman;sans-serif" w:hAnsi="Times New Roman;sans-serif"/>
          <w:b w:val="false"/>
          <w:color w:val="000000"/>
          <w:sz w:val="20"/>
        </w:rPr>
        <w:t>Grantee:    ___________________________________ Date:</w:t>
      </w:r>
      <w:r>
        <w:rPr>
          <w:color w:val="000000"/>
          <w:u w:val="single"/>
        </w:rPr>
        <w:t>    </w:t>
      </w: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___________________________________ Date:_______________, 20__    </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(Signature)</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Title:        ___________________________________</w:t>
      </w:r>
    </w:p>
    <w:p>
      <w:pPr>
        <w:pStyle w:val="TextBody"/>
        <w:bidi w:val="0"/>
        <w:spacing w:before="0" w:after="24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2023 OMNIBUS INCENTIVE PLAN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RESTRICTED STOCK UNIT AGREEMENT</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29"/>
        <w:gridCol w:w="597"/>
        <w:gridCol w:w="599"/>
        <w:gridCol w:w="2630"/>
        <w:gridCol w:w="2254"/>
        <w:gridCol w:w="3196"/>
      </w:tblGrid>
      <w:tr>
        <w:trPr/>
        <w:tc>
          <w:tcPr>
            <w:tcW w:w="92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21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8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Agreement and the Notice of Grant evidence an award of Restricted Stock Units in the number of shares of Stock set forth on the Notice of Grant, and subject to the vesting and other conditions described below, in the Plan and on the Notice of Grant (the “Restricted Stock Units”). </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for the shares of Stock underlying the Restricted Stock Units is deemed paid by your prior services to the Company. </w:t>
            </w:r>
          </w:p>
        </w:tc>
      </w:tr>
      <w:tr>
        <w:trPr/>
        <w:tc>
          <w:tcPr>
            <w:tcW w:w="21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Transfer of Restricted Stock Units</w:t>
            </w:r>
          </w:p>
        </w:tc>
        <w:tc>
          <w:tcPr>
            <w:tcW w:w="8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not yet vested, your Restricted Stock Units may not be sold, assigned, transferred, pledged or otherwise encumbered or disposed of, whether by operation of law or otherwise, nor may your Restricted Stock Units be made subject to execution, attachment or similar process.</w:t>
            </w:r>
          </w:p>
        </w:tc>
      </w:tr>
      <w:tr>
        <w:trPr/>
        <w:tc>
          <w:tcPr>
            <w:tcW w:w="21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 Vesting Schedule</w:t>
            </w:r>
          </w:p>
        </w:tc>
        <w:tc>
          <w:tcPr>
            <w:tcW w:w="8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Your Restricted Stock Units shall vest in accordance with the vesting schedule shown on the Notice of Grant so long as you have not had a Separation from Service prior to the Vesting Dates set forth on the Notice of Grant.</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additional Restricted Stock Units will vest after your Separation from Service for any reason except as set forth in this Agreement.</w:t>
            </w:r>
          </w:p>
        </w:tc>
      </w:tr>
      <w:tr>
        <w:trPr/>
        <w:tc>
          <w:tcPr>
            <w:tcW w:w="212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Death, Disability, or Specified Terminations Following a Change in Control</w:t>
            </w:r>
          </w:p>
        </w:tc>
        <w:tc>
          <w:tcPr>
            <w:tcW w:w="80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vesting schedule set forth under “Standard Vesting Schedule” above, if you have (a) a Separation from Service as a result of your (i) death or (ii) Disability, or (b) a Separation from Service for Good Reason (as defined below) or by the Company without Cause (as defined below), in each case within 24 months after the consummation of a Change in Control, 100% of the Restricted Stock Units that remain unvested on such separation date will vest on the date of your Separation from Service. </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34"/>
        <w:gridCol w:w="468"/>
        <w:gridCol w:w="471"/>
        <w:gridCol w:w="2553"/>
        <w:gridCol w:w="2553"/>
        <w:gridCol w:w="3626"/>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Separation Without Cause or for Good Reason not Related to a Change in Control</w:t>
            </w:r>
          </w:p>
        </w:tc>
        <w:tc>
          <w:tcPr>
            <w:tcW w:w="873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ind w:left="0" w:right="0" w:hanging="18"/>
              <w:jc w:val="both"/>
              <w:rPr/>
            </w:pPr>
            <w:r>
              <w:rPr>
                <w:rFonts w:ascii="Times New Roman;sans-serif" w:hAnsi="Times New Roman;sans-serif"/>
                <w:b w:val="false"/>
                <w:color w:val="000000"/>
                <w:sz w:val="20"/>
              </w:rPr>
              <w:t>Notwithstanding the vesting schedules set forth under “Standard Vesting Schedule” and “Death, Disability, or Specified Terminations Following a Change in Control” above, if you have an involuntary Separation from Service without Cause (as defined below), or you have incurred a voluntary Separation from Service for Good Reason (as defined below), in each case, on or after 6 months following the Grant Date but not within 24 months after a Change in Control, the Restricted Stock Units that were scheduled to vest in accordance with the Standard Vesting Schedule within 12 months immediately following said Separation from Service will vest upon the occurrence of such Separation from Service.</w:t>
            </w:r>
            <w:r>
              <w:rPr>
                <w:color w:val="000000"/>
              </w:rPr>
              <w:t xml:space="preserve"> </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Agreement: </w:t>
            </w:r>
          </w:p>
          <w:p>
            <w:pPr>
              <w:pStyle w:val="TableContents"/>
              <w:bidi w:val="0"/>
              <w:spacing w:lineRule="auto" w:line="288" w:before="0" w:after="120"/>
              <w:jc w:val="both"/>
              <w:rPr/>
            </w:pPr>
            <w:r>
              <w:rPr>
                <w:rFonts w:ascii="Times New Roman;sans-serif" w:hAnsi="Times New Roman;sans-serif"/>
                <w:b w:val="false"/>
                <w:color w:val="000000"/>
                <w:sz w:val="20"/>
              </w:rPr>
              <w:t xml:space="preserve">a) “Cause” means the following events: (i) an intentional act of fraud, embezzlement, theft, or any other material violation of law in connection with your duties or in the course of your employment with the Company; (ii) your conviction of or entering of a plea of nolo contendere to a felony; (iii) your alcohol intoxication on the job or current illegal drug use; (iv) your intentional wrongful damage to tangible assets of the Company; (v) your intentional wrongful disclosure of material confidential information of the Company and/or material breach of the provisions of the Company’s Confidentiality/Non-Competition/Non-Solicitation Agreement or any other noncompetition or confidentiality provisions covering your activities; (vi) your knowing and intentional breach of any employment policy of the Company, including but not limited to the Code of Conduct and Ethics; (vii) gross neglect or gross misconduct, disloyalty, dishonesty, or breach of trust, or failure in the performance of your duties that is not corrected to the Company’s satisfaction within 30 days of your receiving notice thereof,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period to cure any issues is reasonable and/or feasible; or (viii) your misconduct that causes reputational harm to the Company. </w:t>
            </w:r>
          </w:p>
          <w:p>
            <w:pPr>
              <w:pStyle w:val="TableContents"/>
              <w:bidi w:val="0"/>
              <w:spacing w:lineRule="auto" w:line="288" w:before="0" w:after="120"/>
              <w:jc w:val="both"/>
              <w:rPr/>
            </w:pPr>
            <w:r>
              <w:rPr>
                <w:rFonts w:ascii="Times New Roman;sans-serif" w:hAnsi="Times New Roman;sans-serif"/>
                <w:b w:val="false"/>
                <w:color w:val="000000"/>
                <w:sz w:val="20"/>
              </w:rPr>
              <w:t xml:space="preserve">b) “Good Reason” means, without your consent, (i) a material reduction in your base salary or target bonus as a percentage of your base salary; (ii) relocation to an office location more than 50 miles from your current office; or (iii) a material reduction in job responsibilities and duties or transfer to another job;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Good Reason shall only be deemed to have occurred if (x) no later than 30 days after you learn of the circumstances constituting Good Reason, you provide written notice to the Company detailing the events that constitute Good Reason and your decision to terminate your employment with the Company, (y) the Company fails to cure such circumstances within 30 days after receipt of said notice (“Cure Period”), and (z) you actually have a Separation from Service within 30 days after the end of said Cure Period. Notwithstanding the foregoing, “Good Reason” shall not include a reduction in your base salary or target bonus where such reduction is pursuant to a Company-wide reduction of base salaries and/or target bonuses.</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5"/>
        <w:gridCol w:w="549"/>
        <w:gridCol w:w="552"/>
        <w:gridCol w:w="2483"/>
        <w:gridCol w:w="2483"/>
        <w:gridCol w:w="3513"/>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Retirement at Age 65 Plus 5 for U.S. Employees</w:t>
            </w:r>
          </w:p>
        </w:tc>
        <w:tc>
          <w:tcPr>
            <w:tcW w:w="84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vesting schedule set forth under “Standard Vesting Schedule” above, if you work in the United States and you have a Separation from Service, other than a Separation from Service by the Company for Cause, at a time when you have attained age 65 and completed 5 full years of Service (“Retirement at Age 65 Plus 5”) and</w:t>
            </w:r>
          </w:p>
          <w:p>
            <w:pPr>
              <w:pStyle w:val="TableContents"/>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a)Your Separation from Service occurs on or after 6 months following the Grant Date but before 9 months following the Grant Date, the Restricted Stock Units that were scheduled to vest in accordance with the Standard Vesting Schedule within 12 months immediately following such Separation from Service will vest upon your Separation from Service; or</w:t>
            </w:r>
          </w:p>
          <w:p>
            <w:pPr>
              <w:pStyle w:val="TableContents"/>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b)Your Separation from Service occurs on or after 9 months following the Grant Date, 100% of the Restricted Stock Units that remain unvested on such separation date will vest on the date of your Separation from Service.</w:t>
            </w:r>
          </w:p>
          <w:p>
            <w:pPr>
              <w:pStyle w:val="TableContents"/>
              <w:bidi w:val="0"/>
              <w:spacing w:lineRule="auto" w:line="288" w:before="0" w:after="240"/>
              <w:ind w:left="0" w:right="0" w:hanging="18"/>
              <w:jc w:val="both"/>
              <w:rPr/>
            </w:pPr>
            <w:r>
              <w:rPr>
                <w:rFonts w:ascii="Times New Roman;sans-serif" w:hAnsi="Times New Roman;sans-serif"/>
                <w:b w:val="false"/>
                <w:color w:val="000000"/>
                <w:sz w:val="20"/>
              </w:rPr>
              <w:t xml:space="preserve">For purposes of determining eligibility for Retirement at Age 65 Plus 5, Service means the aggregate of (i) the number of full years during which you are employed by the Company and/or an Affiliate of the Company (but only while the Affiliate is owned, controlled or under common control by or with the Company) and (ii) if applicable, the number of full years during which you were employed by Laboratory Corporation of America Holdings, a Delaware corporation (“Labcorp”), and/or an Affiliate of Labcorp immediately prior to the spin-off of the Company from Labcorp (the “Spinoff”),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number of years credited for Labcorp service shall not exceed 5 years.</w:t>
            </w:r>
          </w:p>
        </w:tc>
      </w:tr>
      <w:tr>
        <w:trPr/>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Separation due to Retirement at Age 55 (Rule of 70) for U.S. Employees</w:t>
            </w:r>
            <w:r>
              <w:rPr>
                <w:color w:val="000000"/>
              </w:rPr>
              <w:t xml:space="preserve"> </w:t>
            </w:r>
          </w:p>
        </w:tc>
        <w:tc>
          <w:tcPr>
            <w:tcW w:w="84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vesting schedules under “Standard Vesting Schedule”, other than a Separation from Service by the Company for Cause and other than a Retirement at Age 65 Plus 5, if you work in the United States and you have a Separation from Service on or after 6 months following the Grant Date at a time when you have attained age 55 and the sum of your age and full years of Service equals or exceeds 70 (“Retirement at Age 55 (Rule of 70)”), the Restricted Stock Units that were scheduled to vest in accordance with the Standard Vesting Schedule within 12 months immediately following said Separation from Service will vest upon your Separation from Service.</w:t>
            </w:r>
          </w:p>
          <w:p>
            <w:pPr>
              <w:pStyle w:val="TableContents"/>
              <w:bidi w:val="0"/>
              <w:spacing w:lineRule="auto" w:line="288" w:before="0" w:after="240"/>
              <w:jc w:val="both"/>
              <w:rPr/>
            </w:pPr>
            <w:r>
              <w:rPr>
                <w:rFonts w:ascii="Times New Roman;sans-serif" w:hAnsi="Times New Roman;sans-serif"/>
                <w:b w:val="false"/>
                <w:color w:val="000000"/>
                <w:sz w:val="20"/>
              </w:rPr>
              <w:t xml:space="preserve">For purposes of determining eligibility for Retirement at Age 55 (Rule of 70), Service means the aggregate of (i) the number of full years during which you are employed by the Company and/or an Affiliate of the Company (but only while the Affiliate is owned, controlled or under common control by or with the Company) and (ii) if applicable, the number of full years during which you were employed by Labcorp and/or an Affiliate of Labcorp immediately prior to the Spinoff,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number of years credited for Labcorp service shall not exceed 5 years.</w:t>
            </w:r>
          </w:p>
        </w:tc>
      </w:tr>
      <w:tr>
        <w:trPr/>
        <w:tc>
          <w:tcPr>
            <w:tcW w:w="172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Forfeiture of Unvested Restricted Stock Units</w:t>
            </w:r>
          </w:p>
        </w:tc>
        <w:tc>
          <w:tcPr>
            <w:tcW w:w="84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your Separation from Service triggers accelerated vesting or other treatment of your Restricted Stock Units pursuant to the terms of this Agreement, the Plan, or any other written agreement between the Company or an Affiliate and you, you will automatically forfeit to the Company all of the Restricted Stock Units that have not yet vested as of your Separation from Service.</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8"/>
        <w:gridCol w:w="332"/>
        <w:gridCol w:w="334"/>
        <w:gridCol w:w="2679"/>
        <w:gridCol w:w="2679"/>
        <w:gridCol w:w="3803"/>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Forfeiture of Rights</w:t>
            </w:r>
          </w:p>
        </w:tc>
        <w:tc>
          <w:tcPr>
            <w:tcW w:w="916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you (a) should take actions in violation or breach of or in conflict with any (i) employment agreement, (ii) non-competition agreement, (iii) agreement prohibiting solicitation of employees or clients of the Company or any Affiliate, (iv) confidentiality obligation with respect to the Company or any Affiliate, (v) Company policy or procedure, including but not limited to the Code of Conduct and Ethics, or (vi) other agreement, or (b) if you incur a Separation from Service for Cause, or you otherwise engage in conduct that would constitute Cause, the Company has the right to cause an immediate forfeiture of (A) your rights to any outstanding Restricted Stock Units, and (B) with respect to the period commencing 36 months prior to your Separation from Service and ending 36 months following such Separation from Service (1) a forfeiture of any gain recognized by you upon the sale of any shares of Stock received as a result of the vesting of any Restricted Stock Units, and (2) a forfeiture of any vested shares of Stock held by you as a result of the vesting of any Restricted Stock Units. For the avoidance of doubt, any Confidentiality/Non-Competition/Non-Solicitation Agreement entered into before or concurrently with this Agreement is covered by this provision as are any other applicable agreements whether executed before or after this Agreement.</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Moreover, nothing in this Agreement or the Plan shall prohibit you from (a) disclosing any confidential information to a government agency if you are required to produce the information pursuant to a subpoena, court order, administrative order or other legal process, (b) discussing terms and conditions of employment or engaging in other activities protected by the National Labor Relations Act, (c) communicating with the Securities and Exchange Commission about securities law violations, or (d) communicating with any other government entity or agency if such communication is to report a violation of applicable law.</w:t>
            </w:r>
          </w:p>
        </w:tc>
      </w:tr>
      <w:tr>
        <w:trPr/>
        <w:tc>
          <w:tcPr>
            <w:tcW w:w="104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Leaves of Absence</w:t>
            </w:r>
          </w:p>
        </w:tc>
        <w:tc>
          <w:tcPr>
            <w:tcW w:w="916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pPr>
            <w:r>
              <w:rPr>
                <w:rFonts w:ascii="Times New Roman;sans-serif" w:hAnsi="Times New Roman;sans-serif"/>
                <w:b w:val="false"/>
                <w:color w:val="000000"/>
                <w:sz w:val="20"/>
              </w:rPr>
              <w:t xml:space="preserve">For purposes of this Agreement, you do not have a Separation from Service when you go on a </w:t>
            </w:r>
            <w:r>
              <w:rPr>
                <w:rFonts w:ascii="Times New Roman;sans-serif" w:hAnsi="Times New Roman;sans-serif"/>
                <w:b w:val="false"/>
                <w:i/>
                <w:color w:val="000000"/>
                <w:sz w:val="20"/>
              </w:rPr>
              <w:t>bona fide</w:t>
            </w:r>
            <w:r>
              <w:rPr>
                <w:color w:val="000000"/>
              </w:rPr>
              <w:t xml:space="preserve"> </w:t>
            </w:r>
            <w:r>
              <w:rPr>
                <w:rFonts w:ascii="Times New Roman;sans-serif" w:hAnsi="Times New Roman;sans-serif"/>
                <w:b w:val="false"/>
                <w:color w:val="000000"/>
                <w:sz w:val="20"/>
              </w:rPr>
              <w:t>employee leave of absence that was approved by your employer in writing, if the terms of the leave provide for continued Service crediting, or when continued Service crediting is required by applicable law. However, you will be treated as having a Separation from Service 90 days after you went on employee leave, unless your right to return to active work is guaranteed by law or by a contract.</w:t>
            </w:r>
            <w:r>
              <w:rPr>
                <w:color w:val="000000"/>
              </w:rPr>
              <w:t xml:space="preserve"> </w:t>
            </w:r>
            <w:r>
              <w:rPr>
                <w:rFonts w:ascii="Times New Roman;sans-serif" w:hAnsi="Times New Roman;sans-serif"/>
                <w:b w:val="false"/>
                <w:color w:val="000000"/>
                <w:sz w:val="20"/>
              </w:rPr>
              <w:t xml:space="preserve">You will incur a Separation from Service in any event when the approved leave ends unless you immediately return to active employee work. </w:t>
            </w:r>
          </w:p>
          <w:p>
            <w:pPr>
              <w:pStyle w:val="TableContents"/>
              <w:bidi w:val="0"/>
              <w:spacing w:lineRule="auto" w:line="288" w:before="0" w:after="240"/>
              <w:jc w:val="both"/>
              <w:rPr/>
            </w:pPr>
            <w:r>
              <w:rPr>
                <w:rFonts w:ascii="Times New Roman;sans-serif" w:hAnsi="Times New Roman;sans-serif"/>
                <w:b w:val="false"/>
                <w:color w:val="000000"/>
                <w:sz w:val="20"/>
              </w:rPr>
              <w:t>Your employer determines, in its sole discretion, which leaves count for this purpose, and when you have a Separation from Service for all purposes under the Plan, subject to applicable law. Notwithstanding the foregoing, the Company may determine, in its discretion, that a leave counts for this purpose even if your employer does not agree.</w:t>
            </w:r>
            <w:r>
              <w:rPr>
                <w:color w:val="000000"/>
              </w:rPr>
              <w:t xml:space="preserve"> </w:t>
            </w:r>
          </w:p>
        </w:tc>
      </w:tr>
      <w:tr>
        <w:trPr/>
        <w:tc>
          <w:tcPr>
            <w:tcW w:w="104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Issuance of Stock</w:t>
            </w:r>
          </w:p>
        </w:tc>
        <w:tc>
          <w:tcPr>
            <w:tcW w:w="916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pPr>
            <w:r>
              <w:rPr>
                <w:rFonts w:ascii="Times New Roman;sans-serif" w:hAnsi="Times New Roman;sans-serif"/>
                <w:b w:val="false"/>
                <w:color w:val="000000"/>
                <w:sz w:val="20"/>
              </w:rPr>
              <w:t xml:space="preserve">The shares of Stock underlying your vested Restricted Stock Units will be issued within 60 days following each Vesting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if you incur a Separation from Service on which all or some of your unvested Restricted Stock Units vest as provided in this Agreement, the shares of Stock underlying such vested Restricted Stock Units shall be issued within 60 days of the date of your Separation from Service. </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91"/>
        <w:gridCol w:w="641"/>
        <w:gridCol w:w="358"/>
        <w:gridCol w:w="2663"/>
        <w:gridCol w:w="2375"/>
        <w:gridCol w:w="3377"/>
      </w:tblGrid>
      <w:tr>
        <w:trPr/>
        <w:tc>
          <w:tcPr>
            <w:tcW w:w="79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Taxes</w:t>
            </w:r>
          </w:p>
        </w:tc>
        <w:tc>
          <w:tcPr>
            <w:tcW w:w="84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agree, as a condition of this grant, that you will make acceptable arrangements to pay any applicable income taxes, employment taxes, social insurance, social contributions, national insurance contributions, other contributions, payroll taxes, levies, payment on account obligations and any other tax-related items (“Applicable Taxes”), that may be due as a result of grant or vesting of the Restricted Stock Units or the issuance of shares of Stock acquired under this grant. In the event that the Company or any Affiliate determines that any Applicable Taxes are required to be collected, withheld or accounted for relating to the grant or vesting of the Restricted Stock Units or the issuance of shares of Stock acquired from this grant, unless the Company provides notice of an alternate procedure in its discretion, you agree to facilitate the Company’s satisfaction of its withholding obligation by instructing a registered broker selected by the Company to sell the number of shares of Stock necessary to satisfy the Company’s withholding obligation, after deduction of the broker’s commission, and to remit the proceeds of such sale to the Company. Such sales shall be made pursuant to a mandatory “sell-to-cover” program instituted by the Company with no discretion on your part with respect to any sale.  If the proceeds of such a sale exceed the Company’s withholding obligation, the Company will pay the excess to you as soon as practicable.  If the proceeds of such a sale are less than the Company’s withholding obligation, you agree to pay any shortfall to the Company as soon as practicable, including through payroll withholding.  You acknowledge that the Company and the broker are under no obligation to arrange for such sale at any particular price.  In connection with the “sell-to-cover” program, you agree to execute any documents the broker may request to effectuate the sale of shares of Stock and satisfaction of the Stock and satisfaction of the Company’s withholding obligation.  </w:t>
            </w:r>
          </w:p>
        </w:tc>
      </w:tr>
      <w:tr>
        <w:trPr/>
        <w:tc>
          <w:tcPr>
            <w:tcW w:w="17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Retention Rights</w:t>
            </w:r>
          </w:p>
        </w:tc>
        <w:tc>
          <w:tcPr>
            <w:tcW w:w="84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and the Restricted Stock Units do not give you the right to be retained by the Company or any Affiliate in any capacity. The Company or any Affiliate reserves the right to terminate your Service at any time and for any reason, subject to applicable law.</w:t>
            </w:r>
          </w:p>
        </w:tc>
      </w:tr>
      <w:tr>
        <w:trPr/>
        <w:tc>
          <w:tcPr>
            <w:tcW w:w="17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Stockholder Rights </w:t>
            </w:r>
          </w:p>
        </w:tc>
        <w:tc>
          <w:tcPr>
            <w:tcW w:w="84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or your estate or heirs, have no rights as a stockholder of the Company until the shares of Stock have been issued upon vesting of your Restricted Stock Units and either a certificate evidencing your shares of Stock has been issued or an appropriate entry has been made on the Company’s books. </w:t>
            </w:r>
          </w:p>
        </w:tc>
      </w:tr>
      <w:tr>
        <w:trPr/>
        <w:tc>
          <w:tcPr>
            <w:tcW w:w="17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Insider Trading Policy</w:t>
            </w:r>
          </w:p>
        </w:tc>
        <w:tc>
          <w:tcPr>
            <w:tcW w:w="84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 acknowledge receipt of the Company’s Insider Trading Policy (the “Policy”), a copy of which has been provided to you. You agree to comply fully with the standards contained in the Policy (and related policies and procedures adopted by the company). You further understand that compliance with these standards, policies, and procedures is a condition of continued employment or association with the Company or any of its subsidiaries and that the Policy is only a statement of principles for individual and business conduct and does not, in any way, constitute an employment contract, an assurance of continued employment, or employment other than at-will. By acceptance of the Restricted Stock Units granted hereunder, you certify to your understanding of and intent to comply with the Policy.</w:t>
            </w:r>
          </w:p>
        </w:tc>
      </w:tr>
      <w:tr>
        <w:trPr/>
        <w:tc>
          <w:tcPr>
            <w:tcW w:w="179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Confidentiality/Non-Competition/Non-Solicitation Agreement</w:t>
            </w:r>
          </w:p>
        </w:tc>
        <w:tc>
          <w:tcPr>
            <w:tcW w:w="84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 acknowledge that you either (a) have entered into a Confidentiality/Non-Competition/Non-Solicitation Agreement with the Company or an Affiliate as of the date you accepted employment with the Company or an Affiliate or as of the date you were first granted Awards pursuant to the Plan, or (b) will concurrently enter into a Confidentiality/Non-Competition/Non-Solicitation Agreement if this Agreement and Notice of Grant relates to your first grant of an Award under the Plan. In consideration of the award of Restricted Stock Units granted pursuant to this Agreement, you agree to be bound by the obligations in, and covenant to comply with, such Confidentiality/Non-Competition/Non-Solicitation Agreement that you have either previously entered into with the Company or are entering into with the Company concurrently with this Agreement, and you further understand that a failure to comply with the Confidentiality/Non-Competition/Non-Solicitation Agreement’s terms and conditions may result in consequences as described in this Agreement.</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88"/>
        <w:gridCol w:w="341"/>
        <w:gridCol w:w="344"/>
        <w:gridCol w:w="2674"/>
        <w:gridCol w:w="2674"/>
        <w:gridCol w:w="3784"/>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Clawback</w:t>
            </w:r>
          </w:p>
        </w:tc>
        <w:tc>
          <w:tcPr>
            <w:tcW w:w="91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acknowledge receipt of the Company’s Incentive Compensation Recoupment Policy (the “Recoupment Policy”). You agree that your Incentive Compensation (as defined in the Recoupment Policy), including Restricted Stock Units, is subject to the terms of the Recoupment Policy, which requires repayment by you to the Company of Incentive Compensation paid by the Company to you in the event that you fail to comply with, or violate, the terms or requirements of the Recoupment Policy. Notwithstanding anything in this Agreement to the contrary, you acknowledge and agree that this Agreement and the award described herein (and any settlement thereof) are subject to the terms and conditions of any other clawback policy as may be in effect from time to time, including specifically to implement Section 10D of the Exchange Act and any applicable rules or regulations promulgated thereunder (including applicable rules and regulations of any national securities exchange on which the shares of the Company may be traded). </w:t>
            </w:r>
          </w:p>
        </w:tc>
      </w:tr>
      <w:tr>
        <w:trPr/>
        <w:tc>
          <w:tcPr>
            <w:tcW w:w="107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Applicable Law</w:t>
            </w:r>
          </w:p>
        </w:tc>
        <w:tc>
          <w:tcPr>
            <w:tcW w:w="91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will be interpreted and enforced under the laws of the State of Delaware, other than any conflicts or choice of law rule or principle that might otherwise refer construction or interpretation of this Agreement to the substantive law of another jurisdiction.</w:t>
            </w:r>
          </w:p>
        </w:tc>
      </w:tr>
      <w:tr>
        <w:trPr/>
        <w:tc>
          <w:tcPr>
            <w:tcW w:w="107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The Plan </w:t>
            </w:r>
          </w:p>
        </w:tc>
        <w:tc>
          <w:tcPr>
            <w:tcW w:w="913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text of the Plan is incorporated in this Agreement by reference. </w:t>
            </w:r>
          </w:p>
          <w:p>
            <w:pPr>
              <w:pStyle w:val="TableContents"/>
              <w:bidi w:val="0"/>
              <w:spacing w:lineRule="auto" w:line="288" w:before="0" w:after="240"/>
              <w:jc w:val="both"/>
              <w:rPr/>
            </w:pPr>
            <w:r>
              <w:rPr>
                <w:rFonts w:ascii="Times New Roman;sans-serif" w:hAnsi="Times New Roman;sans-serif"/>
                <w:b/>
                <w:i/>
                <w:color w:val="000000"/>
                <w:sz w:val="20"/>
              </w:rPr>
              <w:t xml:space="preserve">Certain capitalized terms used in this Agreement that are not defined herein or in the Notice of Grant are defined in the Plan, and have the meanings set forth in the </w:t>
            </w:r>
            <w:r>
              <w:rPr>
                <w:rFonts w:ascii="Times New Roman;sans-serif" w:hAnsi="Times New Roman;sans-serif"/>
                <w:b/>
                <w:i/>
                <w:color w:val="000000"/>
                <w:sz w:val="20"/>
                <w:u w:val="single"/>
              </w:rPr>
              <w:t>Plan</w:t>
            </w:r>
            <w:r>
              <w:rPr>
                <w:rFonts w:ascii="Times New Roman;sans-serif" w:hAnsi="Times New Roman;sans-serif"/>
                <w:b/>
                <w:i/>
                <w:color w:val="000000"/>
                <w:sz w:val="20"/>
              </w:rPr>
              <w:t>.</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the Notice of Grant, and the Plan constitute the entire understanding between you and the Company regarding this grant of Restricted Stock Units. Any prior agreements, commitments or negotiations concerning this grant are superseded; except that any written employment, consulting, confidentiality, non-competition, non-solicitation, and/or severance agreement between you and the Company or any Affiliate shall supersede this Agreement with respect to its subject matter.</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there is any conflict between this Agreement and the Plan, or if there is any ambiguity in this Agreement, any term that is not defined in this Agreement or any matter as to which this Agreement is silent, in any such case,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
        <w:gridCol w:w="286"/>
        <w:gridCol w:w="289"/>
        <w:gridCol w:w="2722"/>
        <w:gridCol w:w="2722"/>
        <w:gridCol w:w="3860"/>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Data Privacy</w:t>
            </w:r>
          </w:p>
        </w:tc>
        <w:tc>
          <w:tcPr>
            <w:tcW w:w="93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Data Protection (European Union/European Economic Area/United Kingdom)</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and/or any of its local subsidiaries or other Affiliates, including your employer, will process your personal data in connection with the Plan and this Agreement in accordance with the terms of the privacy notice previously provided to you.</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Company and/or any of its local subsidiaries or other Affiliates may need to process information relating to your health or the identity of your spouse or civil partner in order to operate the Plan, the Company will seek your explicit consent (in the case of information relating to your health), or, their consent (in respect of information relating to the personal identity of your spouse or civil partner), where appropriate.</w:t>
            </w:r>
          </w:p>
          <w:p>
            <w:pPr>
              <w:pStyle w:val="TableContents"/>
              <w:bidi w:val="0"/>
              <w:spacing w:lineRule="auto" w:line="288" w:before="0" w:after="240"/>
              <w:jc w:val="both"/>
              <w:rPr/>
            </w:pPr>
            <w:r>
              <w:rPr>
                <w:rFonts w:ascii="Times New Roman;sans-serif" w:hAnsi="Times New Roman;sans-serif"/>
                <w:b/>
                <w:color w:val="000000"/>
                <w:sz w:val="20"/>
                <w:u w:val="single"/>
              </w:rPr>
              <w:t>Data Protection (Jurisdictions other than European Union/European Economic Area/United Kingdom)</w:t>
            </w:r>
            <w:r>
              <w:rPr>
                <w:rFonts w:ascii="Times New Roman;sans-serif" w:hAnsi="Times New Roman;sans-serif"/>
                <w:b w:val="false"/>
                <w:color w:val="000000"/>
                <w:sz w:val="20"/>
              </w:rPr>
              <w:t>.</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administer the Plan, the Company may process personal data about you. The Company may instruct its Affiliates to administer the Plan on its behalf. For a list of the Company’s Affiliates from time to time please contact the Company’s Chief Legal Officer.  </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process the following personal data in connection with the administration of the Plan:</w:t>
            </w:r>
          </w:p>
          <w:p>
            <w:pPr>
              <w:pStyle w:val="TableContents"/>
              <w:bidi w:val="0"/>
              <w:spacing w:lineRule="auto" w:line="288" w:before="0" w:after="240"/>
              <w:ind w:left="0" w:right="0" w:hanging="360"/>
              <w:jc w:val="both"/>
              <w:rPr/>
            </w:pPr>
            <w:r>
              <w:rPr>
                <w:color w:val="000000"/>
              </w:rPr>
              <w:t>• </w:t>
            </w:r>
            <w:r>
              <w:rPr>
                <w:rFonts w:ascii="Times New Roman;sans-serif" w:hAnsi="Times New Roman;sans-serif"/>
                <w:b w:val="false"/>
                <w:color w:val="000000"/>
                <w:sz w:val="20"/>
              </w:rPr>
              <w:t xml:space="preserve">information provided in this Agreement and any changes thereto; </w:t>
            </w:r>
          </w:p>
          <w:p>
            <w:pPr>
              <w:pStyle w:val="TableContents"/>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contact information such as your home and business addresses, telephone numbers and email address; </w:t>
            </w:r>
          </w:p>
          <w:p>
            <w:pPr>
              <w:pStyle w:val="TableContents"/>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payroll information;</w:t>
            </w:r>
          </w:p>
          <w:p>
            <w:pPr>
              <w:pStyle w:val="TableContents"/>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start and end dates of employment;</w:t>
            </w:r>
          </w:p>
          <w:p>
            <w:pPr>
              <w:pStyle w:val="TableContents"/>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information about your employment which is relevant to awards under the Plan (for example details of performance required for performance-based awards); and </w:t>
            </w:r>
          </w:p>
          <w:p>
            <w:pPr>
              <w:pStyle w:val="TableContents"/>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other personal data about you which is necessary for the administration of the Plan.</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information may be provided to the Company by you or your employer.</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accepting this grant, you give explicit consent to the Company to process any such personal data or use Affiliates to process data on its behalf. </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also give explicit consent to the Company and any Affiliate to transfer any such personal data outside the country in which you work or are employed, including, with respect to non-U.S. resident participants, to the United States, to transferees who shall include the Company, any Affiliate and other persons who are designated by the Company to administer the Plan. </w:t>
            </w:r>
          </w:p>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 are entitled to receive information about the processing of your personal data and to request that any incorrect data be rectified.</w:t>
            </w:r>
          </w:p>
        </w:tc>
      </w:tr>
      <w:tr>
        <w:trPr/>
        <w:tc>
          <w:tcPr>
            <w:tcW w:w="901"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Notices</w:t>
            </w:r>
          </w:p>
        </w:tc>
        <w:tc>
          <w:tcPr>
            <w:tcW w:w="93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notices to be given under the terms of this Agreement shall be in writing and addressed to the Company at 8 Moore Drive, Durham, NC 27709, Attention: General Counsel, and to you at the address in the Company’s books and records, or at such address as either party may hereafter designate in writing to the other.</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1"/>
        <w:gridCol w:w="367"/>
        <w:gridCol w:w="369"/>
        <w:gridCol w:w="2645"/>
        <w:gridCol w:w="2645"/>
        <w:gridCol w:w="3748"/>
      </w:tblGrid>
      <w:tr>
        <w:trPr/>
        <w:tc>
          <w:tcPr>
            <w:tcW w:w="43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116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Consent to Electronic Delivery</w:t>
            </w:r>
          </w:p>
        </w:tc>
        <w:tc>
          <w:tcPr>
            <w:tcW w:w="90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choose to deliver certain statutory materials relating to the Plan as well as any other documents related to the grant in electronic form. By accepting this grant, you agree that the Company may deliver the Plan prospectus, the Company’s annual report, and other grant-related materials to you in an electronic format. If at any time you would prefer to receive paper copies of these documents, as you are entitled to, the Company would be pleased to provide copies. Please email your request for paper copies to StockCompliance@Fortrea.com.</w:t>
            </w:r>
          </w:p>
        </w:tc>
      </w:tr>
      <w:tr>
        <w:trPr/>
        <w:tc>
          <w:tcPr>
            <w:tcW w:w="116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Electronic Signature</w:t>
            </w:r>
          </w:p>
        </w:tc>
        <w:tc>
          <w:tcPr>
            <w:tcW w:w="90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references to signatures and delivery of documents in this Agreement can be satisfied by procedures the Company has established or may establish for an electronic signature system for delivery and acceptance of any such documents, including this Agreement. Your electronic signature is the same as, and shall have the same force and effect as, your manual signature. Any such procedures and delivery may be effected by a third party engaged by the Company to provide administrative services related to the Plan. </w:t>
            </w:r>
          </w:p>
        </w:tc>
      </w:tr>
      <w:tr>
        <w:trPr/>
        <w:tc>
          <w:tcPr>
            <w:tcW w:w="11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Code Section 409A</w:t>
            </w:r>
          </w:p>
        </w:tc>
        <w:tc>
          <w:tcPr>
            <w:tcW w:w="90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It is intended that the Restricted Stock Units comply with Section 409A of the Code and the guidance and regulations promulgated thereunder (“Section 409A”) or an exemption from Section 409A. To the extent that the Company determines that you would be subject to the additional taxes or penalties imposed on certain non-qualified deferred compensation plans pursuant to Section 409A as a result of any provision of this Agreement, such provision shall be deemed amended to the minimum extent necessary to avoid application of such additional taxes or penalties. The nature of any such amendment shall be determined by the Company. Notwithstanding anything to the contrary in this Agreement or the Plan, to the extent required to avoid accelerated taxation and penalties under Section 409A, amounts that would otherwise be payable and benefits that would otherwise be provided pursuant to the Agreement during the 6-month period immediately following your Separation from Service will instead be paid on the first payroll date after the 6-month anniversary of your Separation from Service (or your death, if earlier). Each installment of Restricted Stock Units that vests under this Agreement (if there is more than one installment) will be considered one of a series of separate payments for purposes of Section 409A.</w:t>
            </w:r>
          </w:p>
          <w:p>
            <w:pPr>
              <w:pStyle w:val="TableContents"/>
              <w:bidi w:val="0"/>
              <w:spacing w:lineRule="auto" w:line="288" w:before="0" w:after="240"/>
              <w:jc w:val="both"/>
              <w:rPr>
                <w:color w:val="000000"/>
              </w:rPr>
            </w:pPr>
            <w:r>
              <w:rPr>
                <w:color w:val="000000"/>
              </w:rPr>
              <w:t>“</w:t>
            </w:r>
            <w:r>
              <w:rPr>
                <w:rFonts w:ascii="Times New Roman;sans-serif" w:hAnsi="Times New Roman;sans-serif"/>
                <w:b w:val="false"/>
                <w:color w:val="000000"/>
                <w:sz w:val="20"/>
              </w:rPr>
              <w:t xml:space="preserve">Separation from Service” shall have the meaning set forth in Section 409A which includes when the Company reasonably anticipates that your level of Services will permanently decrease to no more than 20% of the average level of Services you have performed over the immediately preceding 36-month period (or such lesser period of your Service with the Company and its Affiliates), which shall be interpreted consistently with the provisions of Section 409A. It is intended that the Agreement comply with Section 409A to the extent subject thereto, and, accordingly, to the maximum extent permitted, the Agreement will be interpreted and administered to be in compliance with Section 409A. </w:t>
            </w:r>
          </w:p>
        </w:tc>
      </w:tr>
      <w:tr>
        <w:trPr/>
        <w:tc>
          <w:tcPr>
            <w:tcW w:w="11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Additional Terms for Non-U.S. Grantees</w:t>
            </w:r>
          </w:p>
        </w:tc>
        <w:tc>
          <w:tcPr>
            <w:tcW w:w="903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in this Agreement, if you work and/or reside outside of the United States, you shall be subject to the Additional Terms and Conditions for Non-U.S. Grantees attached hereto as Addendum A and to any Country-Specific Terms and Conditions attached hereto as Addendum B. If you are a citizen or resident of a country (or are considered as such for local law purposes) other than the one in which you are currently working or residing or if you relocate to one of the countries included in the Country-Specific Terms and Conditions after the grant of the Restricted Stock Units, the special terms and conditions for such country will apply to you to the extent the Company determines that the application of such terms and conditions is necessary or advisable in order to comply with local law or facilitate the administration of the Plan. The Additional Terms and Conditions for Non-U.S. Grantees and the Country-Specific Terms and Conditions constitute part of this Agreement and are incorporated herein by reference.</w:t>
            </w:r>
          </w:p>
        </w:tc>
      </w:tr>
    </w:tbl>
    <w:p>
      <w:pPr>
        <w:pStyle w:val="TextBody"/>
        <w:bidi w:val="0"/>
        <w:spacing w:before="0" w:after="0"/>
        <w:jc w:val="center"/>
        <w:rPr/>
      </w:pPr>
      <w:r>
        <w:rPr/>
      </w:r>
    </w:p>
    <w:p>
      <w:pPr>
        <w:pStyle w:val="TextBody"/>
        <w:bidi w:val="0"/>
        <w:spacing w:lineRule="auto" w:line="288"/>
        <w:jc w:val="both"/>
        <w:rPr>
          <w:rFonts w:ascii="Times New Roman;sans-serif" w:hAnsi="Times New Roman;sans-serif"/>
          <w:b/>
          <w:i/>
          <w:color w:val="000000"/>
          <w:sz w:val="20"/>
        </w:rPr>
      </w:pPr>
      <w:r>
        <w:rPr>
          <w:rFonts w:ascii="Times New Roman;sans-serif" w:hAnsi="Times New Roman;sans-serif"/>
          <w:b/>
          <w:i/>
          <w:color w:val="000000"/>
          <w:sz w:val="20"/>
        </w:rPr>
        <w:t>By electronically executing this Agreement, you agree to all of the terms and conditions described above, in the Plan, in the Confidentiality/Non-Competition/Non-Solicitation Agreement, in the Company’s Insider Trading Policy and in the Company’s Incentive Recoupment Policy.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68" w:before="0" w:after="0"/>
        <w:jc w:val="center"/>
        <w:rPr/>
      </w:pPr>
      <w:r>
        <w:rPr>
          <w:rFonts w:ascii="Times New Roman;sans-serif" w:hAnsi="Times New Roman;sans-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Thomas Pike,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980" w:type="dxa"/>
        <w:jc w:val="left"/>
        <w:tblInd w:w="0" w:type="dxa"/>
        <w:tblLayout w:type="fixed"/>
        <w:tblCellMar>
          <w:top w:w="28" w:type="dxa"/>
          <w:left w:w="28" w:type="dxa"/>
          <w:bottom w:w="28" w:type="dxa"/>
          <w:right w:w="28" w:type="dxa"/>
        </w:tblCellMar>
      </w:tblPr>
      <w:tblGrid>
        <w:gridCol w:w="629"/>
        <w:gridCol w:w="554"/>
        <w:gridCol w:w="557"/>
        <w:gridCol w:w="945"/>
        <w:gridCol w:w="945"/>
        <w:gridCol w:w="135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Pike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Pike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68" w:before="0" w:after="0"/>
        <w:jc w:val="center"/>
        <w:rPr/>
      </w:pPr>
      <w:r>
        <w:rPr>
          <w:rFonts w:ascii="Times New Roman;sans-serif" w:hAnsi="Times New Roman;sans-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Jill McConnell,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155" w:type="dxa"/>
        <w:jc w:val="left"/>
        <w:tblInd w:w="0" w:type="dxa"/>
        <w:tblLayout w:type="fixed"/>
        <w:tblCellMar>
          <w:top w:w="28" w:type="dxa"/>
          <w:left w:w="28" w:type="dxa"/>
          <w:bottom w:w="28" w:type="dxa"/>
          <w:right w:w="28" w:type="dxa"/>
        </w:tblCellMar>
      </w:tblPr>
      <w:tblGrid>
        <w:gridCol w:w="629"/>
        <w:gridCol w:w="554"/>
        <w:gridCol w:w="557"/>
        <w:gridCol w:w="706"/>
        <w:gridCol w:w="706"/>
        <w:gridCol w:w="100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Jill McConnell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McConnell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 SECTION 906</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Thomas Pike, Chief Executive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March 31, 2025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4980" w:type="dxa"/>
        <w:jc w:val="left"/>
        <w:tblInd w:w="0" w:type="dxa"/>
        <w:tblLayout w:type="fixed"/>
        <w:tblCellMar>
          <w:top w:w="28" w:type="dxa"/>
          <w:left w:w="28" w:type="dxa"/>
          <w:bottom w:w="28" w:type="dxa"/>
          <w:right w:w="28" w:type="dxa"/>
        </w:tblCellMar>
      </w:tblPr>
      <w:tblGrid>
        <w:gridCol w:w="629"/>
        <w:gridCol w:w="554"/>
        <w:gridCol w:w="557"/>
        <w:gridCol w:w="945"/>
        <w:gridCol w:w="945"/>
        <w:gridCol w:w="135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Pike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Pike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 SECTION 906</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Jill McConnell, Chief Financial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March 31, 2025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4155" w:type="dxa"/>
        <w:jc w:val="left"/>
        <w:tblInd w:w="0" w:type="dxa"/>
        <w:tblLayout w:type="fixed"/>
        <w:tblCellMar>
          <w:top w:w="28" w:type="dxa"/>
          <w:left w:w="28" w:type="dxa"/>
          <w:bottom w:w="28" w:type="dxa"/>
          <w:right w:w="28" w:type="dxa"/>
        </w:tblCellMar>
      </w:tblPr>
      <w:tblGrid>
        <w:gridCol w:w="629"/>
        <w:gridCol w:w="554"/>
        <w:gridCol w:w="557"/>
        <w:gridCol w:w="706"/>
        <w:gridCol w:w="706"/>
        <w:gridCol w:w="100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Jill McConnell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McConnell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5040/000196504025000015/exhibit1026-gscreditagre.htm" TargetMode="External"/><Relationship Id="rId3" Type="http://schemas.openxmlformats.org/officeDocument/2006/relationships/hyperlink" Target="https://www.sec.gov/Archives/edgar/data/1965040/000196504025000015/exhibit1026-gscreditagre.htm" TargetMode="External"/><Relationship Id="rId4" Type="http://schemas.openxmlformats.org/officeDocument/2006/relationships/hyperlink" Target="https://www.sec.gov/Archives/edgar/data/1965040/000119312525032114/d868928dex101.htm" TargetMode="External"/><Relationship Id="rId5" Type="http://schemas.openxmlformats.org/officeDocument/2006/relationships/hyperlink" Target="https://www.sec.gov/Archives/edgar/data/1965040/000119312525032114/d868928dex101.htm" TargetMode="External"/><Relationship Id="rId6" Type="http://schemas.openxmlformats.org/officeDocument/2006/relationships/hyperlink" Target="https://www.sec.gov/Archives/edgar/data/1965040/000119312525032114/d868928dex101.htm" TargetMode="External"/><Relationship Id="rId7" Type="http://schemas.openxmlformats.org/officeDocument/2006/relationships/hyperlink" Target="https://www.sec.gov/Archives/edgar/data/1965040/000119312525032114/d868928d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20142</Words>
  <Characters>111613</Characters>
  <CharactersWithSpaces>130674</CharactersWithSpaces>
  <Paragraphs>1747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