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7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0" w:lineRule="exact"/>
        <w:rPr>
          <w:sz w:val="24"/>
          <w:szCs w:val="24"/>
          <w:color w:val="auto"/>
        </w:rPr>
      </w:pPr>
    </w:p>
    <w:p>
      <w:pPr>
        <w:spacing w:after="0" w:line="297" w:lineRule="exact"/>
        <w:rPr>
          <w:sz w:val="24"/>
          <w:szCs w:val="24"/>
          <w:color w:val="auto"/>
        </w:rPr>
      </w:pPr>
    </w:p>
    <w:p>
      <w:pPr>
        <w:ind w:left="1440" w:hanging="197"/>
        <w:spacing w:after="0"/>
        <w:tabs>
          <w:tab w:leader="none" w:pos="1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4" w:lineRule="exact"/>
        <w:rPr>
          <w:sz w:val="24"/>
          <w:szCs w:val="24"/>
          <w:color w:val="auto"/>
        </w:rPr>
      </w:pPr>
    </w:p>
    <w:p>
      <w:pPr>
        <w:ind w:left="1440" w:hanging="204"/>
        <w:spacing w:after="0"/>
        <w:tabs>
          <w:tab w:leader="none" w:pos="1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7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______</w:t>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001-41704</w:t>
      </w:r>
    </w:p>
    <w:p>
      <w:pPr>
        <w:spacing w:after="0" w:line="1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FORTREA HOLDINGS INC.</w:t>
      </w:r>
    </w:p>
    <w:p>
      <w:pPr>
        <w:spacing w:after="0" w:line="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40" w:type="dxa"/>
            <w:vAlign w:val="bottom"/>
          </w:tcPr>
          <w:p>
            <w:pPr>
              <w:jc w:val="right"/>
              <w:ind w:right="2251"/>
              <w:spacing w:after="0"/>
              <w:rPr>
                <w:sz w:val="20"/>
                <w:szCs w:val="20"/>
                <w:color w:val="auto"/>
              </w:rPr>
            </w:pPr>
            <w:r>
              <w:rPr>
                <w:rFonts w:ascii="Times New Roman" w:cs="Times New Roman" w:eastAsia="Times New Roman" w:hAnsi="Times New Roman"/>
                <w:sz w:val="18"/>
                <w:szCs w:val="18"/>
                <w:b w:val="1"/>
                <w:bCs w:val="1"/>
                <w:color w:val="auto"/>
              </w:rPr>
              <w:t>92-2796441</w:t>
            </w:r>
          </w:p>
        </w:tc>
        <w:tc>
          <w:tcPr>
            <w:tcW w:w="0" w:type="dxa"/>
            <w:vAlign w:val="bottom"/>
          </w:tcPr>
          <w:p>
            <w:pPr>
              <w:spacing w:after="0"/>
              <w:rPr>
                <w:sz w:val="1"/>
                <w:szCs w:val="1"/>
                <w:color w:val="auto"/>
              </w:rPr>
            </w:pPr>
          </w:p>
        </w:tc>
      </w:tr>
      <w:tr>
        <w:trPr>
          <w:trHeight w:val="175"/>
        </w:trPr>
        <w:tc>
          <w:tcPr>
            <w:tcW w:w="55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54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(I.R.S. Employer</w:t>
            </w:r>
          </w:p>
        </w:tc>
        <w:tc>
          <w:tcPr>
            <w:tcW w:w="0" w:type="dxa"/>
            <w:vAlign w:val="bottom"/>
          </w:tcPr>
          <w:p>
            <w:pPr>
              <w:spacing w:after="0"/>
              <w:rPr>
                <w:sz w:val="1"/>
                <w:szCs w:val="1"/>
                <w:color w:val="auto"/>
              </w:rPr>
            </w:pPr>
          </w:p>
        </w:tc>
      </w:tr>
      <w:tr>
        <w:trPr>
          <w:trHeight w:val="232"/>
        </w:trPr>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(State or other jurisdiction of incorporation or organization)</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Identification No.)</w:t>
            </w:r>
          </w:p>
        </w:tc>
        <w:tc>
          <w:tcPr>
            <w:tcW w:w="0" w:type="dxa"/>
            <w:vAlign w:val="bottom"/>
          </w:tcPr>
          <w:p>
            <w:pPr>
              <w:spacing w:after="0"/>
              <w:rPr>
                <w:sz w:val="1"/>
                <w:szCs w:val="1"/>
                <w:color w:val="auto"/>
              </w:rPr>
            </w:pPr>
          </w:p>
        </w:tc>
      </w:tr>
      <w:tr>
        <w:trPr>
          <w:trHeight w:val="294"/>
        </w:trPr>
        <w:tc>
          <w:tcPr>
            <w:tcW w:w="56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8 Moore Drive Durham, North Carolina</w:t>
            </w:r>
          </w:p>
        </w:tc>
        <w:tc>
          <w:tcPr>
            <w:tcW w:w="5540" w:type="dxa"/>
            <w:vAlign w:val="bottom"/>
            <w:vMerge w:val="restart"/>
          </w:tcPr>
          <w:p>
            <w:pPr>
              <w:jc w:val="right"/>
              <w:ind w:right="2471"/>
              <w:spacing w:after="0"/>
              <w:rPr>
                <w:sz w:val="20"/>
                <w:szCs w:val="20"/>
                <w:color w:val="auto"/>
              </w:rPr>
            </w:pPr>
            <w:r>
              <w:rPr>
                <w:rFonts w:ascii="Times New Roman" w:cs="Times New Roman" w:eastAsia="Times New Roman" w:hAnsi="Times New Roman"/>
                <w:sz w:val="18"/>
                <w:szCs w:val="18"/>
                <w:b w:val="1"/>
                <w:bCs w:val="1"/>
                <w:color w:val="auto"/>
              </w:rPr>
              <w:t>27709</w:t>
            </w:r>
          </w:p>
        </w:tc>
        <w:tc>
          <w:tcPr>
            <w:tcW w:w="0" w:type="dxa"/>
            <w:vAlign w:val="bottom"/>
          </w:tcPr>
          <w:p>
            <w:pPr>
              <w:spacing w:after="0"/>
              <w:rPr>
                <w:sz w:val="1"/>
                <w:szCs w:val="1"/>
                <w:color w:val="auto"/>
              </w:rPr>
            </w:pPr>
          </w:p>
        </w:tc>
      </w:tr>
      <w:tr>
        <w:trPr>
          <w:trHeight w:val="186"/>
        </w:trPr>
        <w:tc>
          <w:tcPr>
            <w:tcW w:w="55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16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2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(480)-295-7600</w:t>
      </w: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1440" w:right="379" w:bottom="1440" w:gutter="0" w:footer="0" w:header="0"/>
        </w:sectPr>
      </w:pPr>
    </w:p>
    <w:p>
      <w:pPr>
        <w:spacing w:after="0" w:line="22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75" w:lineRule="exact"/>
        <w:rPr>
          <w:sz w:val="24"/>
          <w:szCs w:val="24"/>
          <w:color w:val="auto"/>
        </w:rPr>
      </w:pPr>
    </w:p>
    <w:p>
      <w:pPr>
        <w:sectPr>
          <w:pgSz w:w="11900" w:h="16838" w:orient="portrait"/>
          <w:cols w:equalWidth="0" w:num="3">
            <w:col w:w="3280" w:space="720"/>
            <w:col w:w="2600" w:space="720"/>
            <w:col w:w="3880"/>
          </w:cols>
          <w:pgMar w:left="320" w:top="1440"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Common Stock, $0.001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FTRE</w:t>
      </w:r>
    </w:p>
    <w:p>
      <w:pPr>
        <w:spacing w:after="0" w:line="20" w:lineRule="exact"/>
        <w:rPr>
          <w:sz w:val="24"/>
          <w:szCs w:val="24"/>
          <w:color w:val="auto"/>
        </w:rPr>
      </w:pPr>
      <w:r>
        <w:rPr>
          <w:sz w:val="24"/>
          <w:szCs w:val="24"/>
          <w:color w:val="auto"/>
        </w:rPr>
        <w:br w:type="column"/>
      </w:r>
    </w:p>
    <w:p>
      <w:pPr>
        <w:jc w:val="center"/>
        <w:ind w:right="2020"/>
        <w:spacing w:after="0"/>
        <w:rPr>
          <w:sz w:val="20"/>
          <w:szCs w:val="20"/>
          <w:color w:val="auto"/>
        </w:rPr>
      </w:pPr>
      <w:r>
        <w:rPr>
          <w:rFonts w:ascii="Times New Roman" w:cs="Times New Roman" w:eastAsia="Times New Roman" w:hAnsi="Times New Roman"/>
          <w:sz w:val="17"/>
          <w:szCs w:val="17"/>
          <w:color w:val="auto"/>
        </w:rPr>
        <w:t>The NASDAQ Stock Market LLC</w:t>
      </w:r>
    </w:p>
    <w:p>
      <w:pPr>
        <w:spacing w:after="0" w:line="200" w:lineRule="exact"/>
        <w:rPr>
          <w:sz w:val="24"/>
          <w:szCs w:val="24"/>
          <w:color w:val="auto"/>
        </w:rPr>
      </w:pPr>
    </w:p>
    <w:p>
      <w:pPr>
        <w:sectPr>
          <w:pgSz w:w="11900" w:h="16838" w:orient="portrait"/>
          <w:cols w:equalWidth="0" w:num="3">
            <w:col w:w="3320" w:space="720"/>
            <w:col w:w="1960" w:space="720"/>
            <w:col w:w="4480"/>
          </w:cols>
          <w:pgMar w:left="320" w:top="1440" w:right="379" w:bottom="1440" w:gutter="0" w:footer="0" w:header="0"/>
          <w:type w:val="continuous"/>
        </w:sectPr>
      </w:pPr>
    </w:p>
    <w:p>
      <w:pPr>
        <w:spacing w:after="0" w:line="112" w:lineRule="exact"/>
        <w:rPr>
          <w:sz w:val="24"/>
          <w:szCs w:val="24"/>
          <w:color w:val="auto"/>
        </w:rPr>
      </w:pPr>
    </w:p>
    <w:p>
      <w:pPr>
        <w:ind w:right="380"/>
        <w:spacing w:after="0" w:line="26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36" w:lineRule="exact"/>
        <w:rPr>
          <w:sz w:val="24"/>
          <w:szCs w:val="24"/>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856615</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1" w:name="page2"/>
    <w:bookmarkEnd w:id="1"/>
    <w:p>
      <w:pPr>
        <w:spacing w:after="0" w:line="1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301"/>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8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Accelerated filer</w:t>
            </w:r>
          </w:p>
        </w:tc>
        <w:tc>
          <w:tcPr>
            <w:tcW w:w="940" w:type="dxa"/>
            <w:vAlign w:val="bottom"/>
          </w:tcPr>
          <w:p>
            <w:pPr>
              <w:ind w:left="780"/>
              <w:spacing w:after="0"/>
              <w:rPr>
                <w:sz w:val="20"/>
                <w:szCs w:val="20"/>
                <w:color w:val="auto"/>
              </w:rPr>
            </w:pPr>
            <w:r>
              <w:rPr>
                <w:rFonts w:ascii="Wingdings" w:cs="Wingdings" w:eastAsia="Wingdings" w:hAnsi="Wingdings"/>
                <w:sz w:val="18"/>
                <w:szCs w:val="18"/>
                <w:b w:val="1"/>
                <w:bCs w:val="1"/>
                <w:color w:val="auto"/>
                <w:w w:val="86"/>
              </w:rPr>
              <w:t>o</w:t>
            </w:r>
          </w:p>
        </w:tc>
      </w:tr>
      <w:tr>
        <w:trPr>
          <w:trHeight w:val="23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80" w:type="dxa"/>
            <w:vAlign w:val="bottom"/>
          </w:tcPr>
          <w:p>
            <w:pPr>
              <w:ind w:left="1660"/>
              <w:spacing w:after="0"/>
              <w:rPr>
                <w:sz w:val="20"/>
                <w:szCs w:val="20"/>
                <w:color w:val="auto"/>
              </w:rPr>
            </w:pPr>
            <w:r>
              <w:rPr>
                <w:rFonts w:ascii="Wingdings" w:cs="Wingdings" w:eastAsia="Wingdings" w:hAnsi="Wingdings"/>
                <w:sz w:val="18"/>
                <w:szCs w:val="18"/>
                <w:b w:val="1"/>
                <w:bCs w:val="1"/>
                <w:color w:val="auto"/>
              </w:rPr>
              <w:t>x</w:t>
            </w:r>
          </w:p>
        </w:tc>
        <w:tc>
          <w:tcPr>
            <w:tcW w:w="3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40" w:type="dxa"/>
            <w:vAlign w:val="bottom"/>
          </w:tcPr>
          <w:p>
            <w:pPr>
              <w:ind w:left="780"/>
              <w:spacing w:after="0"/>
              <w:rPr>
                <w:sz w:val="20"/>
                <w:szCs w:val="20"/>
                <w:color w:val="auto"/>
              </w:rPr>
            </w:pPr>
            <w:r>
              <w:rPr>
                <w:rFonts w:ascii="Wingdings" w:cs="Wingdings" w:eastAsia="Wingdings" w:hAnsi="Wingdings"/>
                <w:sz w:val="18"/>
                <w:szCs w:val="18"/>
                <w:b w:val="1"/>
                <w:bCs w:val="1"/>
                <w:color w:val="auto"/>
                <w:w w:val="86"/>
              </w:rPr>
              <w:t>o</w:t>
            </w:r>
          </w:p>
        </w:tc>
      </w:tr>
      <w:tr>
        <w:trPr>
          <w:trHeight w:val="267"/>
        </w:trPr>
        <w:tc>
          <w:tcPr>
            <w:tcW w:w="326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37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Emerging growth company</w:t>
            </w:r>
          </w:p>
        </w:tc>
        <w:tc>
          <w:tcPr>
            <w:tcW w:w="940" w:type="dxa"/>
            <w:vAlign w:val="bottom"/>
          </w:tcPr>
          <w:p>
            <w:pPr>
              <w:ind w:left="780"/>
              <w:spacing w:after="0"/>
              <w:rPr>
                <w:sz w:val="20"/>
                <w:szCs w:val="20"/>
                <w:color w:val="auto"/>
              </w:rPr>
            </w:pPr>
            <w:r>
              <w:rPr>
                <w:rFonts w:ascii="Wingdings" w:cs="Wingdings" w:eastAsia="Wingdings" w:hAnsi="Wingdings"/>
                <w:sz w:val="18"/>
                <w:szCs w:val="18"/>
                <w:b w:val="1"/>
                <w:bCs w:val="1"/>
                <w:color w:val="auto"/>
                <w:w w:val="86"/>
              </w:rPr>
              <w:t>o</w:t>
            </w:r>
          </w:p>
        </w:tc>
      </w:tr>
    </w:tbl>
    <w:p>
      <w:pPr>
        <w:spacing w:after="0" w:line="27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09" w:lineRule="exact"/>
        <w:rPr>
          <w:sz w:val="20"/>
          <w:szCs w:val="20"/>
          <w:color w:val="auto"/>
        </w:rPr>
      </w:pPr>
    </w:p>
    <w:p>
      <w:pPr>
        <w:ind w:right="2120"/>
        <w:spacing w:after="0" w:line="478"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outstanding 89.7 million shares of common stock as of November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975360</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80" w:type="dxa"/>
            <w:vAlign w:val="bottom"/>
            <w:gridSpan w:val="8"/>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gridSpan w:val="9"/>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2360" w:type="dxa"/>
            <w:vAlign w:val="bottom"/>
            <w:tcBorders>
              <w:bottom w:val="single" w:sz="8" w:color="0000FF"/>
            </w:tcBorders>
            <w:gridSpan w:val="7"/>
          </w:tcPr>
          <w:p>
            <w:pPr>
              <w:spacing w:after="0" w:line="192" w:lineRule="exact"/>
              <w:rPr>
                <w:sz w:val="20"/>
                <w:szCs w:val="20"/>
                <w:color w:val="auto"/>
              </w:rPr>
            </w:pPr>
            <w:r>
              <w:rPr>
                <w:rFonts w:ascii="Times New Roman" w:cs="Times New Roman" w:eastAsia="Times New Roman" w:hAnsi="Times New Roman"/>
                <w:sz w:val="18"/>
                <w:szCs w:val="18"/>
                <w:color w:val="0000FF"/>
                <w:w w:val="98"/>
              </w:rPr>
              <w:t>Financial Statements (unaudited)</w:t>
            </w:r>
          </w:p>
        </w:tc>
        <w:tc>
          <w:tcPr>
            <w:tcW w:w="4020" w:type="dxa"/>
            <w:vAlign w:val="bottom"/>
            <w:gridSpan w:val="9"/>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440" w:type="dxa"/>
            <w:vAlign w:val="bottom"/>
          </w:tcPr>
          <w:p>
            <w:pPr>
              <w:spacing w:after="0"/>
              <w:rPr>
                <w:sz w:val="17"/>
                <w:szCs w:val="17"/>
                <w:color w:val="auto"/>
              </w:rPr>
            </w:pPr>
          </w:p>
        </w:tc>
        <w:tc>
          <w:tcPr>
            <w:tcW w:w="6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2900" w:type="dxa"/>
            <w:vAlign w:val="bottom"/>
            <w:tcBorders>
              <w:top w:val="single" w:sz="8" w:color="0000FF"/>
            </w:tcBorders>
            <w:gridSpan w:val="8"/>
          </w:tcPr>
          <w:p>
            <w:pPr>
              <w:spacing w:after="0" w:line="167" w:lineRule="exact"/>
              <w:rPr>
                <w:sz w:val="20"/>
                <w:szCs w:val="20"/>
                <w:color w:val="auto"/>
              </w:rPr>
            </w:pPr>
            <w:r>
              <w:rPr>
                <w:rFonts w:ascii="Times New Roman" w:cs="Times New Roman" w:eastAsia="Times New Roman" w:hAnsi="Times New Roman"/>
                <w:sz w:val="18"/>
                <w:szCs w:val="18"/>
                <w:color w:val="auto"/>
              </w:rPr>
              <w:t>September 30, 2024 and December 31,</w:t>
            </w:r>
          </w:p>
        </w:tc>
        <w:tc>
          <w:tcPr>
            <w:tcW w:w="1400" w:type="dxa"/>
            <w:vAlign w:val="bottom"/>
          </w:tcPr>
          <w:p>
            <w:pPr>
              <w:jc w:val="right"/>
              <w:ind w:right="1031"/>
              <w:spacing w:after="0" w:line="167" w:lineRule="exact"/>
              <w:rPr>
                <w:sz w:val="20"/>
                <w:szCs w:val="20"/>
                <w:color w:val="auto"/>
              </w:rPr>
            </w:pPr>
            <w:r>
              <w:rPr>
                <w:rFonts w:ascii="Times New Roman" w:cs="Times New Roman" w:eastAsia="Times New Roman" w:hAnsi="Times New Roman"/>
                <w:sz w:val="18"/>
                <w:szCs w:val="18"/>
                <w:color w:val="auto"/>
                <w:w w:val="72"/>
              </w:rPr>
              <w:t>2023</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gridSpan w:val="3"/>
          </w:tcPr>
          <w:p>
            <w:pPr>
              <w:jc w:val="right"/>
              <w:spacing w:after="0" w:line="167" w:lineRule="exact"/>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3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and Combined Statements of Operations</w:t>
            </w: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440" w:type="dxa"/>
            <w:vAlign w:val="bottom"/>
          </w:tcPr>
          <w:p>
            <w:pPr>
              <w:spacing w:after="0"/>
              <w:rPr>
                <w:sz w:val="17"/>
                <w:szCs w:val="17"/>
                <w:color w:val="auto"/>
              </w:rPr>
            </w:pPr>
          </w:p>
        </w:tc>
        <w:tc>
          <w:tcPr>
            <w:tcW w:w="6380" w:type="dxa"/>
            <w:vAlign w:val="bottom"/>
            <w:gridSpan w:val="16"/>
            <w:vMerge w:val="continue"/>
          </w:tcPr>
          <w:p>
            <w:pPr>
              <w:spacing w:after="0"/>
              <w:rPr>
                <w:sz w:val="17"/>
                <w:szCs w:val="17"/>
                <w:color w:val="auto"/>
              </w:rPr>
            </w:pPr>
          </w:p>
        </w:tc>
        <w:tc>
          <w:tcPr>
            <w:tcW w:w="3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4700" w:type="dxa"/>
            <w:vAlign w:val="bottom"/>
            <w:tcBorders>
              <w:top w:val="single" w:sz="8" w:color="0000FF"/>
            </w:tcBorders>
            <w:gridSpan w:val="11"/>
          </w:tcPr>
          <w:p>
            <w:pPr>
              <w:spacing w:after="0" w:line="167" w:lineRule="exact"/>
              <w:rPr>
                <w:sz w:val="20"/>
                <w:szCs w:val="20"/>
                <w:color w:val="auto"/>
              </w:rPr>
            </w:pPr>
            <w:r>
              <w:rPr>
                <w:rFonts w:ascii="Times New Roman" w:cs="Times New Roman" w:eastAsia="Times New Roman" w:hAnsi="Times New Roman"/>
                <w:sz w:val="18"/>
                <w:szCs w:val="18"/>
                <w:color w:val="auto"/>
              </w:rPr>
              <w:t>Three and nine months ended September 30, 2024 and 2023</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3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and Combined Statements of Comprehensive Income (Loss)</w:t>
            </w: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440" w:type="dxa"/>
            <w:vAlign w:val="bottom"/>
          </w:tcPr>
          <w:p>
            <w:pPr>
              <w:spacing w:after="0"/>
              <w:rPr>
                <w:sz w:val="17"/>
                <w:szCs w:val="17"/>
                <w:color w:val="auto"/>
              </w:rPr>
            </w:pPr>
          </w:p>
        </w:tc>
        <w:tc>
          <w:tcPr>
            <w:tcW w:w="6380" w:type="dxa"/>
            <w:vAlign w:val="bottom"/>
            <w:gridSpan w:val="16"/>
            <w:vMerge w:val="continue"/>
          </w:tcPr>
          <w:p>
            <w:pPr>
              <w:spacing w:after="0"/>
              <w:rPr>
                <w:sz w:val="17"/>
                <w:szCs w:val="17"/>
                <w:color w:val="auto"/>
              </w:rPr>
            </w:pPr>
          </w:p>
        </w:tc>
        <w:tc>
          <w:tcPr>
            <w:tcW w:w="3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6120" w:type="dxa"/>
            <w:vAlign w:val="bottom"/>
            <w:tcBorders>
              <w:top w:val="single" w:sz="8" w:color="0000FF"/>
            </w:tcBorders>
            <w:gridSpan w:val="15"/>
          </w:tcPr>
          <w:p>
            <w:pPr>
              <w:spacing w:after="0" w:line="167" w:lineRule="exact"/>
              <w:rPr>
                <w:sz w:val="20"/>
                <w:szCs w:val="20"/>
                <w:color w:val="auto"/>
              </w:rPr>
            </w:pPr>
            <w:r>
              <w:rPr>
                <w:rFonts w:ascii="Times New Roman" w:cs="Times New Roman" w:eastAsia="Times New Roman" w:hAnsi="Times New Roman"/>
                <w:sz w:val="18"/>
                <w:szCs w:val="18"/>
                <w:color w:val="auto"/>
              </w:rPr>
              <w:t>Three and nine months ended September 30, 2024 and 2023</w:t>
            </w:r>
          </w:p>
        </w:tc>
        <w:tc>
          <w:tcPr>
            <w:tcW w:w="260" w:type="dxa"/>
            <w:vAlign w:val="bottom"/>
          </w:tcPr>
          <w:p>
            <w:pPr>
              <w:spacing w:after="0"/>
              <w:rPr>
                <w:sz w:val="14"/>
                <w:szCs w:val="14"/>
                <w:color w:val="auto"/>
              </w:rPr>
            </w:pPr>
          </w:p>
        </w:tc>
        <w:tc>
          <w:tcPr>
            <w:tcW w:w="3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3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and Combined Statements of Changes in Equity</w:t>
            </w: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440" w:type="dxa"/>
            <w:vAlign w:val="bottom"/>
          </w:tcPr>
          <w:p>
            <w:pPr>
              <w:spacing w:after="0"/>
              <w:rPr>
                <w:sz w:val="17"/>
                <w:szCs w:val="17"/>
                <w:color w:val="auto"/>
              </w:rPr>
            </w:pPr>
          </w:p>
        </w:tc>
        <w:tc>
          <w:tcPr>
            <w:tcW w:w="6380" w:type="dxa"/>
            <w:vAlign w:val="bottom"/>
            <w:gridSpan w:val="16"/>
            <w:vMerge w:val="continue"/>
          </w:tcPr>
          <w:p>
            <w:pPr>
              <w:spacing w:after="0"/>
              <w:rPr>
                <w:sz w:val="17"/>
                <w:szCs w:val="17"/>
                <w:color w:val="auto"/>
              </w:rPr>
            </w:pPr>
          </w:p>
        </w:tc>
        <w:tc>
          <w:tcPr>
            <w:tcW w:w="3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5240" w:type="dxa"/>
            <w:vAlign w:val="bottom"/>
            <w:tcBorders>
              <w:top w:val="single" w:sz="8" w:color="0000FF"/>
            </w:tcBorders>
            <w:gridSpan w:val="13"/>
          </w:tcPr>
          <w:p>
            <w:pPr>
              <w:spacing w:after="0" w:line="167" w:lineRule="exact"/>
              <w:rPr>
                <w:sz w:val="20"/>
                <w:szCs w:val="20"/>
                <w:color w:val="auto"/>
              </w:rPr>
            </w:pPr>
            <w:r>
              <w:rPr>
                <w:rFonts w:ascii="Times New Roman" w:cs="Times New Roman" w:eastAsia="Times New Roman" w:hAnsi="Times New Roman"/>
                <w:sz w:val="18"/>
                <w:szCs w:val="18"/>
                <w:color w:val="auto"/>
              </w:rPr>
              <w:t>Three and nine months ended September 30, 2024 and 2023</w:t>
            </w:r>
          </w:p>
        </w:tc>
        <w:tc>
          <w:tcPr>
            <w:tcW w:w="580" w:type="dxa"/>
            <w:vAlign w:val="bottom"/>
          </w:tcPr>
          <w:p>
            <w:pPr>
              <w:spacing w:after="0"/>
              <w:rPr>
                <w:sz w:val="14"/>
                <w:szCs w:val="14"/>
                <w:color w:val="auto"/>
              </w:rPr>
            </w:pPr>
          </w:p>
        </w:tc>
        <w:tc>
          <w:tcPr>
            <w:tcW w:w="560" w:type="dxa"/>
            <w:vAlign w:val="bottom"/>
            <w:gridSpan w:val="2"/>
          </w:tcPr>
          <w:p>
            <w:pPr>
              <w:spacing w:after="0"/>
              <w:rPr>
                <w:sz w:val="14"/>
                <w:szCs w:val="14"/>
                <w:color w:val="auto"/>
              </w:rPr>
            </w:pPr>
          </w:p>
        </w:tc>
        <w:tc>
          <w:tcPr>
            <w:tcW w:w="3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3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and Combined Statements of Cash Flows</w:t>
            </w: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440" w:type="dxa"/>
            <w:vAlign w:val="bottom"/>
          </w:tcPr>
          <w:p>
            <w:pPr>
              <w:spacing w:after="0"/>
              <w:rPr>
                <w:sz w:val="17"/>
                <w:szCs w:val="17"/>
                <w:color w:val="auto"/>
              </w:rPr>
            </w:pPr>
          </w:p>
        </w:tc>
        <w:tc>
          <w:tcPr>
            <w:tcW w:w="6380" w:type="dxa"/>
            <w:vAlign w:val="bottom"/>
            <w:gridSpan w:val="16"/>
            <w:vMerge w:val="continue"/>
          </w:tcPr>
          <w:p>
            <w:pPr>
              <w:spacing w:after="0"/>
              <w:rPr>
                <w:sz w:val="17"/>
                <w:szCs w:val="17"/>
                <w:color w:val="auto"/>
              </w:rPr>
            </w:pPr>
          </w:p>
        </w:tc>
        <w:tc>
          <w:tcPr>
            <w:tcW w:w="3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4760" w:type="dxa"/>
            <w:vAlign w:val="bottom"/>
            <w:tcBorders>
              <w:top w:val="single" w:sz="8" w:color="0000FF"/>
            </w:tcBorders>
            <w:gridSpan w:val="12"/>
          </w:tcPr>
          <w:p>
            <w:pPr>
              <w:spacing w:after="0" w:line="167" w:lineRule="exact"/>
              <w:rPr>
                <w:sz w:val="20"/>
                <w:szCs w:val="20"/>
                <w:color w:val="auto"/>
              </w:rPr>
            </w:pPr>
            <w:r>
              <w:rPr>
                <w:rFonts w:ascii="Times New Roman" w:cs="Times New Roman" w:eastAsia="Times New Roman" w:hAnsi="Times New Roman"/>
                <w:sz w:val="18"/>
                <w:szCs w:val="18"/>
                <w:color w:val="auto"/>
              </w:rPr>
              <w:t>Nine months ended September 30, 2024 and 2023</w:t>
            </w:r>
          </w:p>
        </w:tc>
        <w:tc>
          <w:tcPr>
            <w:tcW w:w="1060" w:type="dxa"/>
            <w:vAlign w:val="bottom"/>
            <w:gridSpan w:val="2"/>
          </w:tcPr>
          <w:p>
            <w:pPr>
              <w:spacing w:after="0"/>
              <w:rPr>
                <w:sz w:val="14"/>
                <w:szCs w:val="14"/>
                <w:color w:val="auto"/>
              </w:rPr>
            </w:pPr>
          </w:p>
        </w:tc>
        <w:tc>
          <w:tcPr>
            <w:tcW w:w="560" w:type="dxa"/>
            <w:vAlign w:val="bottom"/>
            <w:gridSpan w:val="2"/>
          </w:tcPr>
          <w:p>
            <w:pPr>
              <w:spacing w:after="0"/>
              <w:rPr>
                <w:sz w:val="14"/>
                <w:szCs w:val="14"/>
                <w:color w:val="auto"/>
              </w:rPr>
            </w:pPr>
          </w:p>
        </w:tc>
        <w:tc>
          <w:tcPr>
            <w:tcW w:w="33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440" w:type="dxa"/>
            <w:vAlign w:val="bottom"/>
          </w:tcPr>
          <w:p>
            <w:pPr>
              <w:spacing w:after="0"/>
              <w:rPr>
                <w:sz w:val="17"/>
                <w:szCs w:val="17"/>
                <w:color w:val="auto"/>
              </w:rPr>
            </w:pPr>
          </w:p>
        </w:tc>
        <w:tc>
          <w:tcPr>
            <w:tcW w:w="6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and Combined Financial Statements</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3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32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060" w:type="dxa"/>
            <w:vAlign w:val="bottom"/>
            <w:gridSpan w:val="6"/>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0" w:type="dxa"/>
            <w:vAlign w:val="bottom"/>
          </w:tcPr>
          <w:p>
            <w:pPr>
              <w:spacing w:after="0"/>
              <w:rPr>
                <w:sz w:val="1"/>
                <w:szCs w:val="1"/>
                <w:color w:val="auto"/>
              </w:rPr>
            </w:pPr>
          </w:p>
        </w:tc>
      </w:t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6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509"/>
        </w:trPr>
        <w:tc>
          <w:tcPr>
            <w:tcW w:w="14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gridSpan w:val="9"/>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PART II. OTHER INFORMATION</w:t>
            </w:r>
          </w:p>
        </w:tc>
        <w:tc>
          <w:tcPr>
            <w:tcW w:w="32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Item 1.</w:t>
            </w:r>
          </w:p>
        </w:tc>
        <w:tc>
          <w:tcPr>
            <w:tcW w:w="6380" w:type="dxa"/>
            <w:vAlign w:val="bottom"/>
            <w:gridSpan w:val="16"/>
          </w:tcPr>
          <w:p>
            <w:pPr>
              <w:spacing w:after="0" w:line="192" w:lineRule="exact"/>
              <w:rPr>
                <w:sz w:val="20"/>
                <w:szCs w:val="20"/>
                <w:color w:val="auto"/>
              </w:rPr>
            </w:pPr>
            <w:r>
              <w:rPr>
                <w:rFonts w:ascii="Times New Roman" w:cs="Times New Roman" w:eastAsia="Times New Roman" w:hAnsi="Times New Roman"/>
                <w:sz w:val="18"/>
                <w:szCs w:val="18"/>
                <w:color w:val="0000FF"/>
              </w:rPr>
              <w:t>Legal Proceedings</w:t>
            </w:r>
          </w:p>
        </w:tc>
        <w:tc>
          <w:tcPr>
            <w:tcW w:w="3380" w:type="dxa"/>
            <w:vAlign w:val="bottom"/>
            <w:gridSpan w:val="3"/>
          </w:tcPr>
          <w:p>
            <w:pPr>
              <w:jc w:val="right"/>
              <w:spacing w:after="0" w:line="192" w:lineRule="exact"/>
              <w:rPr>
                <w:sz w:val="20"/>
                <w:szCs w:val="20"/>
                <w:color w:val="auto"/>
              </w:rPr>
            </w:pPr>
            <w:r>
              <w:rPr>
                <w:rFonts w:ascii="Times New Roman" w:cs="Times New Roman" w:eastAsia="Times New Roman" w:hAnsi="Times New Roman"/>
                <w:sz w:val="18"/>
                <w:szCs w:val="18"/>
                <w:color w:val="0000FF"/>
              </w:rPr>
              <w:t>44</w:t>
            </w:r>
          </w:p>
        </w:tc>
        <w:tc>
          <w:tcPr>
            <w:tcW w:w="0" w:type="dxa"/>
            <w:vAlign w:val="bottom"/>
          </w:tcPr>
          <w:p>
            <w:pPr>
              <w:spacing w:after="0"/>
              <w:rPr>
                <w:sz w:val="1"/>
                <w:szCs w:val="1"/>
                <w:color w:val="auto"/>
              </w:rPr>
            </w:pPr>
          </w:p>
        </w:tc>
      </w:t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17"/>
                <w:szCs w:val="17"/>
                <w:color w:val="auto"/>
              </w:rPr>
            </w:pPr>
          </w:p>
        </w:tc>
        <w:tc>
          <w:tcPr>
            <w:tcW w:w="5060" w:type="dxa"/>
            <w:vAlign w:val="bottom"/>
            <w:gridSpan w:val="12"/>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0" w:type="dxa"/>
            <w:vAlign w:val="bottom"/>
          </w:tcPr>
          <w:p>
            <w:pPr>
              <w:spacing w:after="0"/>
              <w:rPr>
                <w:sz w:val="1"/>
                <w:szCs w:val="1"/>
                <w:color w:val="auto"/>
              </w:rPr>
            </w:pPr>
          </w:p>
        </w:tc>
      </w:t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3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20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40" w:type="dxa"/>
            <w:vAlign w:val="bottom"/>
            <w:tcBorders>
              <w:top w:val="single" w:sz="8" w:color="0000FF"/>
            </w:tcBorders>
          </w:tcPr>
          <w:p>
            <w:pPr>
              <w:spacing w:after="0"/>
              <w:rPr>
                <w:sz w:val="17"/>
                <w:szCs w:val="17"/>
                <w:color w:val="auto"/>
              </w:rPr>
            </w:pPr>
          </w:p>
        </w:tc>
        <w:tc>
          <w:tcPr>
            <w:tcW w:w="4080" w:type="dxa"/>
            <w:vAlign w:val="bottom"/>
            <w:gridSpan w:val="10"/>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0" w:type="dxa"/>
            <w:vAlign w:val="bottom"/>
          </w:tcPr>
          <w:p>
            <w:pPr>
              <w:spacing w:after="0"/>
              <w:rPr>
                <w:sz w:val="1"/>
                <w:szCs w:val="1"/>
                <w:color w:val="auto"/>
              </w:rPr>
            </w:pPr>
          </w:p>
        </w:tc>
      </w:t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6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0" w:type="dxa"/>
            <w:vAlign w:val="bottom"/>
          </w:tcPr>
          <w:p>
            <w:pPr>
              <w:spacing w:after="0"/>
              <w:rPr>
                <w:sz w:val="1"/>
                <w:szCs w:val="1"/>
                <w:color w:val="auto"/>
              </w:rPr>
            </w:pPr>
          </w:p>
        </w:tc>
      </w:tr>
      <w:tr>
        <w:trPr>
          <w:trHeight w:val="20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2"/>
          </w:tcPr>
          <w:p>
            <w:pPr>
              <w:spacing w:after="0"/>
              <w:rPr>
                <w:sz w:val="17"/>
                <w:szCs w:val="17"/>
                <w:color w:val="auto"/>
              </w:rPr>
            </w:pPr>
          </w:p>
        </w:tc>
        <w:tc>
          <w:tcPr>
            <w:tcW w:w="5080" w:type="dxa"/>
            <w:vAlign w:val="bottom"/>
            <w:gridSpan w:val="13"/>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3" w:name="page4"/>
    <w:bookmarkEnd w:id="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6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80" w:type="dxa"/>
            <w:vAlign w:val="bottom"/>
          </w:tcPr>
          <w:p>
            <w:pPr>
              <w:spacing w:after="0"/>
              <w:rPr>
                <w:sz w:val="18"/>
                <w:szCs w:val="18"/>
                <w:color w:val="auto"/>
              </w:rPr>
            </w:pPr>
          </w:p>
        </w:tc>
        <w:tc>
          <w:tcPr>
            <w:tcW w:w="1920" w:type="dxa"/>
            <w:vAlign w:val="bottom"/>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0" w:type="dxa"/>
            <w:vAlign w:val="bottom"/>
          </w:tcPr>
          <w:p>
            <w:pPr>
              <w:spacing w:after="0"/>
              <w:rPr>
                <w:sz w:val="1"/>
                <w:szCs w:val="1"/>
                <w:color w:val="auto"/>
              </w:rPr>
            </w:pPr>
          </w:p>
        </w:tc>
      </w:tr>
      <w:tr>
        <w:trPr>
          <w:trHeight w:val="211"/>
        </w:trPr>
        <w:tc>
          <w:tcPr>
            <w:tcW w:w="6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and unbilled services, net</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211"/>
        </w:trPr>
        <w:tc>
          <w:tcPr>
            <w:tcW w:w="6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assets of discontinued operations</w:t>
            </w:r>
          </w:p>
        </w:tc>
        <w:tc>
          <w:tcPr>
            <w:tcW w:w="26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w:t>
            </w: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1,250.8</w:t>
            </w:r>
          </w:p>
        </w:tc>
        <w:tc>
          <w:tcPr>
            <w:tcW w:w="0" w:type="dxa"/>
            <w:vAlign w:val="bottom"/>
          </w:tcPr>
          <w:p>
            <w:pPr>
              <w:spacing w:after="0"/>
              <w:rPr>
                <w:sz w:val="1"/>
                <w:szCs w:val="1"/>
                <w:color w:val="auto"/>
              </w:rPr>
            </w:pPr>
          </w:p>
        </w:tc>
      </w:tr>
      <w:tr>
        <w:trPr>
          <w:trHeight w:val="211"/>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net</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1,739.4</w:t>
            </w:r>
          </w:p>
        </w:tc>
        <w:tc>
          <w:tcPr>
            <w:tcW w:w="0" w:type="dxa"/>
            <w:vAlign w:val="bottom"/>
          </w:tcPr>
          <w:p>
            <w:pPr>
              <w:spacing w:after="0"/>
              <w:rPr>
                <w:sz w:val="1"/>
                <w:szCs w:val="1"/>
                <w:color w:val="auto"/>
              </w:rPr>
            </w:pPr>
          </w:p>
        </w:tc>
      </w:tr>
      <w:tr>
        <w:trPr>
          <w:trHeight w:val="211"/>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1"/>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w:t>
            </w:r>
          </w:p>
        </w:tc>
        <w:tc>
          <w:tcPr>
            <w:tcW w:w="0" w:type="dxa"/>
            <w:vAlign w:val="bottom"/>
          </w:tcPr>
          <w:p>
            <w:pPr>
              <w:spacing w:after="0"/>
              <w:rPr>
                <w:sz w:val="1"/>
                <w:szCs w:val="1"/>
                <w:color w:val="auto"/>
              </w:rPr>
            </w:pPr>
          </w:p>
        </w:tc>
      </w:tr>
      <w:tr>
        <w:trPr>
          <w:trHeight w:val="21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26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368.8</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3,663.7</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4,332.6</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0" w:type="dxa"/>
            <w:vAlign w:val="bottom"/>
          </w:tcPr>
          <w:p>
            <w:pPr>
              <w:spacing w:after="0"/>
              <w:rPr>
                <w:sz w:val="1"/>
                <w:szCs w:val="1"/>
                <w:color w:val="auto"/>
              </w:rPr>
            </w:pPr>
          </w:p>
        </w:tc>
      </w:tr>
      <w:tr>
        <w:trPr>
          <w:trHeight w:val="211"/>
        </w:trPr>
        <w:tc>
          <w:tcPr>
            <w:tcW w:w="6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Unearned revenue</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0" w:type="dxa"/>
            <w:vAlign w:val="bottom"/>
          </w:tcPr>
          <w:p>
            <w:pPr>
              <w:spacing w:after="0"/>
              <w:rPr>
                <w:sz w:val="1"/>
                <w:szCs w:val="1"/>
                <w:color w:val="auto"/>
              </w:rPr>
            </w:pPr>
          </w:p>
        </w:tc>
      </w:tr>
      <w:tr>
        <w:trPr>
          <w:trHeight w:val="211"/>
        </w:trPr>
        <w:tc>
          <w:tcPr>
            <w:tcW w:w="6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11"/>
        </w:trPr>
        <w:tc>
          <w:tcPr>
            <w:tcW w:w="6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liabilities of discontinued operations</w:t>
            </w:r>
          </w:p>
        </w:tc>
        <w:tc>
          <w:tcPr>
            <w:tcW w:w="26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795.8</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778.4</w:t>
            </w:r>
          </w:p>
        </w:tc>
        <w:tc>
          <w:tcPr>
            <w:tcW w:w="0" w:type="dxa"/>
            <w:vAlign w:val="bottom"/>
          </w:tcPr>
          <w:p>
            <w:pPr>
              <w:spacing w:after="0"/>
              <w:rPr>
                <w:sz w:val="1"/>
                <w:szCs w:val="1"/>
                <w:color w:val="auto"/>
              </w:rPr>
            </w:pPr>
          </w:p>
        </w:tc>
      </w:tr>
      <w:tr>
        <w:trPr>
          <w:trHeight w:val="211"/>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1,124.5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0" w:type="dxa"/>
            <w:vAlign w:val="bottom"/>
          </w:tcPr>
          <w:p>
            <w:pPr>
              <w:spacing w:after="0"/>
              <w:rPr>
                <w:sz w:val="1"/>
                <w:szCs w:val="1"/>
                <w:color w:val="auto"/>
              </w:rPr>
            </w:pPr>
          </w:p>
        </w:tc>
      </w:tr>
      <w:tr>
        <w:trPr>
          <w:trHeight w:val="211"/>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tax liabilities</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1"/>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260" w:type="dxa"/>
            <w:vAlign w:val="bottom"/>
          </w:tcPr>
          <w:p>
            <w:pPr>
              <w:spacing w:after="0"/>
              <w:rPr>
                <w:sz w:val="18"/>
                <w:szCs w:val="18"/>
                <w:color w:val="auto"/>
              </w:rPr>
            </w:pPr>
          </w:p>
        </w:tc>
        <w:tc>
          <w:tcPr>
            <w:tcW w:w="2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2,150.2</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2,618.5</w:t>
            </w:r>
          </w:p>
        </w:tc>
        <w:tc>
          <w:tcPr>
            <w:tcW w:w="0" w:type="dxa"/>
            <w:vAlign w:val="bottom"/>
          </w:tcPr>
          <w:p>
            <w:pPr>
              <w:spacing w:after="0"/>
              <w:rPr>
                <w:sz w:val="1"/>
                <w:szCs w:val="1"/>
                <w:color w:val="auto"/>
              </w:rPr>
            </w:pPr>
          </w:p>
        </w:tc>
      </w:tr>
      <w:tr>
        <w:trPr>
          <w:trHeight w:val="191"/>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contingent liabilities (Note 8)</w:t>
            </w: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540" w:type="dxa"/>
            <w:vAlign w:val="bottom"/>
          </w:tcPr>
          <w:p>
            <w:pPr>
              <w:ind w:left="240"/>
              <w:spacing w:after="0" w:line="160" w:lineRule="exact"/>
              <w:rPr>
                <w:sz w:val="20"/>
                <w:szCs w:val="20"/>
                <w:color w:val="auto"/>
              </w:rPr>
            </w:pPr>
            <w:r>
              <w:rPr>
                <w:rFonts w:ascii="Times New Roman" w:cs="Times New Roman" w:eastAsia="Times New Roman" w:hAnsi="Times New Roman"/>
                <w:sz w:val="16"/>
                <w:szCs w:val="16"/>
                <w:color w:val="auto"/>
              </w:rPr>
              <w:t>Common stock, 89.7 and 88.8 shares outstanding at September 30, 2024 and December 31, 2023,</w:t>
            </w:r>
          </w:p>
        </w:tc>
        <w:tc>
          <w:tcPr>
            <w:tcW w:w="260" w:type="dxa"/>
            <w:vAlign w:val="bottom"/>
          </w:tcPr>
          <w:p>
            <w:pPr>
              <w:spacing w:after="0"/>
              <w:rPr>
                <w:sz w:val="13"/>
                <w:szCs w:val="13"/>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1"/>
        </w:trPr>
        <w:tc>
          <w:tcPr>
            <w:tcW w:w="65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2,027.3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1,998.0</w:t>
            </w:r>
          </w:p>
        </w:tc>
        <w:tc>
          <w:tcPr>
            <w:tcW w:w="0" w:type="dxa"/>
            <w:vAlign w:val="bottom"/>
          </w:tcPr>
          <w:p>
            <w:pPr>
              <w:spacing w:after="0"/>
              <w:rPr>
                <w:sz w:val="1"/>
                <w:szCs w:val="1"/>
                <w:color w:val="auto"/>
              </w:rPr>
            </w:pPr>
          </w:p>
        </w:tc>
      </w:tr>
      <w:tr>
        <w:trPr>
          <w:trHeight w:val="211"/>
        </w:trPr>
        <w:tc>
          <w:tcPr>
            <w:tcW w:w="6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(178.1)</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0" w:type="dxa"/>
            <w:vAlign w:val="bottom"/>
          </w:tcPr>
          <w:p>
            <w:pPr>
              <w:spacing w:after="0"/>
              <w:rPr>
                <w:sz w:val="1"/>
                <w:szCs w:val="1"/>
                <w:color w:val="auto"/>
              </w:rPr>
            </w:pPr>
          </w:p>
        </w:tc>
      </w:tr>
      <w:tr>
        <w:trPr>
          <w:trHeight w:val="204"/>
        </w:trPr>
        <w:tc>
          <w:tcPr>
            <w:tcW w:w="65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1,714.1</w:t>
            </w:r>
          </w:p>
        </w:tc>
        <w:tc>
          <w:tcPr>
            <w:tcW w:w="0" w:type="dxa"/>
            <w:vAlign w:val="bottom"/>
          </w:tcPr>
          <w:p>
            <w:pPr>
              <w:spacing w:after="0"/>
              <w:rPr>
                <w:sz w:val="1"/>
                <w:szCs w:val="1"/>
                <w:color w:val="auto"/>
              </w:rPr>
            </w:pPr>
          </w:p>
        </w:tc>
      </w:tr>
      <w:tr>
        <w:trPr>
          <w:trHeight w:val="234"/>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3,663.7</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4,332.6</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078" w:right="439" w:bottom="1440" w:gutter="0" w:footer="0" w:header="0"/>
        </w:sectPr>
      </w:pPr>
    </w:p>
    <w:bookmarkStart w:id="4" w:name="page5"/>
    <w:bookmarkEnd w:id="4"/>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2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7"/>
        </w:trPr>
        <w:tc>
          <w:tcPr>
            <w:tcW w:w="47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713.8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2,132.8</w:t>
            </w:r>
          </w:p>
        </w:tc>
      </w:tr>
      <w:tr>
        <w:trPr>
          <w:trHeight w:val="22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3"/>
        </w:trPr>
        <w:tc>
          <w:tcPr>
            <w:tcW w:w="4700" w:type="dxa"/>
            <w:vAlign w:val="bottom"/>
            <w:shd w:val="clear" w:color="auto" w:fill="CCEEFF"/>
          </w:tcPr>
          <w:p>
            <w:pPr>
              <w:ind w:left="240"/>
              <w:spacing w:after="0" w:line="174" w:lineRule="exact"/>
              <w:rPr>
                <w:sz w:val="20"/>
                <w:szCs w:val="20"/>
                <w:color w:val="auto"/>
              </w:rPr>
            </w:pPr>
            <w:r>
              <w:rPr>
                <w:rFonts w:ascii="Times New Roman" w:cs="Times New Roman" w:eastAsia="Times New Roman" w:hAnsi="Times New Roman"/>
                <w:sz w:val="18"/>
                <w:szCs w:val="18"/>
                <w:color w:val="auto"/>
              </w:rPr>
              <w:t>Direct costs, exclusive of depreciation and amortization</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2"/>
        </w:trPr>
        <w:tc>
          <w:tcPr>
            <w:tcW w:w="4700" w:type="dxa"/>
            <w:vAlign w:val="bottom"/>
            <w:shd w:val="clear" w:color="auto" w:fill="CCEEFF"/>
          </w:tcPr>
          <w:p>
            <w:pPr>
              <w:ind w:left="400"/>
              <w:spacing w:after="0" w:line="182" w:lineRule="exact"/>
              <w:rPr>
                <w:sz w:val="20"/>
                <w:szCs w:val="20"/>
                <w:color w:val="auto"/>
              </w:rPr>
            </w:pPr>
            <w:r>
              <w:rPr>
                <w:rFonts w:ascii="Times New Roman" w:cs="Times New Roman" w:eastAsia="Times New Roman" w:hAnsi="Times New Roman"/>
                <w:sz w:val="18"/>
                <w:szCs w:val="18"/>
                <w:color w:val="auto"/>
              </w:rPr>
              <w:t>(including costs incurred from related parties of $48.8</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2"/>
        </w:trPr>
        <w:tc>
          <w:tcPr>
            <w:tcW w:w="47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during the nine months ended September 30, 2023)</w:t>
            </w: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563.8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1,606.1</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1,674.0</w:t>
            </w:r>
          </w:p>
        </w:tc>
      </w:tr>
      <w:tr>
        <w:trPr>
          <w:trHeight w:val="173"/>
        </w:trPr>
        <w:tc>
          <w:tcPr>
            <w:tcW w:w="4700" w:type="dxa"/>
            <w:vAlign w:val="bottom"/>
          </w:tcPr>
          <w:p>
            <w:pPr>
              <w:ind w:left="240"/>
              <w:spacing w:after="0" w:line="174" w:lineRule="exact"/>
              <w:rPr>
                <w:sz w:val="20"/>
                <w:szCs w:val="20"/>
                <w:color w:val="auto"/>
              </w:rPr>
            </w:pPr>
            <w:r>
              <w:rPr>
                <w:rFonts w:ascii="Times New Roman" w:cs="Times New Roman" w:eastAsia="Times New Roman" w:hAnsi="Times New Roman"/>
                <w:sz w:val="18"/>
                <w:szCs w:val="18"/>
                <w:color w:val="auto"/>
              </w:rPr>
              <w:t>Selling, general and administrative expenses, exclusive of</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0"/>
        </w:trPr>
        <w:tc>
          <w:tcPr>
            <w:tcW w:w="47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r>
      <w:tr>
        <w:trPr>
          <w:trHeight w:val="227"/>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27"/>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0"/>
        </w:trPr>
        <w:tc>
          <w:tcPr>
            <w:tcW w:w="4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703.5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2,076.8</w:t>
            </w:r>
          </w:p>
        </w:tc>
      </w:tr>
      <w:tr>
        <w:trPr>
          <w:trHeight w:val="22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0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7"/>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7"/>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 loss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7"/>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7"/>
        </w:trPr>
        <w:tc>
          <w:tcPr>
            <w:tcW w:w="47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7"/>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(loss) from discontinued operations, net of tax</w:t>
            </w: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5"/>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4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6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 from continuing operations</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23"/>
                <w:szCs w:val="23"/>
                <w:color w:val="auto"/>
              </w:rPr>
            </w:pP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3"/>
                <w:szCs w:val="23"/>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3"/>
                <w:szCs w:val="23"/>
                <w:color w:val="auto"/>
              </w:rPr>
            </w:pP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6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 from discontinued operations</w:t>
            </w:r>
          </w:p>
        </w:tc>
        <w:tc>
          <w:tcPr>
            <w:tcW w:w="10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6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22"/>
                <w:szCs w:val="22"/>
                <w:color w:val="auto"/>
              </w:rPr>
            </w:pPr>
          </w:p>
        </w:tc>
        <w:tc>
          <w:tcPr>
            <w:tcW w:w="10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4"/>
        </w:trPr>
        <w:tc>
          <w:tcPr>
            <w:tcW w:w="47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6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from continuing operations</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23"/>
                <w:szCs w:val="23"/>
                <w:color w:val="auto"/>
              </w:rPr>
            </w:pP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Pr>
          <w:p>
            <w:pPr>
              <w:spacing w:after="0"/>
              <w:rPr>
                <w:sz w:val="23"/>
                <w:szCs w:val="23"/>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23"/>
                <w:szCs w:val="23"/>
                <w:color w:val="auto"/>
              </w:rPr>
            </w:pP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6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 from discontinued operations</w:t>
            </w:r>
          </w:p>
        </w:tc>
        <w:tc>
          <w:tcPr>
            <w:tcW w:w="10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6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22"/>
                <w:szCs w:val="22"/>
                <w:color w:val="auto"/>
              </w:rPr>
            </w:pPr>
          </w:p>
        </w:tc>
        <w:tc>
          <w:tcPr>
            <w:tcW w:w="108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COMPREHENSIVE INCOME (LOSS)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
        </w:trPr>
        <w:tc>
          <w:tcPr>
            <w:tcW w:w="4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7"/>
        </w:trPr>
        <w:tc>
          <w:tcPr>
            <w:tcW w:w="47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benefit plan adjustments</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7"/>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53"/>
        </w:trPr>
        <w:tc>
          <w:tcPr>
            <w:tcW w:w="470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Provision (benefit) for income tax related to items of</w:t>
            </w: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40"/>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comprehensive income</w:t>
            </w: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20" w:type="dxa"/>
            <w:vAlign w:val="bottom"/>
            <w:tcBorders>
              <w:bottom w:val="single" w:sz="8" w:color="auto"/>
            </w:tcBorders>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CHANGES IN EQUITY</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20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9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9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6"/>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1,714.1</w:t>
            </w:r>
          </w:p>
        </w:tc>
        <w:tc>
          <w:tcPr>
            <w:tcW w:w="0" w:type="dxa"/>
            <w:vAlign w:val="bottom"/>
          </w:tcPr>
          <w:p>
            <w:pPr>
              <w:spacing w:after="0"/>
              <w:rPr>
                <w:sz w:val="1"/>
                <w:szCs w:val="1"/>
                <w:color w:val="auto"/>
              </w:rPr>
            </w:pPr>
          </w:p>
        </w:tc>
      </w:tr>
      <w:tr>
        <w:trPr>
          <w:trHeight w:val="22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2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29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Net share settlement tax payments from</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47"/>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issuance of stock to employees</w:t>
            </w: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9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2,002.9</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1,591.9</w:t>
            </w: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0" w:type="dxa"/>
            <w:vAlign w:val="bottom"/>
          </w:tcPr>
          <w:p>
            <w:pPr>
              <w:spacing w:after="0"/>
              <w:rPr>
                <w:sz w:val="1"/>
                <w:szCs w:val="1"/>
                <w:color w:val="auto"/>
              </w:rPr>
            </w:pPr>
          </w:p>
        </w:tc>
      </w:tr>
      <w:tr>
        <w:trPr>
          <w:trHeight w:val="22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0" w:type="dxa"/>
            <w:vAlign w:val="bottom"/>
          </w:tcPr>
          <w:p>
            <w:pPr>
              <w:spacing w:after="0"/>
              <w:rPr>
                <w:sz w:val="1"/>
                <w:szCs w:val="1"/>
                <w:color w:val="auto"/>
              </w:rPr>
            </w:pPr>
          </w:p>
        </w:tc>
      </w:tr>
      <w:tr>
        <w:trPr>
          <w:trHeight w:val="22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27"/>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73"/>
        </w:trPr>
        <w:tc>
          <w:tcPr>
            <w:tcW w:w="298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Issuance of common stock under</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7"/>
        </w:trPr>
        <w:tc>
          <w:tcPr>
            <w:tcW w:w="2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plans</w:t>
            </w:r>
          </w:p>
        </w:tc>
        <w:tc>
          <w:tcPr>
            <w:tcW w:w="920" w:type="dxa"/>
            <w:vAlign w:val="bottom"/>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980" w:type="dxa"/>
            <w:vAlign w:val="bottom"/>
            <w:vMerge w:val="continue"/>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9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Net share settlement tax payments from</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47"/>
        </w:trPr>
        <w:tc>
          <w:tcPr>
            <w:tcW w:w="2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issuance of stock to employees</w:t>
            </w: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980" w:type="dxa"/>
            <w:vAlign w:val="bottom"/>
            <w:tcBorders>
              <w:bottom w:val="single" w:sz="8" w:color="CCEEFF"/>
            </w:tcBorders>
            <w:vMerge w:val="continue"/>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FORTREA HOLDINGS INC.</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STATEMENTS OF CHANGES IN EQUITY</w:t>
      </w:r>
    </w:p>
    <w:p>
      <w:pPr>
        <w:spacing w:after="0" w:line="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19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0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9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3000" w:type="dxa"/>
            <w:vAlign w:val="bottom"/>
          </w:tcPr>
          <w:p>
            <w:pPr>
              <w:spacing w:after="0"/>
              <w:rPr>
                <w:sz w:val="12"/>
                <w:szCs w:val="12"/>
                <w:color w:val="auto"/>
              </w:rPr>
            </w:pPr>
          </w:p>
        </w:tc>
        <w:tc>
          <w:tcPr>
            <w:tcW w:w="84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0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90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0" w:type="dxa"/>
            <w:vAlign w:val="bottom"/>
          </w:tcPr>
          <w:p>
            <w:pPr>
              <w:spacing w:after="0"/>
              <w:rPr>
                <w:sz w:val="1"/>
                <w:szCs w:val="1"/>
                <w:color w:val="auto"/>
              </w:rPr>
            </w:pPr>
          </w:p>
        </w:tc>
      </w:tr>
      <w:tr>
        <w:trPr>
          <w:trHeight w:val="22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2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from Former Parent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20"/>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3,402.8</w:t>
            </w:r>
          </w:p>
        </w:tc>
        <w:tc>
          <w:tcPr>
            <w:tcW w:w="0" w:type="dxa"/>
            <w:vAlign w:val="bottom"/>
          </w:tcPr>
          <w:p>
            <w:pPr>
              <w:spacing w:after="0"/>
              <w:rPr>
                <w:sz w:val="1"/>
                <w:szCs w:val="1"/>
                <w:color w:val="auto"/>
              </w:rPr>
            </w:pPr>
          </w:p>
        </w:tc>
      </w:tr>
      <w:tr>
        <w:trPr>
          <w:trHeight w:val="22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2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 payment to Former Parent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0" w:type="dxa"/>
            <w:vAlign w:val="bottom"/>
          </w:tcPr>
          <w:p>
            <w:pPr>
              <w:spacing w:after="0"/>
              <w:rPr>
                <w:sz w:val="1"/>
                <w:szCs w:val="1"/>
                <w:color w:val="auto"/>
              </w:rPr>
            </w:pPr>
          </w:p>
        </w:tc>
      </w:tr>
      <w:tr>
        <w:trPr>
          <w:trHeight w:val="22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transfers to Former Parent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173"/>
        </w:trPr>
        <w:tc>
          <w:tcPr>
            <w:tcW w:w="300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Reclassification of Former Parent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vMerge w:val="restart"/>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7"/>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investment to additional paid-in capital</w:t>
            </w: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300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1,747.8</w:t>
            </w:r>
          </w:p>
        </w:tc>
        <w:tc>
          <w:tcPr>
            <w:tcW w:w="0" w:type="dxa"/>
            <w:vAlign w:val="bottom"/>
          </w:tcPr>
          <w:p>
            <w:pPr>
              <w:spacing w:after="0"/>
              <w:rPr>
                <w:sz w:val="1"/>
                <w:szCs w:val="1"/>
                <w:color w:val="auto"/>
              </w:rPr>
            </w:pPr>
          </w:p>
        </w:tc>
      </w:tr>
      <w:tr>
        <w:trPr>
          <w:trHeight w:val="22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7"/>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27"/>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6"/>
          <w:szCs w:val="16"/>
          <w:b w:val="1"/>
          <w:bCs w:val="1"/>
          <w:color w:val="auto"/>
        </w:rPr>
        <w:t>FORTREA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AND COMBINED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 (unaudited)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30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00" w:type="dxa"/>
            <w:vAlign w:val="bottom"/>
            <w:tcBorders>
              <w:bottom w:val="single" w:sz="8" w:color="auto"/>
            </w:tcBorders>
          </w:tcPr>
          <w:p>
            <w:pPr>
              <w:spacing w:after="0"/>
              <w:rPr>
                <w:sz w:val="18"/>
                <w:szCs w:val="18"/>
                <w:color w:val="auto"/>
              </w:rPr>
            </w:pPr>
          </w:p>
        </w:tc>
      </w:tr>
      <w:tr>
        <w:trPr>
          <w:trHeight w:val="208"/>
        </w:trPr>
        <w:tc>
          <w:tcPr>
            <w:tcW w:w="76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r>
      <w:tr>
        <w:trPr>
          <w:trHeight w:val="19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r>
      <w:tr>
        <w:trPr>
          <w:trHeight w:val="211"/>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114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80" w:type="dxa"/>
            <w:vAlign w:val="bottom"/>
          </w:tcPr>
          <w:p>
            <w:pPr>
              <w:spacing w:after="0"/>
              <w:rPr>
                <w:sz w:val="18"/>
                <w:szCs w:val="18"/>
                <w:color w:val="auto"/>
              </w:rPr>
            </w:pPr>
          </w:p>
        </w:tc>
        <w:tc>
          <w:tcPr>
            <w:tcW w:w="1160" w:type="dxa"/>
            <w:vAlign w:val="bottom"/>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216"/>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1"/>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16"/>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 compensation</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1"/>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Credit loss expense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16"/>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 expense</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211"/>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 impairment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Goodwill and other asset impairments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r>
      <w:tr>
        <w:trPr>
          <w:trHeight w:val="216"/>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sale of business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Write-off of debt issuance costs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net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11"/>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 (Increase) in accounts receivable and unbilled services, net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r>
      <w:tr>
        <w:trPr>
          <w:trHeight w:val="211"/>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(Increase) decrease in prepaid expenses and other</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in accounts payable</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r>
      <w:tr>
        <w:trPr>
          <w:trHeight w:val="211"/>
        </w:trPr>
        <w:tc>
          <w:tcPr>
            <w:tcW w:w="7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Increase (decrease) in deferred revenue</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6"/>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Decrease in accrued expenses and other</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04"/>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19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1"/>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 expenditures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r>
      <w:tr>
        <w:trPr>
          <w:trHeight w:val="216"/>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sale of business, net</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w:t>
            </w:r>
          </w:p>
        </w:tc>
        <w:tc>
          <w:tcPr>
            <w:tcW w:w="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19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5"/>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revolving credit facilities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617.0</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1"/>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on revolving credit facilities</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(617.0)</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6"/>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term loans</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1,061.4</w:t>
            </w:r>
          </w:p>
        </w:tc>
      </w:tr>
      <w:tr>
        <w:trPr>
          <w:trHeight w:val="211"/>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senior notes</w:t>
            </w:r>
          </w:p>
        </w:tc>
        <w:tc>
          <w:tcPr>
            <w:tcW w:w="1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570.0</w:t>
            </w:r>
          </w:p>
        </w:tc>
      </w:tr>
      <w:tr>
        <w:trPr>
          <w:trHeight w:val="216"/>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Debt issuance costs</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11"/>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6"/>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for taxes related to net share settlement of stock awards</w:t>
            </w: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Special payment to Former Parent</w:t>
            </w:r>
          </w:p>
        </w:tc>
        <w:tc>
          <w:tcPr>
            <w:tcW w:w="1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(1,595.0)</w:t>
            </w:r>
          </w:p>
        </w:tc>
      </w:tr>
      <w:tr>
        <w:trPr>
          <w:trHeight w:val="216"/>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transfers to Former Parent</w:t>
            </w:r>
          </w:p>
        </w:tc>
        <w:tc>
          <w:tcPr>
            <w:tcW w:w="1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r>
      <w:tr>
        <w:trPr>
          <w:trHeight w:val="204"/>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14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(496.7)</w:t>
            </w:r>
          </w:p>
        </w:tc>
        <w:tc>
          <w:tcPr>
            <w:tcW w:w="8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w:t>
            </w:r>
          </w:p>
        </w:tc>
      </w:tr>
      <w:tr>
        <w:trPr>
          <w:trHeight w:val="20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4"/>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1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8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r>
      <w:tr>
        <w:trPr>
          <w:trHeight w:val="209"/>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14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9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w:t>
            </w:r>
          </w:p>
        </w:tc>
      </w:tr>
      <w:tr>
        <w:trPr>
          <w:trHeight w:val="20"/>
        </w:trPr>
        <w:tc>
          <w:tcPr>
            <w:tcW w:w="7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cash flows related to discontinued operations have not been segregated and are included in the condensed consolidated and combined statements of cash flows.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084" w:right="359" w:bottom="1440" w:gutter="0" w:footer="0" w:header="0"/>
        </w:sectPr>
      </w:pPr>
    </w:p>
    <w:bookmarkStart w:id="9" w:name="page10"/>
    <w:bookmarkEnd w:id="9"/>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right="6400" w:hanging="313"/>
        <w:spacing w:after="0" w:line="435" w:lineRule="auto"/>
        <w:tabs>
          <w:tab w:leader="none" w:pos="31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FINANCIAL STATEMENT PRESENTATION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40" w:firstLine="320"/>
        <w:spacing w:after="0" w:line="251" w:lineRule="auto"/>
        <w:rPr>
          <w:sz w:val="20"/>
          <w:szCs w:val="20"/>
          <w:color w:val="auto"/>
        </w:rPr>
      </w:pPr>
      <w:r>
        <w:rPr>
          <w:rFonts w:ascii="Times New Roman" w:cs="Times New Roman" w:eastAsia="Times New Roman" w:hAnsi="Times New Roman"/>
          <w:sz w:val="18"/>
          <w:szCs w:val="18"/>
          <w:color w:val="auto"/>
        </w:rPr>
        <w:t>Fortrea Holdings Inc. (“Fortrea” or the “Company”), a Delaware corporation incorporated on January 31, 2023, is a leading global contract research organization (“CRO”) providing biopharmaceutical product and medical device development services to pharmaceutical, biotechnology and medical device customers. The Company offers customers highly flexible delivery models that include Full Service, Functional Service Provider, and Hybrid Service structures. The Company has a rich history of providing clinical development services for over 30 years across more than 20 therapeutic areas, first as Covance and later as Labcorp Drug Development. On June 30, 2023, the Company completed a spin-off (the “Spin” or the “Separation”) from Laboratory Corporation of America Holdings (“Labcorp” or “Former Parent”). The Company leverages its global scale, clinical data insights, scientific expertise, technology innovation, industry network and decades of experience as a standalone company and as a business unit prior to the Spin to deliver tailored solutions to its customers. With what the Company believes is a distinctive market offering, Fortrea meets growing global demand for clinical development services.</w:t>
      </w:r>
    </w:p>
    <w:p>
      <w:pPr>
        <w:spacing w:after="0" w:line="133" w:lineRule="exact"/>
        <w:rPr>
          <w:sz w:val="20"/>
          <w:szCs w:val="20"/>
          <w:color w:val="auto"/>
        </w:rPr>
      </w:pPr>
    </w:p>
    <w:p>
      <w:pPr>
        <w:jc w:val="both"/>
        <w:ind w:right="200" w:firstLine="320"/>
        <w:spacing w:after="0" w:line="262" w:lineRule="auto"/>
        <w:rPr>
          <w:sz w:val="20"/>
          <w:szCs w:val="20"/>
          <w:color w:val="auto"/>
        </w:rPr>
      </w:pPr>
      <w:r>
        <w:rPr>
          <w:rFonts w:ascii="Times New Roman" w:cs="Times New Roman" w:eastAsia="Times New Roman" w:hAnsi="Times New Roman"/>
          <w:sz w:val="18"/>
          <w:szCs w:val="18"/>
          <w:color w:val="auto"/>
        </w:rPr>
        <w:t>The Company manages its business in one reportable segment, Clinical Services, that provides services across the clinical pharmacology and clinical development spectrum. The Company has established access to all key markets worldwide through a strategic footprint of primary office locations in five countries (the United States, the United Kingdom, China, India and Singapore) with field operations in other jurisdictions worldwide.</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w:t>
      </w:r>
    </w:p>
    <w:p>
      <w:pPr>
        <w:spacing w:after="0" w:line="171"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 xml:space="preserve">On March 9, 2024, the Company, together with its wholly-owned subsidiary, Fortrea Inc., entered into an Asset Purchase Agreement (the “Purchase Agreement”) with Endeavor Buyer LLC, an affiliate of Arsenal Capital Partners, to sell the operations of Fortrea Patient Access Inc. and its subsidiaries and Endpoint Clinical, Inc. and its subsidiaries; which are all collectively referred to as the Enabling Services Segment. Refer to </w:t>
      </w:r>
      <w:r>
        <w:rPr>
          <w:rFonts w:ascii="Times New Roman" w:cs="Times New Roman" w:eastAsia="Times New Roman" w:hAnsi="Times New Roman"/>
          <w:sz w:val="18"/>
          <w:szCs w:val="18"/>
          <w:i w:val="1"/>
          <w:iCs w:val="1"/>
          <w:color w:val="auto"/>
        </w:rPr>
        <w:t>Note 2 - Discontinued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for further discussion</w:t>
      </w:r>
      <w:r>
        <w:rPr>
          <w:rFonts w:ascii="Times New Roman" w:cs="Times New Roman" w:eastAsia="Times New Roman" w:hAnsi="Times New Roman"/>
          <w:sz w:val="18"/>
          <w:szCs w:val="18"/>
          <w:i w:val="1"/>
          <w:iCs w:val="1"/>
          <w:color w:val="auto"/>
        </w:rPr>
        <w:t>.</w:t>
      </w:r>
    </w:p>
    <w:p>
      <w:pPr>
        <w:spacing w:after="0" w:line="127" w:lineRule="exact"/>
        <w:rPr>
          <w:sz w:val="20"/>
          <w:szCs w:val="20"/>
          <w:color w:val="auto"/>
        </w:rPr>
      </w:pPr>
    </w:p>
    <w:p>
      <w:pPr>
        <w:ind w:right="120" w:firstLine="320"/>
        <w:spacing w:after="0" w:line="262" w:lineRule="auto"/>
        <w:rPr>
          <w:sz w:val="20"/>
          <w:szCs w:val="20"/>
          <w:color w:val="auto"/>
        </w:rPr>
      </w:pPr>
      <w:r>
        <w:rPr>
          <w:rFonts w:ascii="Times New Roman" w:cs="Times New Roman" w:eastAsia="Times New Roman" w:hAnsi="Times New Roman"/>
          <w:sz w:val="18"/>
          <w:szCs w:val="18"/>
          <w:color w:val="auto"/>
        </w:rPr>
        <w:t>For all periods presented, the Company's consolidated revenues from continuing operations were generated from the Clinical Services segment, which provides phase I-IV clinical trials, including clinical pharmacology and comprehensive clinical development capabilities. The Company’s chief operating decision maker allocates resources and assesses performance for the Clinical Services segment.</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71" w:lineRule="exact"/>
        <w:rPr>
          <w:sz w:val="20"/>
          <w:szCs w:val="20"/>
          <w:color w:val="auto"/>
        </w:rPr>
      </w:pPr>
    </w:p>
    <w:p>
      <w:pPr>
        <w:ind w:firstLine="320"/>
        <w:spacing w:after="0" w:line="273" w:lineRule="auto"/>
        <w:rPr>
          <w:sz w:val="20"/>
          <w:szCs w:val="20"/>
          <w:color w:val="auto"/>
        </w:rPr>
      </w:pPr>
      <w:r>
        <w:rPr>
          <w:rFonts w:ascii="Times New Roman" w:cs="Times New Roman" w:eastAsia="Times New Roman" w:hAnsi="Times New Roman"/>
          <w:sz w:val="17"/>
          <w:szCs w:val="17"/>
          <w:color w:val="auto"/>
        </w:rPr>
        <w:t>In accordance with the definition of discontinued operations, the Company's decision to sell the assets relating to the Enabling Services Segment represented a strategic shift that had a major effect on the Company's results of operations and assets and liabilities for the periods presented. As a result, the Company has classified the assets and liabilities related to the Enabling Services Segment as assets of discontinued operations and liabilities of discontinued operations on the condensed consolidated balance sheet as of December 31, 2023. The operations of the Enabling Services Segment have been classified as income (loss) from discontinued operations on the condensed consolidated and combined statements of operations for all periods presented.</w:t>
      </w:r>
    </w:p>
    <w:p>
      <w:pPr>
        <w:spacing w:after="0" w:line="116" w:lineRule="exact"/>
        <w:rPr>
          <w:sz w:val="20"/>
          <w:szCs w:val="20"/>
          <w:color w:val="auto"/>
        </w:rPr>
      </w:pPr>
    </w:p>
    <w:p>
      <w:pPr>
        <w:ind w:right="500" w:firstLine="320"/>
        <w:spacing w:after="0" w:line="277" w:lineRule="auto"/>
        <w:rPr>
          <w:sz w:val="20"/>
          <w:szCs w:val="20"/>
          <w:color w:val="auto"/>
        </w:rPr>
      </w:pPr>
      <w:r>
        <w:rPr>
          <w:rFonts w:ascii="Times New Roman" w:cs="Times New Roman" w:eastAsia="Times New Roman" w:hAnsi="Times New Roman"/>
          <w:sz w:val="18"/>
          <w:szCs w:val="18"/>
          <w:color w:val="auto"/>
        </w:rPr>
        <w:t>Unless otherwise noted, discussion within these notes to the condensed consolidated and combined financial statements relates to the Company’s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75" w:right="439" w:bottom="1440" w:gutter="0" w:footer="0" w:header="0"/>
        </w:sectPr>
      </w:pPr>
    </w:p>
    <w:bookmarkStart w:id="10" w:name="page11"/>
    <w:bookmarkEnd w:id="10"/>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Labcorp</w:t>
      </w:r>
    </w:p>
    <w:p>
      <w:pPr>
        <w:spacing w:after="0" w:line="171" w:lineRule="exact"/>
        <w:rPr>
          <w:sz w:val="20"/>
          <w:szCs w:val="20"/>
          <w:color w:val="auto"/>
        </w:rPr>
      </w:pPr>
    </w:p>
    <w:p>
      <w:pPr>
        <w:ind w:right="60" w:firstLine="320"/>
        <w:spacing w:after="0" w:line="252" w:lineRule="auto"/>
        <w:rPr>
          <w:sz w:val="20"/>
          <w:szCs w:val="20"/>
          <w:color w:val="auto"/>
        </w:rPr>
      </w:pPr>
      <w:r>
        <w:rPr>
          <w:rFonts w:ascii="Times New Roman" w:cs="Times New Roman" w:eastAsia="Times New Roman" w:hAnsi="Times New Roman"/>
          <w:sz w:val="18"/>
          <w:szCs w:val="18"/>
          <w:color w:val="auto"/>
        </w:rPr>
        <w:t>On June 30, 2023, the Company completed the Spin from Labcorp. The Company has entered into several agreements with Labcorp that govern the relationship of the parties following the Separation, including the Separation and Distribution Agreement, the Tax Matters Agreement, the Employee Matters Agreement, and the Transition Services Agreement with Labcorp, which are described in the Company’s Registration Statement on Form 10, as amended (“Form 10”), as filed with the Securities and Exchange Commission (the “SEC”). Under the terms of the Transition Services Agreement, the Company and Labcorp agreed to provide each other certain transitional services. The services and assets to be provided to Fortrea by Labcorp support the Company’s enterprise functions, most notably IT applications, network and security support and hosting, as well as finance, human resources, marketing and other administrative support.</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Basis of Financial Statement Presentation</w:t>
      </w:r>
    </w:p>
    <w:p>
      <w:pPr>
        <w:spacing w:after="0" w:line="171"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Prior to June 30, 2023, Fortrea existed and functioned as part of the consolidated business of Former Parent. The Company’s financial statements for periods through the Spin reflect the historical financial position, results of operations and cash flows of the Company, for the periods presented, prepared on a “carve-out” basis and have been derived from the condensed consolidated financial statements and accounting records of Labcorp using the historical results of operations and historical basis of assets and liabilities of the Company, and reflect Labcorp’s net investment in the Company. The condensed consolidated financial statements subsequent to June 30, 2023 reflect the results of operations, cash flows, and financial position of Fortrea as a standalone company, whereas all prior periods included consolidated and combined financial statements. The Company’s unaudited condensed consolidated and combined financial statements for all periods presented are referred to throughout this document as “financial statements.”</w:t>
      </w:r>
    </w:p>
    <w:p>
      <w:pPr>
        <w:spacing w:after="0" w:line="133" w:lineRule="exact"/>
        <w:rPr>
          <w:sz w:val="20"/>
          <w:szCs w:val="20"/>
          <w:color w:val="auto"/>
        </w:rPr>
      </w:pPr>
    </w:p>
    <w:p>
      <w:pPr>
        <w:ind w:right="80" w:firstLine="320"/>
        <w:spacing w:after="0" w:line="251" w:lineRule="auto"/>
        <w:rPr>
          <w:sz w:val="20"/>
          <w:szCs w:val="20"/>
          <w:color w:val="auto"/>
        </w:rPr>
      </w:pPr>
      <w:r>
        <w:rPr>
          <w:rFonts w:ascii="Times New Roman" w:cs="Times New Roman" w:eastAsia="Times New Roman" w:hAnsi="Times New Roman"/>
          <w:sz w:val="18"/>
          <w:szCs w:val="18"/>
          <w:color w:val="auto"/>
        </w:rPr>
        <w:t>The Company’s condensed consolidated and combined financial statements have been prepared in conformity with accounting principles generally accepted in the United States of America (“U.S. GAAP”) for interim financial information. Accordingly, they do not include all of the information and notes required by U.S. GAAP for complete financial statements. In the opinion of management, all adjustments necessary for a fair statement of results of operations, cash flows, and financial position have been made. Except as otherwise disclosed, all such adjustments are of a normal recurring nature. Interim results are not necessarily indicative of results for a full year, and additionally, condensed consolidated and combined financial statements do not necessarily reflect what the financial position, results of operations, and cash flows would have been had it operated as a standalone company during the prior periods presented. As such, the information included in this Quarterly Report on Form 10-Q should be read in conjunction with the Company’s audited consolidated financial statements included in the Company’s Annual Report on Form 10-K for the fiscal year ended December 31, 2023.</w:t>
      </w:r>
    </w:p>
    <w:p>
      <w:pPr>
        <w:spacing w:after="0" w:line="136" w:lineRule="exact"/>
        <w:rPr>
          <w:sz w:val="20"/>
          <w:szCs w:val="20"/>
          <w:color w:val="auto"/>
        </w:rPr>
      </w:pPr>
    </w:p>
    <w:p>
      <w:pPr>
        <w:ind w:right="120" w:firstLine="320"/>
        <w:spacing w:after="0" w:line="257" w:lineRule="auto"/>
        <w:rPr>
          <w:sz w:val="20"/>
          <w:szCs w:val="20"/>
          <w:color w:val="auto"/>
        </w:rPr>
      </w:pPr>
      <w:r>
        <w:rPr>
          <w:rFonts w:ascii="Times New Roman" w:cs="Times New Roman" w:eastAsia="Times New Roman" w:hAnsi="Times New Roman"/>
          <w:sz w:val="18"/>
          <w:szCs w:val="18"/>
          <w:color w:val="auto"/>
        </w:rPr>
        <w:t>The condensed consolidated and combined statements of operations include all revenues and costs directly attributable to Fortrea’s business. The combined statements of operations for prior periods also include costs for certain centralized functions and programs provided and administered by Labcorp that were allocated to Fortrea. These centralized functions and programs include, but are not limited to legal, tax, treasury, risk management, sales expenses, information technology, human resources, finance, supply chain, executive leadership and stock-based compensation.</w:t>
      </w:r>
    </w:p>
    <w:p>
      <w:pPr>
        <w:spacing w:after="0" w:line="127" w:lineRule="exact"/>
        <w:rPr>
          <w:sz w:val="20"/>
          <w:szCs w:val="20"/>
          <w:color w:val="auto"/>
        </w:rPr>
      </w:pPr>
    </w:p>
    <w:p>
      <w:pPr>
        <w:ind w:right="20" w:firstLine="320"/>
        <w:spacing w:after="0" w:line="252" w:lineRule="auto"/>
        <w:rPr>
          <w:sz w:val="20"/>
          <w:szCs w:val="20"/>
          <w:color w:val="auto"/>
        </w:rPr>
      </w:pPr>
      <w:r>
        <w:rPr>
          <w:rFonts w:ascii="Times New Roman" w:cs="Times New Roman" w:eastAsia="Times New Roman" w:hAnsi="Times New Roman"/>
          <w:sz w:val="18"/>
          <w:szCs w:val="18"/>
          <w:color w:val="auto"/>
        </w:rPr>
        <w:t>These expenses were allocated to Fortrea based on direct usage when identifiable or, when not directly identifiable, on the basis of proportional net revenues or headcount or another reasonable driver, as applicable. Fortrea considers the basis on which the expenses have been allocated to reasonably reflect the utilization of services provided to, or the benefit received by, Fortrea during the prior periods presented. However, the allocations may not reflect the expenses Fortrea would have incurred as an independent company for the prior periods presented and may not be representative of future expenses that may be incurred. Actual costs that may have been incurred if Fortrea had been a standalone company would depend on a number of factors, including, but not limited to, the organizational structure, whether functions were outsourced or performed by employees, and strategic decisions made in areas such as information technology and infrastructure. For a period following the Spin some of these functions are provided by Labcorp.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 w:name="page12"/>
    <w:bookmarkEnd w:id="11"/>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41" w:lineRule="exact"/>
        <w:rPr>
          <w:sz w:val="20"/>
          <w:szCs w:val="20"/>
          <w:color w:val="auto"/>
        </w:rPr>
      </w:pPr>
    </w:p>
    <w:p>
      <w:pPr>
        <w:jc w:val="both"/>
        <w:ind w:right="300" w:firstLine="320"/>
        <w:spacing w:after="0" w:line="284" w:lineRule="auto"/>
        <w:rPr>
          <w:sz w:val="20"/>
          <w:szCs w:val="20"/>
          <w:color w:val="auto"/>
        </w:rPr>
      </w:pPr>
      <w:r>
        <w:rPr>
          <w:rFonts w:ascii="Times New Roman" w:cs="Times New Roman" w:eastAsia="Times New Roman" w:hAnsi="Times New Roman"/>
          <w:sz w:val="17"/>
          <w:szCs w:val="17"/>
          <w:color w:val="auto"/>
        </w:rPr>
        <w:t>As of December 31, 2022, a Former Parent investment is shown in lieu of common stock and retained earnings accounts in the condensed combined financial statements. The total net effect of the settlement of the transactions between the Company and Labcorp, exclusive of those historically settled in cash, is reflected in the condensed combined statements of cash flows in cash flows from financing activities as net transfers (to) from Former Parent.</w:t>
      </w:r>
    </w:p>
    <w:p>
      <w:pPr>
        <w:spacing w:after="0" w:line="107" w:lineRule="exact"/>
        <w:rPr>
          <w:sz w:val="20"/>
          <w:szCs w:val="20"/>
          <w:color w:val="auto"/>
        </w:rPr>
      </w:pPr>
    </w:p>
    <w:p>
      <w:pPr>
        <w:jc w:val="both"/>
        <w:ind w:right="60" w:firstLine="320"/>
        <w:spacing w:after="0" w:line="262" w:lineRule="auto"/>
        <w:rPr>
          <w:sz w:val="20"/>
          <w:szCs w:val="20"/>
          <w:color w:val="auto"/>
        </w:rPr>
      </w:pPr>
      <w:r>
        <w:rPr>
          <w:rFonts w:ascii="Times New Roman" w:cs="Times New Roman" w:eastAsia="Times New Roman" w:hAnsi="Times New Roman"/>
          <w:sz w:val="18"/>
          <w:szCs w:val="18"/>
          <w:color w:val="auto"/>
        </w:rPr>
        <w:t xml:space="preserve">All intercompany transactions within the Company have been eliminated. All transactions between the Company and Former Parent have been included in these condensed consolidated and combined financial statements. The Former Parent investment and all due from or due to Former Parent were settled at the time of the Spin. Refer to </w:t>
      </w:r>
      <w:r>
        <w:rPr>
          <w:rFonts w:ascii="Times New Roman" w:cs="Times New Roman" w:eastAsia="Times New Roman" w:hAnsi="Times New Roman"/>
          <w:sz w:val="18"/>
          <w:szCs w:val="18"/>
          <w:i w:val="1"/>
          <w:iCs w:val="1"/>
          <w:color w:val="auto"/>
        </w:rPr>
        <w:t>Note 12 - Transactions with Former Parent</w:t>
      </w:r>
      <w:r>
        <w:rPr>
          <w:rFonts w:ascii="Times New Roman" w:cs="Times New Roman" w:eastAsia="Times New Roman" w:hAnsi="Times New Roman"/>
          <w:sz w:val="18"/>
          <w:szCs w:val="18"/>
          <w:color w:val="auto"/>
        </w:rPr>
        <w:t xml:space="preserve"> for further information.</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1" w:lineRule="exact"/>
        <w:rPr>
          <w:sz w:val="20"/>
          <w:szCs w:val="20"/>
          <w:color w:val="auto"/>
        </w:rPr>
      </w:pPr>
    </w:p>
    <w:p>
      <w:pPr>
        <w:ind w:right="460" w:firstLine="320"/>
        <w:spacing w:after="0" w:line="277"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accounts receivable and unbilled services.</w:t>
      </w:r>
    </w:p>
    <w:p>
      <w:pPr>
        <w:spacing w:after="0" w:line="109" w:lineRule="exact"/>
        <w:rPr>
          <w:sz w:val="20"/>
          <w:szCs w:val="20"/>
          <w:color w:val="auto"/>
        </w:rPr>
      </w:pPr>
    </w:p>
    <w:p>
      <w:pPr>
        <w:ind w:right="200" w:firstLine="320"/>
        <w:spacing w:after="0" w:line="262"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These financial institutions are generally highly rated and geographically dispersed. The Company evaluates the relative credit standing of these financial institutions and has not sustained credit losses from instruments held at financial institutions.</w:t>
      </w:r>
    </w:p>
    <w:p>
      <w:pPr>
        <w:spacing w:after="0" w:line="123"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Substantially all the Company’s accounts receivable and unbilled services are with companies in the pharmaceutical, biotechnology and medical device industries. As of September 30, 2024, one customer accounted for 15.6% of the Company's combined gross accounts receivable and unbilled services. As of December 31, 2023, two pharmaceutical companies accounted for approximately 17.0% and 11.2% of the Company's combined gross accounts receivable and unbilled services. Additionally, for the three months ended September 30, 2024, one customer accounted for approximately 15.1% of revenues, and for the nine months ended September 30, 2024, two customers accounted for approximately 14.2% and 10.4% of revenues. For the three months ended September 30, 2023, two customer accounted for 14.6% and 11.4% of revenues, and for the nine months ended September 30, 2023, two customer accounted for 11.1% and 10.6% of revenues. Concentrations of credit risk are mitigated due to the number of the Company’s customers as well as their dispersion across many different geographic regions. Additionally, the Company applies assumptions and judgments, including historical collection experience and reasonable and supportable forecasts, for assessing collectability and determining allowances for doubtful accounts.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previously reported amounts have been reclassified to conform to the current year presentation.</w:t>
      </w:r>
    </w:p>
    <w:p>
      <w:pPr>
        <w:spacing w:after="0" w:line="167" w:lineRule="exact"/>
        <w:rPr>
          <w:sz w:val="20"/>
          <w:szCs w:val="20"/>
          <w:color w:val="auto"/>
        </w:rPr>
      </w:pPr>
    </w:p>
    <w:p>
      <w:pPr>
        <w:ind w:right="60" w:firstLine="320"/>
        <w:spacing w:after="0" w:line="251" w:lineRule="auto"/>
        <w:rPr>
          <w:sz w:val="20"/>
          <w:szCs w:val="20"/>
          <w:color w:val="auto"/>
        </w:rPr>
      </w:pPr>
      <w:r>
        <w:rPr>
          <w:rFonts w:ascii="Times New Roman" w:cs="Times New Roman" w:eastAsia="Times New Roman" w:hAnsi="Times New Roman"/>
          <w:sz w:val="18"/>
          <w:szCs w:val="18"/>
          <w:color w:val="auto"/>
        </w:rPr>
        <w:t>During the quarter ended March 31, 2024, a change in basis of presentation, to include information technology costs and certain facility costs in Selling, general and administrative expenses was made to improve comparability of costs against peer companies in the clinical research industry. As a result, the Company reclassified $39.0 and $117.3 from Direct costs, exclusive of depreciation and amortization, to Selling, general and administrative expenses, exclusive of depreciation and amortization in the condensed consolidated and combined statement of operations for the three and nine months ended September 30, 2023, respectively, relating to information technology costs and certain facility charges. There is no impact on total operating expenses, operating income or net income during the period ended September 30, 2023. Direct costs include payroll and related benefits for project-related employees, pass through costs, facility costs related to phase I clinics and other direct costs from the Transition Services Agreement with Labcorp. Selling, general and administrative expenses consist primarily of administrative payroll and related benefit charges, information technology costs, other facility charges, advertising and promotional expenses, administrative travel and credit loss provisions.</w:t>
      </w:r>
    </w:p>
    <w:p>
      <w:pPr>
        <w:spacing w:after="0" w:line="133" w:lineRule="exact"/>
        <w:rPr>
          <w:sz w:val="20"/>
          <w:szCs w:val="20"/>
          <w:color w:val="auto"/>
        </w:rPr>
      </w:pPr>
    </w:p>
    <w:p>
      <w:pPr>
        <w:ind w:right="60" w:firstLine="320"/>
        <w:spacing w:after="0" w:line="277" w:lineRule="auto"/>
        <w:rPr>
          <w:sz w:val="20"/>
          <w:szCs w:val="20"/>
          <w:color w:val="auto"/>
        </w:rPr>
      </w:pPr>
      <w:r>
        <w:rPr>
          <w:rFonts w:ascii="Times New Roman" w:cs="Times New Roman" w:eastAsia="Times New Roman" w:hAnsi="Times New Roman"/>
          <w:sz w:val="18"/>
          <w:szCs w:val="18"/>
          <w:color w:val="auto"/>
        </w:rPr>
        <w:t>Additionally, the Company reclassified $0.1 from Other, net to Interest expense in the condensed consolidated and combined statement of operations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2" w:name="page13"/>
    <w:bookmarkEnd w:id="12"/>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Prior Period Financial Statements</w:t>
      </w:r>
    </w:p>
    <w:p>
      <w:pPr>
        <w:spacing w:after="0" w:line="171"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In connection with the preparation of the Company’s financial statements for the quarter ended March 31, 2024, the Company identified errors impacting previously reported financial information, including to periods prior to the June 30, 2023 Spin. The errors consisted primarily of a goodwill impairment charge as a result of an incorrect carrying value used in the Company’s impairment calculation, a reduction in revenue due to the misstatement in the amount of the ultimate resolution of a customer matter, an understatement of expense accruals allocated from Former Parent prior to spin, and an understatement of depreciation expense associated with certain projects that were not depreciated in a timely manner.</w:t>
      </w:r>
    </w:p>
    <w:p>
      <w:pPr>
        <w:spacing w:after="0" w:line="119" w:lineRule="exact"/>
        <w:rPr>
          <w:sz w:val="20"/>
          <w:szCs w:val="20"/>
          <w:color w:val="auto"/>
        </w:rPr>
      </w:pPr>
    </w:p>
    <w:p>
      <w:pPr>
        <w:ind w:right="20" w:firstLine="320"/>
        <w:spacing w:after="0" w:line="237" w:lineRule="auto"/>
        <w:rPr>
          <w:sz w:val="20"/>
          <w:szCs w:val="20"/>
          <w:color w:val="auto"/>
        </w:rPr>
      </w:pPr>
      <w:r>
        <w:rPr>
          <w:rFonts w:ascii="Times New Roman" w:cs="Times New Roman" w:eastAsia="Times New Roman" w:hAnsi="Times New Roman"/>
          <w:sz w:val="18"/>
          <w:szCs w:val="18"/>
          <w:color w:val="auto"/>
        </w:rPr>
        <w:t xml:space="preserve">Management assessed the materiality of the errors, including the presentation of prior period consolidated financial statements, on a qualitative and quantitative basis in accordance with </w:t>
      </w:r>
      <w:r>
        <w:rPr>
          <w:rFonts w:ascii="Times New Roman" w:cs="Times New Roman" w:eastAsia="Times New Roman" w:hAnsi="Times New Roman"/>
          <w:sz w:val="18"/>
          <w:szCs w:val="18"/>
          <w:i w:val="1"/>
          <w:iCs w:val="1"/>
          <w:color w:val="auto"/>
        </w:rPr>
        <w:t>SEC Staff Accounting Bulletin No. 99, Materiality</w:t>
      </w:r>
      <w:r>
        <w:rPr>
          <w:rFonts w:ascii="Times New Roman" w:cs="Times New Roman" w:eastAsia="Times New Roman" w:hAnsi="Times New Roman"/>
          <w:sz w:val="18"/>
          <w:szCs w:val="18"/>
          <w:color w:val="auto"/>
        </w:rPr>
        <w:t xml:space="preserve">, codified in </w:t>
      </w:r>
      <w:r>
        <w:rPr>
          <w:rFonts w:ascii="Times New Roman" w:cs="Times New Roman" w:eastAsia="Times New Roman" w:hAnsi="Times New Roman"/>
          <w:sz w:val="18"/>
          <w:szCs w:val="18"/>
          <w:i w:val="1"/>
          <w:iCs w:val="1"/>
          <w:color w:val="auto"/>
        </w:rPr>
        <w:t>Accounting Standards Codification</w:t>
      </w:r>
      <w:r>
        <w:rPr>
          <w:rFonts w:ascii="Times New Roman" w:cs="Times New Roman" w:eastAsia="Times New Roman" w:hAnsi="Times New Roman"/>
          <w:sz w:val="18"/>
          <w:szCs w:val="18"/>
          <w:color w:val="auto"/>
        </w:rPr>
        <w:t xml:space="preserve"> (“ASC”) </w:t>
      </w:r>
      <w:r>
        <w:rPr>
          <w:rFonts w:ascii="Times New Roman" w:cs="Times New Roman" w:eastAsia="Times New Roman" w:hAnsi="Times New Roman"/>
          <w:sz w:val="18"/>
          <w:szCs w:val="18"/>
          <w:i w:val="1"/>
          <w:iCs w:val="1"/>
          <w:color w:val="auto"/>
        </w:rPr>
        <w:t>Topic 250,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Changes and Error Corrections</w:t>
      </w:r>
      <w:r>
        <w:rPr>
          <w:rFonts w:ascii="Times New Roman" w:cs="Times New Roman" w:eastAsia="Times New Roman" w:hAnsi="Times New Roman"/>
          <w:sz w:val="18"/>
          <w:szCs w:val="18"/>
          <w:color w:val="auto"/>
        </w:rPr>
        <w:t>. Based on this assessment, the Company concluded that these errors and the related impacts did not result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misstatement of the previously issued consolidated and combined financial statements as of and for the fiscal years ended December 31, 2022 and 2023, and the previously issued unaudited condensed consolidated and combined interim financial statements for the quarters ended March 31, June 30, and September 30, 2023. However, correcting the cumulative effect of these errors in the first quarter of 2024 would have had a significant effect on the results of operations for that period.</w:t>
      </w:r>
    </w:p>
    <w:p>
      <w:pPr>
        <w:spacing w:after="0" w:line="117" w:lineRule="exact"/>
        <w:rPr>
          <w:sz w:val="20"/>
          <w:szCs w:val="20"/>
          <w:color w:val="auto"/>
        </w:rPr>
      </w:pPr>
    </w:p>
    <w:p>
      <w:pPr>
        <w:ind w:right="300" w:firstLine="320"/>
        <w:spacing w:after="0" w:line="261" w:lineRule="auto"/>
        <w:rPr>
          <w:sz w:val="20"/>
          <w:szCs w:val="20"/>
          <w:color w:val="auto"/>
        </w:rPr>
      </w:pPr>
      <w:r>
        <w:rPr>
          <w:rFonts w:ascii="Times New Roman" w:cs="Times New Roman" w:eastAsia="Times New Roman" w:hAnsi="Times New Roman"/>
          <w:sz w:val="18"/>
          <w:szCs w:val="18"/>
          <w:color w:val="auto"/>
        </w:rPr>
        <w:t>Therefore, the relevant prior periods’ financial statements and related footnotes, for these and other immaterial errors for comparative purposes, have been corrected. Previously reported financial information for such immaterial errors will continue to be corrected in future filings, as applicable.</w:t>
      </w:r>
    </w:p>
    <w:p>
      <w:pPr>
        <w:spacing w:after="0" w:line="108" w:lineRule="exact"/>
        <w:rPr>
          <w:sz w:val="20"/>
          <w:szCs w:val="20"/>
          <w:color w:val="auto"/>
        </w:rPr>
      </w:pPr>
    </w:p>
    <w:p>
      <w:pPr>
        <w:ind w:right="240" w:firstLine="320"/>
        <w:spacing w:after="0" w:line="263" w:lineRule="auto"/>
        <w:rPr>
          <w:sz w:val="20"/>
          <w:szCs w:val="20"/>
          <w:color w:val="auto"/>
        </w:rPr>
      </w:pPr>
      <w:r>
        <w:rPr>
          <w:rFonts w:ascii="Times New Roman" w:cs="Times New Roman" w:eastAsia="Times New Roman" w:hAnsi="Times New Roman"/>
          <w:sz w:val="18"/>
          <w:szCs w:val="18"/>
          <w:color w:val="auto"/>
        </w:rPr>
        <w:t xml:space="preserve">A summary of the corrections to the impacted financial statement line items from the previously issued financial statements are presented in </w:t>
      </w:r>
      <w:r>
        <w:rPr>
          <w:rFonts w:ascii="Times New Roman" w:cs="Times New Roman" w:eastAsia="Times New Roman" w:hAnsi="Times New Roman"/>
          <w:sz w:val="18"/>
          <w:szCs w:val="18"/>
          <w:i w:val="1"/>
          <w:iCs w:val="1"/>
          <w:color w:val="auto"/>
        </w:rPr>
        <w:t>Note 14 -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Immaterial Financial Restatement and Reclassifications to Prior Period Financial Statements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Standards</w:t>
      </w:r>
    </w:p>
    <w:p>
      <w:pPr>
        <w:spacing w:after="0" w:line="171"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to improve reportable segment disclosure requirements. The new guidance requires disclosure of significant segment expenses that are regularly provided to the chief operating decision maker and included in the reported measure of segment profit or loss. It does not change the definition of a segment or the guidance for determining reportable segments. The new guidance will be effective for the Company in the annual period beginning January 1, 2024 and in 2025 for interim periods. The Company does not expect the adoption of this standard to have a material impact on its results of operations, financial position or cash flows.</w:t>
      </w:r>
    </w:p>
    <w:p>
      <w:pPr>
        <w:spacing w:after="0" w:line="132"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In December 2023, the FASB issued guidance to require qualitative and quantitative updates to the rate reconciliation and income taxes paid disclosures, among others, in order to enhance the transparency of income tax disclosures, including consistent categories and greater disaggregation of information in the rate reconciliation and disaggregation by jurisdiction of income taxes paid. This guidance is effective for fiscal years beginning after December 15, 2024, with early adoption permitted. The amendments should be applied prospectively; however, retrospective application is also permitted. The Company is currently evaluating the impact this guidance will have on its financial statement disclosures.</w:t>
      </w:r>
    </w:p>
    <w:p>
      <w:pPr>
        <w:spacing w:after="0" w:line="368" w:lineRule="exact"/>
        <w:rPr>
          <w:sz w:val="20"/>
          <w:szCs w:val="20"/>
          <w:color w:val="auto"/>
        </w:rPr>
      </w:pPr>
    </w:p>
    <w:p>
      <w:pPr>
        <w:ind w:left="360" w:hanging="353"/>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171" w:lineRule="exact"/>
        <w:rPr>
          <w:sz w:val="20"/>
          <w:szCs w:val="20"/>
          <w:color w:val="auto"/>
        </w:rPr>
      </w:pPr>
    </w:p>
    <w:p>
      <w:pPr>
        <w:ind w:right="200" w:firstLine="320"/>
        <w:spacing w:after="0" w:line="253" w:lineRule="auto"/>
        <w:rPr>
          <w:sz w:val="20"/>
          <w:szCs w:val="20"/>
          <w:color w:val="auto"/>
        </w:rPr>
      </w:pPr>
      <w:r>
        <w:rPr>
          <w:rFonts w:ascii="Times New Roman" w:cs="Times New Roman" w:eastAsia="Times New Roman" w:hAnsi="Times New Roman"/>
          <w:sz w:val="18"/>
          <w:szCs w:val="18"/>
          <w:color w:val="auto"/>
        </w:rPr>
        <w:t>On March 9, 2024, the Company entered into the Purchase Agreement with Endeavor Buyer LLC, an affiliate of Arsenal Capital Partners, pursuant to which Fortrea Inc. agreed to sell, and to cause its affiliates to sell, net assets relating to its Enabling Services Segment (the “Transaction”), specifically its Patient Access and Endpoint businesses, including the sale of equity interests of Fortrea Patient Access Inc. and its subsidiaries and Endpoint Clinical, Inc. and its subsidiaries. The final adjusted purchase price for the Transaction was $340.0, subject to customary purchase price adjustments, with $295.0 paid at closing and $45.0 to be paid upon achievement of certain transition-related milestones. The Transaction closed during the second quarter of 2024 with estimated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3" w:name="page14"/>
    <w:bookmarkEnd w:id="13"/>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41" w:lineRule="exact"/>
        <w:rPr>
          <w:sz w:val="20"/>
          <w:szCs w:val="20"/>
          <w:color w:val="auto"/>
        </w:rPr>
      </w:pPr>
    </w:p>
    <w:p>
      <w:pPr>
        <w:ind w:right="2020"/>
        <w:spacing w:after="0" w:line="433" w:lineRule="auto"/>
        <w:rPr>
          <w:sz w:val="20"/>
          <w:szCs w:val="20"/>
          <w:color w:val="auto"/>
        </w:rPr>
      </w:pPr>
      <w:r>
        <w:rPr>
          <w:rFonts w:ascii="Times New Roman" w:cs="Times New Roman" w:eastAsia="Times New Roman" w:hAnsi="Times New Roman"/>
          <w:sz w:val="18"/>
          <w:szCs w:val="18"/>
          <w:color w:val="auto"/>
        </w:rPr>
        <w:t xml:space="preserve">$281.6 and resulting in a loss on disposal of $23.2, subject to further adjustment based on customary purchase price adjustments. </w:t>
      </w:r>
      <w:r>
        <w:rPr>
          <w:rFonts w:ascii="Times New Roman" w:cs="Times New Roman" w:eastAsia="Times New Roman" w:hAnsi="Times New Roman"/>
          <w:sz w:val="18"/>
          <w:szCs w:val="18"/>
          <w:b w:val="1"/>
          <w:bCs w:val="1"/>
          <w:i w:val="1"/>
          <w:iCs w:val="1"/>
          <w:color w:val="auto"/>
        </w:rPr>
        <w:t>Financial Information of Discontinued Operations</w:t>
      </w:r>
    </w:p>
    <w:p>
      <w:pPr>
        <w:ind w:right="160"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significant line items included in earnings (loss) from discontinued operations, net of income tax in the condensed consolidated and combined statements of operations for the three and nine months ended September 30, 2024 and 2023:</w:t>
      </w:r>
    </w:p>
    <w:p>
      <w:pPr>
        <w:sectPr>
          <w:pgSz w:w="11900" w:h="16838" w:orient="portrait"/>
          <w:cols w:equalWidth="0" w:num="1">
            <w:col w:w="11200"/>
          </w:cols>
          <w:pgMar w:left="320" w:top="17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tabs>
          <w:tab w:leader="none" w:pos="3620" w:val="left"/>
        </w:tabs>
        <w:rPr>
          <w:sz w:val="20"/>
          <w:szCs w:val="20"/>
          <w:color w:val="auto"/>
        </w:rPr>
      </w:pPr>
      <w:r>
        <w:rPr>
          <w:rFonts w:ascii="Times New Roman" w:cs="Times New Roman" w:eastAsia="Times New Roman" w:hAnsi="Times New Roman"/>
          <w:sz w:val="16"/>
          <w:szCs w:val="16"/>
          <w:color w:val="auto"/>
        </w:rPr>
        <w:t>Revenues</w:t>
      </w:r>
      <w:r>
        <w:rPr>
          <w:sz w:val="20"/>
          <w:szCs w:val="20"/>
          <w:color w:val="auto"/>
        </w:rPr>
        <w:tab/>
      </w:r>
      <w:r>
        <w:rPr>
          <w:rFonts w:ascii="Times New Roman" w:cs="Times New Roman" w:eastAsia="Times New Roman" w:hAnsi="Times New Roman"/>
          <w:sz w:val="16"/>
          <w:szCs w:val="16"/>
          <w:color w:val="auto"/>
        </w:rPr>
        <w:t>$</w:t>
      </w:r>
    </w:p>
    <w:p>
      <w:pPr>
        <w:spacing w:after="0" w:line="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20" w:lineRule="exact"/>
        <w:rPr>
          <w:sz w:val="20"/>
          <w:szCs w:val="20"/>
          <w:color w:val="auto"/>
        </w:rPr>
      </w:pPr>
    </w:p>
    <w:p>
      <w:pPr>
        <w:ind w:left="340" w:right="360"/>
        <w:spacing w:after="0" w:line="232" w:lineRule="auto"/>
        <w:rPr>
          <w:sz w:val="20"/>
          <w:szCs w:val="20"/>
          <w:color w:val="auto"/>
        </w:rPr>
      </w:pPr>
      <w:r>
        <w:rPr>
          <w:rFonts w:ascii="Times New Roman" w:cs="Times New Roman" w:eastAsia="Times New Roman" w:hAnsi="Times New Roman"/>
          <w:sz w:val="18"/>
          <w:szCs w:val="18"/>
          <w:color w:val="auto"/>
        </w:rPr>
        <w:t>Direct costs, exclusive of depreciation and amortization</w:t>
      </w:r>
    </w:p>
    <w:p>
      <w:pPr>
        <w:spacing w:after="0" w:line="8" w:lineRule="exact"/>
        <w:rPr>
          <w:sz w:val="20"/>
          <w:szCs w:val="20"/>
          <w:color w:val="auto"/>
        </w:rPr>
      </w:pPr>
    </w:p>
    <w:p>
      <w:pPr>
        <w:ind w:left="340" w:right="160"/>
        <w:spacing w:after="0" w:line="253" w:lineRule="auto"/>
        <w:rPr>
          <w:sz w:val="20"/>
          <w:szCs w:val="20"/>
          <w:color w:val="auto"/>
        </w:rPr>
      </w:pPr>
      <w:r>
        <w:rPr>
          <w:rFonts w:ascii="Times New Roman" w:cs="Times New Roman" w:eastAsia="Times New Roman" w:hAnsi="Times New Roman"/>
          <w:sz w:val="17"/>
          <w:szCs w:val="17"/>
          <w:color w:val="auto"/>
        </w:rPr>
        <w:t>Selling, general and administrative expenses, exclusive of depreciation and amortization</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Long-lived and goodwill asset impairments</w:t>
      </w:r>
    </w:p>
    <w:p>
      <w:pPr>
        <w:spacing w:after="0" w:line="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Restructuring and other charges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4"/>
        </w:trPr>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2"/>
        </w:trPr>
        <w:tc>
          <w:tcPr>
            <w:tcW w:w="1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17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0"/>
                <w:szCs w:val="20"/>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tcPr>
          <w:p>
            <w:pPr>
              <w:spacing w:after="0"/>
              <w:rPr>
                <w:sz w:val="20"/>
                <w:szCs w:val="20"/>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542"/>
        </w:trPr>
        <w:tc>
          <w:tcPr>
            <w:tcW w:w="1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r>
      <w:tr>
        <w:trPr>
          <w:trHeight w:val="414"/>
        </w:trPr>
        <w:tc>
          <w:tcPr>
            <w:tcW w:w="1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315"/>
        </w:trPr>
        <w:tc>
          <w:tcPr>
            <w:tcW w:w="1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7"/>
        </w:trPr>
        <w:tc>
          <w:tcPr>
            <w:tcW w:w="1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-2395220</wp:posOffset>
            </wp:positionH>
            <wp:positionV relativeFrom="paragraph">
              <wp:posOffset>-956945</wp:posOffset>
            </wp:positionV>
            <wp:extent cx="6854190" cy="262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4190" cy="262890"/>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-431165</wp:posOffset>
            </wp:positionV>
            <wp:extent cx="6854190" cy="144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4190" cy="14414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-143510</wp:posOffset>
            </wp:positionV>
            <wp:extent cx="6854190" cy="144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4190" cy="144145"/>
                    </a:xfrm>
                    <a:prstGeom prst="rect">
                      <a:avLst/>
                    </a:prstGeom>
                    <a:noFill/>
                  </pic:spPr>
                </pic:pic>
              </a:graphicData>
            </a:graphic>
          </wp:anchor>
        </w:drawing>
        <w:drawing>
          <wp:anchor simplePos="0" relativeHeight="251657728" behindDoc="1" locked="0" layoutInCell="0" allowOverlap="1">
            <wp:simplePos x="0" y="0"/>
            <wp:positionH relativeFrom="column">
              <wp:posOffset>-2395220</wp:posOffset>
            </wp:positionH>
            <wp:positionV relativeFrom="paragraph">
              <wp:posOffset>-1261745</wp:posOffset>
            </wp:positionV>
            <wp:extent cx="6854190" cy="161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4190" cy="161290"/>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-1423035</wp:posOffset>
            </wp:positionV>
            <wp:extent cx="23641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64105" cy="17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720" w:space="380"/>
            <w:col w:w="7100"/>
          </w:cols>
          <w:pgMar w:left="320" w:top="175" w:right="379" w:bottom="1440" w:gutter="0" w:footer="0" w:header="0"/>
          <w:type w:val="continuous"/>
        </w:sectPr>
      </w:pPr>
    </w:p>
    <w:tbl>
      <w:tblPr>
        <w:tblLayout w:type="fixed"/>
        <w:tblInd w:w="320" w:type="dxa"/>
        <w:tblCellMar>
          <w:top w:w="0" w:type="dxa"/>
          <w:left w:w="0" w:type="dxa"/>
          <w:bottom w:w="0" w:type="dxa"/>
          <w:right w:w="0" w:type="dxa"/>
        </w:tblCellMar>
      </w:tblPr>
      <w:tr>
        <w:trPr>
          <w:trHeight w:val="220"/>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2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0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7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7"/>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a business</w:t>
            </w:r>
          </w:p>
        </w:tc>
        <w:tc>
          <w:tcPr>
            <w:tcW w:w="7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53"/>
        </w:trPr>
        <w:tc>
          <w:tcPr>
            <w:tcW w:w="330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Income (loss) from discontinued operations</w:t>
            </w:r>
          </w:p>
        </w:tc>
        <w:tc>
          <w:tcPr>
            <w:tcW w:w="760" w:type="dxa"/>
            <w:vAlign w:val="bottom"/>
          </w:tcPr>
          <w:p>
            <w:pPr>
              <w:spacing w:after="0"/>
              <w:rPr>
                <w:sz w:val="13"/>
                <w:szCs w:val="13"/>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147"/>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before income taxes</w:t>
            </w:r>
          </w:p>
        </w:tc>
        <w:tc>
          <w:tcPr>
            <w:tcW w:w="7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33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7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53"/>
        </w:trPr>
        <w:tc>
          <w:tcPr>
            <w:tcW w:w="330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Income (loss) from discontinued operations,</w:t>
            </w:r>
          </w:p>
        </w:tc>
        <w:tc>
          <w:tcPr>
            <w:tcW w:w="760" w:type="dxa"/>
            <w:vAlign w:val="bottom"/>
            <w:vMerge w:val="restart"/>
          </w:tcPr>
          <w:p>
            <w:pPr>
              <w:jc w:val="right"/>
              <w:ind w:right="57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3"/>
                <w:szCs w:val="13"/>
                <w:color w:val="auto"/>
              </w:rPr>
            </w:pPr>
          </w:p>
        </w:tc>
        <w:tc>
          <w:tcPr>
            <w:tcW w:w="760" w:type="dxa"/>
            <w:vAlign w:val="bottom"/>
            <w:vMerge w:val="restart"/>
          </w:tcPr>
          <w:p>
            <w:pPr>
              <w:jc w:val="right"/>
              <w:ind w:right="57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3"/>
                <w:szCs w:val="13"/>
                <w:color w:val="auto"/>
              </w:rPr>
            </w:pPr>
          </w:p>
        </w:tc>
        <w:tc>
          <w:tcPr>
            <w:tcW w:w="720" w:type="dxa"/>
            <w:vAlign w:val="bottom"/>
            <w:vMerge w:val="restart"/>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3"/>
                <w:szCs w:val="13"/>
                <w:color w:val="auto"/>
              </w:rPr>
            </w:pPr>
          </w:p>
        </w:tc>
        <w:tc>
          <w:tcPr>
            <w:tcW w:w="720" w:type="dxa"/>
            <w:vAlign w:val="bottom"/>
            <w:vMerge w:val="restart"/>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7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75" w:right="37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340"/>
        <w:spacing w:after="0" w:line="235" w:lineRule="auto"/>
        <w:rPr>
          <w:sz w:val="20"/>
          <w:szCs w:val="20"/>
          <w:color w:val="auto"/>
        </w:rPr>
      </w:pPr>
      <w:r>
        <w:rPr>
          <w:rFonts w:ascii="Times New Roman" w:cs="Times New Roman" w:eastAsia="Times New Roman" w:hAnsi="Times New Roman"/>
          <w:sz w:val="18"/>
          <w:szCs w:val="18"/>
          <w:color w:val="auto"/>
        </w:rPr>
        <w:t>Gain (loss) from operations of discontinued component</w:t>
      </w:r>
    </w:p>
    <w:p>
      <w:pPr>
        <w:spacing w:after="0" w:line="8" w:lineRule="exact"/>
        <w:rPr>
          <w:sz w:val="20"/>
          <w:szCs w:val="20"/>
          <w:color w:val="auto"/>
        </w:rPr>
      </w:pPr>
    </w:p>
    <w:p>
      <w:pPr>
        <w:ind w:left="340"/>
        <w:spacing w:after="0" w:line="340" w:lineRule="auto"/>
        <w:rPr>
          <w:sz w:val="20"/>
          <w:szCs w:val="20"/>
          <w:color w:val="auto"/>
        </w:rPr>
      </w:pPr>
      <w:r>
        <w:rPr>
          <w:rFonts w:ascii="Times New Roman" w:cs="Times New Roman" w:eastAsia="Times New Roman" w:hAnsi="Times New Roman"/>
          <w:sz w:val="17"/>
          <w:szCs w:val="17"/>
          <w:color w:val="auto"/>
        </w:rPr>
        <w:t>Loss on disposal of discontinued operations Gain (loss) on discontinued operations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4"/>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4"/>
        </w:trPr>
        <w:tc>
          <w:tcPr>
            <w:tcW w:w="12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08"/>
        </w:trPr>
        <w:tc>
          <w:tcPr>
            <w:tcW w:w="1240" w:type="dxa"/>
            <w:vAlign w:val="bottom"/>
          </w:tcPr>
          <w:p>
            <w:pPr>
              <w:jc w:val="right"/>
              <w:ind w:right="105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4"/>
                <w:szCs w:val="24"/>
                <w:color w:val="auto"/>
              </w:rPr>
            </w:pPr>
          </w:p>
        </w:tc>
        <w:tc>
          <w:tcPr>
            <w:tcW w:w="140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24"/>
                <w:szCs w:val="24"/>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20"/>
        </w:trPr>
        <w:tc>
          <w:tcPr>
            <w:tcW w:w="1240" w:type="dxa"/>
            <w:vAlign w:val="bottom"/>
          </w:tcPr>
          <w:p>
            <w:pPr>
              <w:spacing w:after="0"/>
              <w:rPr>
                <w:sz w:val="24"/>
                <w:szCs w:val="24"/>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1240" w:type="dxa"/>
            <w:vAlign w:val="bottom"/>
            <w:tcBorders>
              <w:top w:val="single" w:sz="8" w:color="auto"/>
              <w:bottom w:val="single" w:sz="8" w:color="auto"/>
            </w:tcBorders>
          </w:tcPr>
          <w:p>
            <w:pPr>
              <w:jc w:val="right"/>
              <w:ind w:right="1051"/>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21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-592455</wp:posOffset>
            </wp:positionV>
            <wp:extent cx="6854190" cy="262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4190" cy="262890"/>
                    </a:xfrm>
                    <a:prstGeom prst="rect">
                      <a:avLst/>
                    </a:prstGeom>
                    <a:noFill/>
                  </pic:spPr>
                </pic:pic>
              </a:graphicData>
            </a:graphic>
          </wp:anchor>
        </w:drawing>
        <w:drawing>
          <wp:anchor simplePos="0" relativeHeight="251657728" behindDoc="1" locked="0" layoutInCell="0" allowOverlap="1">
            <wp:simplePos x="0" y="0"/>
            <wp:positionH relativeFrom="column">
              <wp:posOffset>-2128520</wp:posOffset>
            </wp:positionH>
            <wp:positionV relativeFrom="paragraph">
              <wp:posOffset>-186055</wp:posOffset>
            </wp:positionV>
            <wp:extent cx="6854190" cy="169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4190" cy="169545"/>
                    </a:xfrm>
                    <a:prstGeom prst="rect">
                      <a:avLst/>
                    </a:prstGeom>
                    <a:noFill/>
                  </pic:spPr>
                </pic:pic>
              </a:graphicData>
            </a:graphic>
          </wp:anchor>
        </w:drawing>
      </w:r>
    </w:p>
    <w:p>
      <w:pPr>
        <w:spacing w:after="0" w:line="221" w:lineRule="exact"/>
        <w:rPr>
          <w:sz w:val="20"/>
          <w:szCs w:val="20"/>
          <w:color w:val="auto"/>
        </w:rPr>
      </w:pPr>
    </w:p>
    <w:p>
      <w:pPr>
        <w:sectPr>
          <w:pgSz w:w="11900" w:h="16838" w:orient="portrait"/>
          <w:cols w:equalWidth="0" w:num="2">
            <w:col w:w="3460" w:space="220"/>
            <w:col w:w="7520"/>
          </w:cols>
          <w:pgMar w:left="320" w:top="175" w:right="379" w:bottom="1440" w:gutter="0" w:footer="0" w:header="0"/>
          <w:type w:val="continuous"/>
        </w:sect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In the first quarter of 2024, as a result of the negotiated sale price of the Patient Access and Endpoint businesses, the Company evaluated the Enabling Services Segment for impairment and determined that it was more likely than not that the carrying value of the assets exceeded its fair value. Accordingly, an impairment analysis was performed, which resulted in a goodwill impairment charge of $24.0.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type w:val="continuous"/>
        </w:sectPr>
      </w:pPr>
    </w:p>
    <w:bookmarkStart w:id="14" w:name="page15"/>
    <w:bookmarkEnd w:id="14"/>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carrying value of the significant classes of assets and liabilities classified as discontinued operations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15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7"/>
        </w:trPr>
        <w:tc>
          <w:tcPr>
            <w:tcW w:w="90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3"/>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and unbilled services, net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7"/>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7"/>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27"/>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0" w:type="dxa"/>
            <w:vAlign w:val="bottom"/>
          </w:tcPr>
          <w:p>
            <w:pPr>
              <w:spacing w:after="0"/>
              <w:rPr>
                <w:sz w:val="1"/>
                <w:szCs w:val="1"/>
                <w:color w:val="auto"/>
              </w:rPr>
            </w:pPr>
          </w:p>
        </w:tc>
      </w:tr>
      <w:tr>
        <w:trPr>
          <w:trHeight w:val="227"/>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7"/>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45"/>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9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7"/>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7"/>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27"/>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0"/>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7"/>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27"/>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5"/>
        </w:trPr>
        <w:tc>
          <w:tcPr>
            <w:tcW w:w="9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condensed consolidated and combined statements of cash flows. The following table summarizes depreciation and amortization, capital expenditures and the significant cash flow and noncash items from discontinued operations for the nine months ended September 30, 2024 and 2023:</w:t>
      </w:r>
    </w:p>
    <w:p>
      <w:pPr>
        <w:spacing w:after="0" w:line="159" w:lineRule="exact"/>
        <w:rPr>
          <w:sz w:val="20"/>
          <w:szCs w:val="20"/>
          <w:color w:val="auto"/>
        </w:rPr>
      </w:pPr>
    </w:p>
    <w:tbl>
      <w:tblPr>
        <w:tblLayout w:type="fixed"/>
        <w:tblInd w:w="320" w:type="dxa"/>
        <w:tblCellMar>
          <w:top w:w="0" w:type="dxa"/>
          <w:left w:w="0" w:type="dxa"/>
          <w:bottom w:w="0" w:type="dxa"/>
          <w:right w:w="0" w:type="dxa"/>
        </w:tblCellMar>
      </w:tblPr>
      <w:tr>
        <w:trPr>
          <w:trHeight w:val="243"/>
        </w:trPr>
        <w:tc>
          <w:tcPr>
            <w:tcW w:w="7060" w:type="dxa"/>
            <w:vAlign w:val="bottom"/>
          </w:tcPr>
          <w:p>
            <w:pPr>
              <w:spacing w:after="0"/>
              <w:rPr>
                <w:sz w:val="21"/>
                <w:szCs w:val="21"/>
                <w:color w:val="auto"/>
              </w:rPr>
            </w:pPr>
          </w:p>
        </w:tc>
        <w:tc>
          <w:tcPr>
            <w:tcW w:w="326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480" w:type="dxa"/>
            <w:vAlign w:val="bottom"/>
            <w:tcBorders>
              <w:bottom w:val="single" w:sz="8" w:color="auto"/>
            </w:tcBorders>
          </w:tcPr>
          <w:p>
            <w:pPr>
              <w:spacing w:after="0"/>
              <w:rPr>
                <w:sz w:val="21"/>
                <w:szCs w:val="21"/>
                <w:color w:val="auto"/>
              </w:rPr>
            </w:pPr>
          </w:p>
        </w:tc>
      </w:tr>
      <w:tr>
        <w:trPr>
          <w:trHeight w:val="234"/>
        </w:trPr>
        <w:tc>
          <w:tcPr>
            <w:tcW w:w="706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CEEFF"/>
          </w:tcPr>
          <w:p>
            <w:pPr>
              <w:jc w:val="right"/>
              <w:ind w:right="1051"/>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3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bl>
    <w:p>
      <w:pPr>
        <w:spacing w:after="0" w:line="216" w:lineRule="exact"/>
        <w:rPr>
          <w:sz w:val="20"/>
          <w:szCs w:val="20"/>
          <w:color w:val="auto"/>
        </w:rPr>
      </w:pPr>
    </w:p>
    <w:p>
      <w:pPr>
        <w:ind w:right="320" w:firstLine="320"/>
        <w:spacing w:after="0" w:line="277" w:lineRule="auto"/>
        <w:rPr>
          <w:sz w:val="20"/>
          <w:szCs w:val="20"/>
          <w:color w:val="auto"/>
        </w:rPr>
      </w:pPr>
      <w:r>
        <w:rPr>
          <w:rFonts w:ascii="Times New Roman" w:cs="Times New Roman" w:eastAsia="Times New Roman" w:hAnsi="Times New Roman"/>
          <w:sz w:val="18"/>
          <w:szCs w:val="18"/>
          <w:color w:val="auto"/>
        </w:rPr>
        <w:t>There are no significant operating or investing noncash items related to discontinued operations for the nine months ended September 30,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75" w:right="459" w:bottom="1440" w:gutter="0" w:footer="0" w:header="0"/>
        </w:sectPr>
      </w:pPr>
    </w:p>
    <w:bookmarkStart w:id="15" w:name="page16"/>
    <w:bookmarkEnd w:id="15"/>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ind w:left="320" w:hanging="313"/>
        <w:spacing w:after="0"/>
        <w:tabs>
          <w:tab w:leader="none" w:pos="3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70"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revenues by geography for the three and nine months ended September 30, 2024 and 2023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70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20" w:type="dxa"/>
            <w:vAlign w:val="bottom"/>
            <w:gridSpan w:val="17"/>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820" w:type="dxa"/>
            <w:vAlign w:val="bottom"/>
          </w:tcPr>
          <w:p>
            <w:pPr>
              <w:spacing w:after="0"/>
              <w:rPr>
                <w:sz w:val="16"/>
                <w:szCs w:val="16"/>
                <w:color w:val="auto"/>
              </w:rPr>
            </w:pPr>
          </w:p>
        </w:tc>
      </w:tr>
      <w:tr>
        <w:trPr>
          <w:trHeight w:val="25"/>
        </w:trPr>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7"/>
        </w:trPr>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1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6"/>
                <w:szCs w:val="16"/>
                <w:color w:val="auto"/>
              </w:rPr>
            </w:pPr>
          </w:p>
        </w:tc>
        <w:tc>
          <w:tcPr>
            <w:tcW w:w="82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7"/>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w:t>
            </w:r>
          </w:p>
        </w:tc>
      </w:tr>
      <w:tr>
        <w:trPr>
          <w:trHeight w:val="456"/>
        </w:trPr>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60" w:type="dxa"/>
            <w:vAlign w:val="bottom"/>
            <w:gridSpan w:val="14"/>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4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5"/>
        </w:trPr>
        <w:tc>
          <w:tcPr>
            <w:tcW w:w="2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4"/>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gridSpan w:val="5"/>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7"/>
        </w:trPr>
        <w:tc>
          <w:tcPr>
            <w:tcW w:w="20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1160" w:type="dxa"/>
            <w:vAlign w:val="bottom"/>
            <w:tcBorders>
              <w:top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7"/>
        </w:trPr>
        <w:tc>
          <w:tcPr>
            <w:tcW w:w="2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tcBorders>
              <w:top w:val="single" w:sz="8" w:color="auto"/>
            </w:tcBorders>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1,999.4</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1,073.6</w:t>
            </w:r>
          </w:p>
        </w:tc>
        <w:tc>
          <w:tcPr>
            <w:tcW w:w="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2,132.8</w:t>
            </w:r>
          </w:p>
        </w:tc>
      </w:tr>
      <w:tr>
        <w:trPr>
          <w:trHeight w:val="454"/>
        </w:trPr>
        <w:tc>
          <w:tcPr>
            <w:tcW w:w="6600" w:type="dxa"/>
            <w:vAlign w:val="bottom"/>
            <w:gridSpan w:val="22"/>
          </w:tcPr>
          <w:p>
            <w:pPr>
              <w:ind w:left="320"/>
              <w:spacing w:after="0"/>
              <w:rPr>
                <w:sz w:val="20"/>
                <w:szCs w:val="20"/>
                <w:color w:val="auto"/>
              </w:rPr>
            </w:pPr>
            <w:r>
              <w:rPr>
                <w:rFonts w:ascii="Times New Roman" w:cs="Times New Roman" w:eastAsia="Times New Roman" w:hAnsi="Times New Roman"/>
                <w:sz w:val="18"/>
                <w:szCs w:val="18"/>
                <w:color w:val="auto"/>
              </w:rPr>
              <w:t>Revenue from the United States comprises substantially all revenue in North America.</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4"/>
        </w:trPr>
        <w:tc>
          <w:tcPr>
            <w:tcW w:w="20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4"/>
        </w:trPr>
        <w:tc>
          <w:tcPr>
            <w:tcW w:w="5520" w:type="dxa"/>
            <w:vAlign w:val="bottom"/>
            <w:gridSpan w:val="18"/>
          </w:tcPr>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 balances: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2"/>
        </w:trPr>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700" w:type="dxa"/>
            <w:vAlign w:val="bottom"/>
            <w:gridSpan w:val="6"/>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20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0"/>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commission assets</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7"/>
        </w:trPr>
        <w:tc>
          <w:tcPr>
            <w:tcW w:w="2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contract costs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5"/>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Amortization related to sales commission assets for the three months ended September 30, 2024 and 2023 was $2.9 and $2.0, respectively, and for the nine months ended September 30, 2024 and 2023 was $8.5 and $9.4, respectively. Amortization related to deferred contract costs for the three months ended September 30, 2024 and 2023 was $0.6 and $0.5, respectively, and for the nine months ended September 30, 2024 and 2023 was $1.5 and $1.6, respectively. The Company applies the practical expedient to not recognize the effect of financing in its contracts with customers when the difference in timing of payment and performance is one year or less.</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Unbilled Services and Unearned Revenue</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unbilled services and unearned revenue from contracts with customers: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5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420.2</w:t>
            </w:r>
          </w:p>
        </w:tc>
      </w:tr>
      <w:tr>
        <w:trPr>
          <w:trHeight w:val="22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services</w:t>
            </w:r>
          </w:p>
        </w:tc>
        <w:tc>
          <w:tcPr>
            <w:tcW w:w="180" w:type="dxa"/>
            <w:vAlign w:val="bottom"/>
          </w:tcPr>
          <w:p>
            <w:pPr>
              <w:spacing w:after="0"/>
              <w:rPr>
                <w:sz w:val="19"/>
                <w:szCs w:val="19"/>
                <w:color w:val="auto"/>
              </w:rPr>
            </w:pPr>
          </w:p>
        </w:tc>
        <w:tc>
          <w:tcPr>
            <w:tcW w:w="15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569.9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600.0</w:t>
            </w:r>
          </w:p>
        </w:tc>
      </w:tr>
      <w:tr>
        <w:trPr>
          <w:trHeight w:val="227"/>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(31.7)</w:t>
            </w:r>
          </w:p>
        </w:tc>
      </w:tr>
      <w:tr>
        <w:trPr>
          <w:trHeight w:val="22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689.1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988.5</w:t>
            </w: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4"/>
        </w:trPr>
        <w:tc>
          <w:tcPr>
            <w:tcW w:w="7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3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214.2</w:t>
            </w:r>
          </w:p>
        </w:tc>
      </w:tr>
    </w:tbl>
    <w:p>
      <w:pPr>
        <w:spacing w:after="0" w:line="230" w:lineRule="exact"/>
        <w:rPr>
          <w:sz w:val="20"/>
          <w:szCs w:val="20"/>
          <w:color w:val="auto"/>
        </w:rPr>
      </w:pPr>
    </w:p>
    <w:p>
      <w:pPr>
        <w:jc w:val="both"/>
        <w:ind w:right="220" w:firstLine="320"/>
        <w:spacing w:after="0" w:line="262" w:lineRule="auto"/>
        <w:rPr>
          <w:sz w:val="20"/>
          <w:szCs w:val="20"/>
          <w:color w:val="auto"/>
        </w:rPr>
      </w:pPr>
      <w:r>
        <w:rPr>
          <w:rFonts w:ascii="Times New Roman" w:cs="Times New Roman" w:eastAsia="Times New Roman" w:hAnsi="Times New Roman"/>
          <w:sz w:val="18"/>
          <w:szCs w:val="18"/>
          <w:color w:val="auto"/>
        </w:rPr>
        <w:t xml:space="preserve">Revenue recognized during the period that was included in the unearned revenue balance at the beginning of the period was $147.6 and $162.6 for the nine months ended September 30, 2024 and 2023, respectively. Additionally, as of the quarter ended September 30, 2024, the Company had sold $300.0 of receivables as described in the </w:t>
      </w:r>
      <w:r>
        <w:rPr>
          <w:rFonts w:ascii="Times New Roman" w:cs="Times New Roman" w:eastAsia="Times New Roman" w:hAnsi="Times New Roman"/>
          <w:sz w:val="18"/>
          <w:szCs w:val="18"/>
          <w:i w:val="1"/>
          <w:iCs w:val="1"/>
          <w:color w:val="auto"/>
        </w:rPr>
        <w:t>Receivables Securitization Program</w:t>
      </w:r>
      <w:r>
        <w:rPr>
          <w:rFonts w:ascii="Times New Roman" w:cs="Times New Roman" w:eastAsia="Times New Roman" w:hAnsi="Times New Roman"/>
          <w:sz w:val="18"/>
          <w:szCs w:val="18"/>
          <w:color w:val="auto"/>
        </w:rPr>
        <w:t xml:space="preserve">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6" w:name="page17"/>
    <w:bookmarkEnd w:id="16"/>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Loss Rollforward</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estimates future expected losses on accounts receivable and unbilled services over the remaining collection period of the instrument.</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rollforward for the allowance for credit losses for the nine months ended September 30, 2024 is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Accounts Receivable</w:t>
            </w:r>
          </w:p>
        </w:tc>
      </w:tr>
      <w:tr>
        <w:trPr>
          <w:trHeight w:val="25"/>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December, 2023</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7"/>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2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7"/>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27"/>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impact</w:t>
            </w: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5"/>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as of September 30, 2024</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Under Long-Term Contracts</w:t>
      </w:r>
    </w:p>
    <w:p>
      <w:pPr>
        <w:spacing w:after="0" w:line="171"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As of September 30, 2024, approximately $4,491 of revenues are expected to be recognized from remaining long-term performance obligations. The Company expects to recognize approximately 27% of the existing performance obligations as of September 30, 2024 as revenue over the next 12 months and the remaining balance thereafter. The Company’s long-term contracts generally range from one to eight years.</w:t>
      </w:r>
    </w:p>
    <w:p>
      <w:pPr>
        <w:spacing w:after="0" w:line="123"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there were reductions of approximately $6 and $58, respectively, in revenue related to performance obligations partially satisfied in previous periods. For the three months ended September 30, 2024, the majority of the change was associated with changes in estimated effort to complete customer contract obligations and a smaller portion related to changes in scope or price. For the three months ended September 30, 2024, the change in estimate resulted in an estimated reduction to revenue of $4, and an increase in loss from continuing operations of $2 and in loss per share of $0.02. For the nine months ended September 30, 2024, the change in estimate resulted in an estimated reduction to revenue of $25, and an increase in loss from continuing operations of $25 and in loss per share of $0.28.</w:t>
      </w:r>
    </w:p>
    <w:p>
      <w:pPr>
        <w:spacing w:after="0" w:line="132"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there were reductions of approximately $16 and $48, respectively, in revenue related to performance obligations partially satisfied in previous periods. For the three months ended September 30, 2023, the majority of the change was associated with changes in scope and price and a smaller portion related to changes in estimated effort to complete customer contract obligations. For the three months ended September 30, 2023, the change in estimate resulted in an estimated reduction to revenue of $5, and an increase in loss from continuing operations of $4 and in loss per share of $0.05. For the nine months ended September 30, 2023, the change in estimate resulted in an estimated reduction to revenue of $21, and a decrease in income from continuing operations of $14 and in income per share of $0.16.</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Purchase Program</w:t>
      </w:r>
    </w:p>
    <w:p>
      <w:pPr>
        <w:spacing w:after="0" w:line="171" w:lineRule="exact"/>
        <w:rPr>
          <w:sz w:val="20"/>
          <w:szCs w:val="20"/>
          <w:color w:val="auto"/>
        </w:rPr>
      </w:pPr>
    </w:p>
    <w:p>
      <w:pPr>
        <w:ind w:right="120" w:firstLine="320"/>
        <w:spacing w:after="0" w:line="257" w:lineRule="auto"/>
        <w:rPr>
          <w:sz w:val="20"/>
          <w:szCs w:val="20"/>
          <w:color w:val="auto"/>
        </w:rPr>
      </w:pPr>
      <w:r>
        <w:rPr>
          <w:rFonts w:ascii="Times New Roman" w:cs="Times New Roman" w:eastAsia="Times New Roman" w:hAnsi="Times New Roman"/>
          <w:sz w:val="18"/>
          <w:szCs w:val="18"/>
          <w:color w:val="auto"/>
        </w:rPr>
        <w:t>On June 23, 2023, Fortrea entered into an accounts receivable purchase program (“ARPP”) with a financial institution (the “Financial Institution”). The ARPP established a receivables factoring facility whereby the Company could sell up to $80.0 in customer receivables based on the availability of certain eligible receivables and the satisfaction of certain conditions. Under the facility, the Company could sell eligible receivables and retain no interest in the transferred receivables other than collection and administrative functions for the Financial Institution.</w:t>
      </w:r>
    </w:p>
    <w:p>
      <w:pPr>
        <w:spacing w:after="0" w:line="127"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The Company accounted for these receivable transfers as sales and derecognized the sold receivables from its balance sheets. The fair value of the sold receivables approximated their book value due to their short-term nature. The Company continued to service, administer and collect the receivables on behalf of the Financial Institution and did not receive a servicing fee as part of the arrangement. On June 28, 2023, $17.5 of receivables were sold with net proceeds of $17.3. The ARPP was terminated in May 2024, and there were no receivables outstanding as of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7" w:name="page18"/>
    <w:bookmarkEnd w:id="17"/>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Receivables Securitization Program</w:t>
      </w:r>
    </w:p>
    <w:p>
      <w:pPr>
        <w:spacing w:after="0" w:line="171" w:lineRule="exact"/>
        <w:rPr>
          <w:sz w:val="20"/>
          <w:szCs w:val="20"/>
          <w:color w:val="auto"/>
        </w:rPr>
      </w:pPr>
    </w:p>
    <w:p>
      <w:pPr>
        <w:ind w:firstLine="320"/>
        <w:spacing w:after="0" w:line="253" w:lineRule="auto"/>
        <w:rPr>
          <w:sz w:val="20"/>
          <w:szCs w:val="20"/>
          <w:color w:val="auto"/>
        </w:rPr>
      </w:pPr>
      <w:r>
        <w:rPr>
          <w:rFonts w:ascii="Times New Roman" w:cs="Times New Roman" w:eastAsia="Times New Roman" w:hAnsi="Times New Roman"/>
          <w:sz w:val="18"/>
          <w:szCs w:val="18"/>
          <w:color w:val="auto"/>
        </w:rPr>
        <w:t>On May 6, 2024, the Company entered into a three-year $300.0 accounts receivable securitization program (the “Receivables Facility”). Under this program, Fortrea Inc. conveys receivable balances to a wholly-owned, bankruptcy-remote special purpose entity (“SPE”), who in turn, may sell receivables to a third-party financial institution in exchange for cash. The facility is without recourse to the Company or any subsidiaries of the Company, other than with respect to limited indemnity obligations of Fortrea Inc., in respect to the character of the receivables sold and as to the performance of its duties as servicer and a limited performance guaranty by the Company. All unsold accounts receivables held by the SPE are pledged as collateral to secure the collectability of the sold receivables. The Receivables Facility is scheduled to terminate on May 6, 2027, unless terminated earlier pursuant to its terms.</w:t>
      </w:r>
    </w:p>
    <w:p>
      <w:pPr>
        <w:spacing w:after="0" w:line="132" w:lineRule="exact"/>
        <w:rPr>
          <w:sz w:val="20"/>
          <w:szCs w:val="20"/>
          <w:color w:val="auto"/>
        </w:rPr>
      </w:pPr>
    </w:p>
    <w:p>
      <w:pPr>
        <w:ind w:right="20" w:firstLine="320"/>
        <w:spacing w:after="0" w:line="253" w:lineRule="auto"/>
        <w:rPr>
          <w:sz w:val="20"/>
          <w:szCs w:val="20"/>
          <w:color w:val="auto"/>
        </w:rPr>
      </w:pPr>
      <w:r>
        <w:rPr>
          <w:rFonts w:ascii="Times New Roman" w:cs="Times New Roman" w:eastAsia="Times New Roman" w:hAnsi="Times New Roman"/>
          <w:sz w:val="18"/>
          <w:szCs w:val="18"/>
          <w:color w:val="auto"/>
        </w:rPr>
        <w:t xml:space="preserve">As of September 30, 2024, the Company had sold $300.0 of receivables, which were derecognized from the Company’s consolidated balance sheet, with net proceeds of $297.9, as described in the </w:t>
      </w:r>
      <w:r>
        <w:rPr>
          <w:rFonts w:ascii="Times New Roman" w:cs="Times New Roman" w:eastAsia="Times New Roman" w:hAnsi="Times New Roman"/>
          <w:sz w:val="18"/>
          <w:szCs w:val="18"/>
          <w:i w:val="1"/>
          <w:iCs w:val="1"/>
          <w:color w:val="auto"/>
        </w:rPr>
        <w:t>Accounts Receivable, Unbilled Services and Unearned Revenue</w:t>
      </w:r>
      <w:r>
        <w:rPr>
          <w:rFonts w:ascii="Times New Roman" w:cs="Times New Roman" w:eastAsia="Times New Roman" w:hAnsi="Times New Roman"/>
          <w:sz w:val="18"/>
          <w:szCs w:val="18"/>
          <w:color w:val="auto"/>
        </w:rPr>
        <w:t xml:space="preserve"> section above. Total costs associated with the sale were $5.3 and $7.4 for the three and nine months ended September 30, 2024, respectively, and are included within Selling, general and administrative costs, exclusive of depreciation and amortization in the condensed consolidated and combined statement of operations for the three and nine months ended September 30, 2024. Continuous cash activity related to the Receivables Facility is reflected in cash from operating activities in the consolidated statement of cash flows.</w:t>
      </w:r>
    </w:p>
    <w:p>
      <w:pPr>
        <w:spacing w:after="0" w:line="12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RESTRUCTURING AND OTHER CHARGES</w:t>
      </w:r>
    </w:p>
    <w:p>
      <w:pPr>
        <w:spacing w:after="0" w:line="171" w:lineRule="exact"/>
        <w:rPr>
          <w:sz w:val="20"/>
          <w:szCs w:val="20"/>
          <w:color w:val="auto"/>
        </w:rPr>
      </w:pPr>
    </w:p>
    <w:p>
      <w:pPr>
        <w:ind w:right="100" w:firstLine="320"/>
        <w:spacing w:after="0" w:line="262" w:lineRule="auto"/>
        <w:rPr>
          <w:sz w:val="20"/>
          <w:szCs w:val="20"/>
          <w:color w:val="auto"/>
        </w:rPr>
      </w:pPr>
      <w:r>
        <w:rPr>
          <w:rFonts w:ascii="Times New Roman" w:cs="Times New Roman" w:eastAsia="Times New Roman" w:hAnsi="Times New Roman"/>
          <w:sz w:val="18"/>
          <w:szCs w:val="18"/>
          <w:color w:val="auto"/>
        </w:rPr>
        <w:t>During 2023, the Company took actions to reduce overcapacity, align resources, and restructure certain operations. These actions included eliminating redundant positions and aligning resources and facilities for cost improvements and to meet customer requirements. These restructuring actions are expected to continue throughout 2024.</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represents the Company’s restructuring accrual activities for the periods indicated:</w:t>
      </w:r>
    </w:p>
    <w:p>
      <w:pPr>
        <w:spacing w:after="0" w:line="18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Severance and Other</w:t>
            </w:r>
          </w:p>
        </w:tc>
        <w:tc>
          <w:tcPr>
            <w:tcW w:w="320" w:type="dxa"/>
            <w:vAlign w:val="bottom"/>
          </w:tcPr>
          <w:p>
            <w:pPr>
              <w:spacing w:after="0"/>
              <w:rPr>
                <w:sz w:val="13"/>
                <w:szCs w:val="13"/>
                <w:color w:val="auto"/>
              </w:rPr>
            </w:pPr>
          </w:p>
        </w:tc>
        <w:tc>
          <w:tcPr>
            <w:tcW w:w="1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Facility Costs</w:t>
            </w:r>
          </w:p>
        </w:tc>
        <w:tc>
          <w:tcPr>
            <w:tcW w:w="460" w:type="dxa"/>
            <w:vAlign w:val="bottom"/>
          </w:tcPr>
          <w:p>
            <w:pPr>
              <w:spacing w:after="0"/>
              <w:rPr>
                <w:sz w:val="13"/>
                <w:szCs w:val="13"/>
                <w:color w:val="auto"/>
              </w:rPr>
            </w:pPr>
          </w:p>
        </w:tc>
        <w:tc>
          <w:tcPr>
            <w:tcW w:w="1460" w:type="dxa"/>
            <w:vAlign w:val="bottom"/>
            <w:vMerge w:val="restart"/>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 Costs</w:t>
            </w:r>
          </w:p>
        </w:tc>
        <w:tc>
          <w:tcPr>
            <w:tcW w:w="3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center"/>
              <w:ind w:left="1134"/>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center"/>
              <w:ind w:left="1134"/>
              <w:spacing w:after="0"/>
              <w:rPr>
                <w:sz w:val="20"/>
                <w:szCs w:val="20"/>
                <w:color w:val="auto"/>
              </w:rPr>
            </w:pPr>
            <w:r>
              <w:rPr>
                <w:rFonts w:ascii="Times New Roman" w:cs="Times New Roman" w:eastAsia="Times New Roman" w:hAnsi="Times New Roman"/>
                <w:sz w:val="18"/>
                <w:szCs w:val="18"/>
                <w:color w:val="auto"/>
                <w:w w:val="97"/>
              </w:rPr>
              <w:t>0.7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prior restructuring accruals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0" w:type="dxa"/>
            <w:vAlign w:val="bottom"/>
            <w:shd w:val="clear" w:color="auto" w:fill="CCEEFF"/>
          </w:tcPr>
          <w:p>
            <w:pPr>
              <w:jc w:val="center"/>
              <w:ind w:left="1134"/>
              <w:spacing w:after="0"/>
              <w:rPr>
                <w:sz w:val="20"/>
                <w:szCs w:val="20"/>
                <w:color w:val="auto"/>
              </w:rPr>
            </w:pPr>
            <w:r>
              <w:rPr>
                <w:rFonts w:ascii="Times New Roman" w:cs="Times New Roman" w:eastAsia="Times New Roman" w:hAnsi="Times New Roman"/>
                <w:sz w:val="18"/>
                <w:szCs w:val="18"/>
                <w:color w:val="auto"/>
                <w:w w:val="98"/>
              </w:rPr>
              <w:t>(3.0)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7"/>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left="1134"/>
              <w:spacing w:after="0"/>
              <w:rPr>
                <w:sz w:val="20"/>
                <w:szCs w:val="20"/>
                <w:color w:val="auto"/>
              </w:rPr>
            </w:pPr>
            <w:r>
              <w:rPr>
                <w:rFonts w:ascii="Times New Roman" w:cs="Times New Roman" w:eastAsia="Times New Roman" w:hAnsi="Times New Roman"/>
                <w:sz w:val="18"/>
                <w:szCs w:val="18"/>
                <w:color w:val="auto"/>
                <w:w w:val="98"/>
              </w:rPr>
              <w:t>(0.6)</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4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center"/>
              <w:ind w:left="1134"/>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Severance and Other</w:t>
            </w:r>
          </w:p>
        </w:tc>
        <w:tc>
          <w:tcPr>
            <w:tcW w:w="320" w:type="dxa"/>
            <w:vAlign w:val="bottom"/>
          </w:tcPr>
          <w:p>
            <w:pPr>
              <w:spacing w:after="0"/>
              <w:rPr>
                <w:sz w:val="24"/>
                <w:szCs w:val="24"/>
                <w:color w:val="auto"/>
              </w:rPr>
            </w:pPr>
          </w:p>
        </w:tc>
        <w:tc>
          <w:tcPr>
            <w:tcW w:w="17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Facility Costs</w:t>
            </w:r>
          </w:p>
        </w:tc>
        <w:tc>
          <w:tcPr>
            <w:tcW w:w="460" w:type="dxa"/>
            <w:vAlign w:val="bottom"/>
          </w:tcPr>
          <w:p>
            <w:pPr>
              <w:spacing w:after="0"/>
              <w:rPr>
                <w:sz w:val="24"/>
                <w:szCs w:val="24"/>
                <w:color w:val="auto"/>
              </w:rPr>
            </w:pPr>
          </w:p>
        </w:tc>
        <w:tc>
          <w:tcPr>
            <w:tcW w:w="1460" w:type="dxa"/>
            <w:vAlign w:val="bottom"/>
            <w:vMerge w:val="restart"/>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Employee Costs</w:t>
            </w:r>
          </w:p>
        </w:tc>
        <w:tc>
          <w:tcPr>
            <w:tcW w:w="3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center"/>
              <w:ind w:left="1134"/>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7"/>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center"/>
              <w:ind w:left="1134"/>
              <w:spacing w:after="0"/>
              <w:rPr>
                <w:sz w:val="20"/>
                <w:szCs w:val="20"/>
                <w:color w:val="auto"/>
              </w:rPr>
            </w:pPr>
            <w:r>
              <w:rPr>
                <w:rFonts w:ascii="Times New Roman" w:cs="Times New Roman" w:eastAsia="Times New Roman" w:hAnsi="Times New Roman"/>
                <w:sz w:val="18"/>
                <w:szCs w:val="18"/>
                <w:color w:val="auto"/>
                <w:w w:val="97"/>
              </w:rPr>
              <w:t>0.9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and other adjustments</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ind w:left="1134"/>
              <w:spacing w:after="0"/>
              <w:rPr>
                <w:sz w:val="20"/>
                <w:szCs w:val="20"/>
                <w:color w:val="auto"/>
              </w:rPr>
            </w:pPr>
            <w:r>
              <w:rPr>
                <w:rFonts w:ascii="Times New Roman" w:cs="Times New Roman" w:eastAsia="Times New Roman" w:hAnsi="Times New Roman"/>
                <w:sz w:val="18"/>
                <w:szCs w:val="18"/>
                <w:color w:val="auto"/>
                <w:w w:val="98"/>
              </w:rPr>
              <w:t>(1.2)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center"/>
              <w:ind w:left="1134"/>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620" w:firstLine="320"/>
        <w:spacing w:after="0" w:line="307" w:lineRule="auto"/>
        <w:rPr>
          <w:sz w:val="20"/>
          <w:szCs w:val="20"/>
          <w:color w:val="auto"/>
        </w:rPr>
      </w:pPr>
      <w:r>
        <w:rPr>
          <w:rFonts w:ascii="Times New Roman" w:cs="Times New Roman" w:eastAsia="Times New Roman" w:hAnsi="Times New Roman"/>
          <w:sz w:val="17"/>
          <w:szCs w:val="17"/>
          <w:color w:val="auto"/>
        </w:rPr>
        <w:t>The current portion of the restructuring liabilities is included in the condensed consolidated balance sheets in accrued expenses and other current liabilities. The non-current portion of the restructuring liabilities is included in the condensed consolidated balance sheets in other liabilities.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non-current portion of restructuring liabilities as of September 30, 2024 and December 31, 2023, was $0.0 and $2.4,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(LOSS) PER SHARE</w:t>
      </w:r>
    </w:p>
    <w:p>
      <w:pPr>
        <w:spacing w:after="0" w:line="171" w:lineRule="exact"/>
        <w:rPr>
          <w:sz w:val="20"/>
          <w:szCs w:val="20"/>
          <w:color w:val="auto"/>
        </w:rPr>
      </w:pPr>
    </w:p>
    <w:p>
      <w:pPr>
        <w:ind w:firstLine="320"/>
        <w:spacing w:after="0" w:line="251" w:lineRule="auto"/>
        <w:rPr>
          <w:sz w:val="20"/>
          <w:szCs w:val="20"/>
          <w:color w:val="auto"/>
        </w:rPr>
      </w:pPr>
      <w:r>
        <w:rPr>
          <w:rFonts w:ascii="Times New Roman" w:cs="Times New Roman" w:eastAsia="Times New Roman" w:hAnsi="Times New Roman"/>
          <w:sz w:val="18"/>
          <w:szCs w:val="18"/>
          <w:color w:val="auto"/>
        </w:rPr>
        <w:t>On June 30, 2023, the Separation from Labcorp was effected through a pro-rata distribution of one share of the Company’s common stock for every share of Labcorp common stock held at the close of business on the record date of June 20, 2023. As a result, on June 30, 2023, the Company had 88.8 shares of common stock outstanding. This share amount is being utilized for the calculation of basic earnings per share for all periods presented through the Separation date. As of the Separation date, actual outstanding shares are used to calculate basic weighted average common shares outstanding. Basic earnings per share is computed by dividing net earnings attributable to the Company by the weighted average number of common shares outstanding. Diluted earnings per share is computed by dividing net earnings including the impact of dilutive adjustments by the weighted average number of common shares outstanding plus potentially dilutive shares, as if they had been issued at the earlier of the date of issuance or the beginning of the period presented. Potentially dilutive common shares result primarily from the Company’s outstanding stock options, restricted stock awards, restricted stock units (“RSUs”), and performance share awards.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(loss) per share to diluted earnings (loss) from continuing operations per share.</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1"/>
        </w:trPr>
        <w:tc>
          <w:tcPr>
            <w:tcW w:w="4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7"/>
        </w:trPr>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89"/>
        </w:trPr>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00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1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Per Share 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8"/>
              </w:rPr>
              <w:t>Per Share Amount</w:t>
            </w:r>
          </w:p>
        </w:tc>
      </w:tr>
      <w:tr>
        <w:trPr>
          <w:trHeight w:val="25"/>
        </w:trPr>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earnings (loss) from continuing operations per</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5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5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employee stock options and awards</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(loss) from continuing operations including</w:t>
            </w: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r>
      <w:tr>
        <w:trPr>
          <w:trHeight w:val="23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dilutive adjustments</w:t>
            </w:r>
          </w:p>
        </w:tc>
        <w:tc>
          <w:tcPr>
            <w:tcW w:w="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gridSpan w:val="2"/>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0"/>
        </w:trPr>
        <w:tc>
          <w:tcPr>
            <w:tcW w:w="4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449"/>
        </w:trPr>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1"/>
        </w:trPr>
        <w:tc>
          <w:tcPr>
            <w:tcW w:w="4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7"/>
        </w:trPr>
        <w:tc>
          <w:tcPr>
            <w:tcW w:w="42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164"/>
        </w:trPr>
        <w:tc>
          <w:tcPr>
            <w:tcW w:w="4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Per Share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56"/>
              <w:spacing w:after="0"/>
              <w:rPr>
                <w:sz w:val="20"/>
                <w:szCs w:val="20"/>
                <w:color w:val="auto"/>
              </w:rPr>
            </w:pPr>
            <w:r>
              <w:rPr>
                <w:rFonts w:ascii="Times New Roman" w:cs="Times New Roman" w:eastAsia="Times New Roman" w:hAnsi="Times New Roman"/>
                <w:sz w:val="14"/>
                <w:szCs w:val="14"/>
                <w:color w:val="auto"/>
              </w:rPr>
              <w:t>Per Share</w:t>
            </w:r>
          </w:p>
        </w:tc>
      </w:tr>
      <w:tr>
        <w:trPr>
          <w:trHeight w:val="185"/>
        </w:trPr>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Earnings</w:t>
            </w:r>
          </w:p>
        </w:tc>
        <w:tc>
          <w:tcPr>
            <w:tcW w:w="100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Shares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auto"/>
              </w:rPr>
              <w:t>Amount</w:t>
            </w:r>
          </w:p>
        </w:tc>
      </w:tr>
      <w:tr>
        <w:trPr>
          <w:trHeight w:val="25"/>
        </w:trPr>
        <w:tc>
          <w:tcPr>
            <w:tcW w:w="42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5"/>
        </w:trPr>
        <w:tc>
          <w:tcPr>
            <w:tcW w:w="4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earnings (loss) from continuing operations per</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5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Pr>
          <w:p>
            <w:pPr>
              <w:spacing w:after="0"/>
              <w:rPr>
                <w:sz w:val="22"/>
                <w:szCs w:val="22"/>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22"/>
                <w:szCs w:val="22"/>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88.8</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54"/>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employee stock options and awards</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gridSpan w:val="4"/>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(loss) from continuing operations including</w:t>
            </w: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r>
      <w:tr>
        <w:trPr>
          <w:trHeight w:val="232"/>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dilutive adjustments</w:t>
            </w:r>
          </w:p>
        </w:tc>
        <w:tc>
          <w:tcPr>
            <w:tcW w:w="2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0"/>
        </w:trPr>
        <w:tc>
          <w:tcPr>
            <w:tcW w:w="4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9" w:name="page20"/>
    <w:bookmarkEnd w:id="19"/>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represents a reconciliation of basic earnings (loss) per share to diluted earnings (loss) from discontinued operations per share.</w:t>
      </w:r>
    </w:p>
    <w:p>
      <w:pPr>
        <w:spacing w:after="0" w:line="200"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1"/>
        </w:trPr>
        <w:tc>
          <w:tcPr>
            <w:tcW w:w="4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7"/>
        </w:trPr>
        <w:tc>
          <w:tcPr>
            <w:tcW w:w="4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89"/>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Per Share Amount</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Per Share Amount</w:t>
            </w:r>
          </w:p>
        </w:tc>
      </w:tr>
      <w:tr>
        <w:trPr>
          <w:trHeight w:val="25"/>
        </w:trPr>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earnings (loss) from discontinued operations per</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5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2"/>
                <w:szCs w:val="22"/>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5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employee stock options and awards</w:t>
            </w: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(loss) from discontinued operations including</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32"/>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dilutive adjustments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49"/>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1"/>
        </w:trPr>
        <w:tc>
          <w:tcPr>
            <w:tcW w:w="4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7"/>
        </w:trPr>
        <w:tc>
          <w:tcPr>
            <w:tcW w:w="4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189"/>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Earnings</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Per Share Amount</w:t>
            </w:r>
          </w:p>
        </w:tc>
        <w:tc>
          <w:tcPr>
            <w:tcW w:w="18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Earnings</w:t>
            </w:r>
          </w:p>
        </w:tc>
        <w:tc>
          <w:tcPr>
            <w:tcW w:w="9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Shares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Per Share Amount</w:t>
            </w:r>
          </w:p>
        </w:tc>
      </w:tr>
      <w:tr>
        <w:trPr>
          <w:trHeight w:val="25"/>
        </w:trPr>
        <w:tc>
          <w:tcPr>
            <w:tcW w:w="4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Basic earnings (loss) from discontinued operations per</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39"/>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5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6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22"/>
                <w:szCs w:val="22"/>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54"/>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Dilutive effect of employee stock options and awards</w:t>
            </w: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earnings (loss) from discontinued operations including</w:t>
            </w: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r>
      <w:tr>
        <w:trPr>
          <w:trHeight w:val="232"/>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dilutive adjustments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8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r>
      <w:tr>
        <w:trPr>
          <w:trHeight w:val="20"/>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ind w:right="80" w:firstLine="320"/>
        <w:spacing w:after="0" w:line="262" w:lineRule="auto"/>
        <w:rPr>
          <w:sz w:val="20"/>
          <w:szCs w:val="20"/>
          <w:color w:val="auto"/>
        </w:rPr>
      </w:pPr>
      <w:r>
        <w:rPr>
          <w:rFonts w:ascii="Times New Roman" w:cs="Times New Roman" w:eastAsia="Times New Roman" w:hAnsi="Times New Roman"/>
          <w:sz w:val="18"/>
          <w:szCs w:val="18"/>
          <w:color w:val="auto"/>
        </w:rPr>
        <w:t>Diluted earnings per share represent the potential dilution that could occur if securities or other contracts to issue common stock were exercised or converted into common stock. These potential shares include dilutive stock options and unissued restricted stock awards. Potential common shares are also considered antidilutive in the event of a net loss from operations.</w:t>
      </w:r>
    </w:p>
    <w:p>
      <w:pPr>
        <w:spacing w:after="0" w:line="123" w:lineRule="exact"/>
        <w:rPr>
          <w:sz w:val="20"/>
          <w:szCs w:val="20"/>
          <w:color w:val="auto"/>
        </w:rPr>
      </w:pPr>
    </w:p>
    <w:p>
      <w:pPr>
        <w:ind w:right="40" w:firstLine="320"/>
        <w:spacing w:after="0" w:line="277" w:lineRule="auto"/>
        <w:rPr>
          <w:sz w:val="20"/>
          <w:szCs w:val="20"/>
          <w:color w:val="auto"/>
        </w:rPr>
      </w:pPr>
      <w:r>
        <w:rPr>
          <w:rFonts w:ascii="Times New Roman" w:cs="Times New Roman" w:eastAsia="Times New Roman" w:hAnsi="Times New Roman"/>
          <w:sz w:val="18"/>
          <w:szCs w:val="18"/>
          <w:color w:val="auto"/>
        </w:rPr>
        <w:t>The following table summarizes the potential common shares not included in the computation of diluted earnings per share because their impact would have been antidilutive:</w:t>
      </w:r>
    </w:p>
    <w:p>
      <w:pPr>
        <w:spacing w:after="0" w:line="143"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5160" w:type="dxa"/>
            <w:vAlign w:val="bottom"/>
          </w:tcPr>
          <w:p>
            <w:pPr>
              <w:spacing w:after="0"/>
              <w:rPr>
                <w:sz w:val="16"/>
                <w:szCs w:val="16"/>
                <w:color w:val="auto"/>
              </w:rPr>
            </w:pPr>
          </w:p>
        </w:tc>
        <w:tc>
          <w:tcPr>
            <w:tcW w:w="258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gridSpan w:val="3"/>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
        </w:trPr>
        <w:tc>
          <w:tcPr>
            <w:tcW w:w="6140" w:type="dxa"/>
            <w:vAlign w:val="bottom"/>
            <w:gridSpan w:val="2"/>
          </w:tcPr>
          <w:p>
            <w:pPr>
              <w:spacing w:after="0"/>
              <w:rPr>
                <w:sz w:val="2"/>
                <w:szCs w:val="2"/>
                <w:color w:val="auto"/>
              </w:rPr>
            </w:pPr>
          </w:p>
        </w:tc>
        <w:tc>
          <w:tcPr>
            <w:tcW w:w="160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7"/>
        </w:trPr>
        <w:tc>
          <w:tcPr>
            <w:tcW w:w="5160" w:type="dxa"/>
            <w:vAlign w:val="bottom"/>
          </w:tcPr>
          <w:p>
            <w:pPr>
              <w:spacing w:after="0"/>
              <w:rPr>
                <w:sz w:val="16"/>
                <w:szCs w:val="16"/>
                <w:color w:val="auto"/>
              </w:rPr>
            </w:pPr>
          </w:p>
        </w:tc>
        <w:tc>
          <w:tcPr>
            <w:tcW w:w="980" w:type="dxa"/>
            <w:vAlign w:val="bottom"/>
            <w:tcBorders>
              <w:top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options and awards</w:t>
            </w:r>
          </w:p>
        </w:tc>
        <w:tc>
          <w:tcPr>
            <w:tcW w:w="9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0.5</w:t>
            </w: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182"/>
        </w:trPr>
        <w:tc>
          <w:tcPr>
            <w:tcW w:w="61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Antidilutive employee stock options and awards excluded based on</w:t>
            </w:r>
          </w:p>
        </w:tc>
        <w:tc>
          <w:tcPr>
            <w:tcW w:w="4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w w:val="97"/>
              </w:rPr>
              <w:t>0.4</w:t>
            </w:r>
          </w:p>
        </w:tc>
        <w:tc>
          <w:tcPr>
            <w:tcW w:w="80" w:type="dxa"/>
            <w:vAlign w:val="bottom"/>
          </w:tcPr>
          <w:p>
            <w:pPr>
              <w:spacing w:after="0"/>
              <w:rPr>
                <w:sz w:val="15"/>
                <w:szCs w:val="15"/>
                <w:color w:val="auto"/>
              </w:rPr>
            </w:pPr>
          </w:p>
        </w:tc>
        <w:tc>
          <w:tcPr>
            <w:tcW w:w="12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5"/>
                <w:szCs w:val="15"/>
                <w:color w:val="auto"/>
              </w:rPr>
            </w:pPr>
          </w:p>
        </w:tc>
        <w:tc>
          <w:tcPr>
            <w:tcW w:w="12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32"/>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reporting a net loss for the period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DEBT</w:t>
      </w:r>
    </w:p>
    <w:p>
      <w:pPr>
        <w:spacing w:after="0" w:line="171" w:lineRule="exact"/>
        <w:rPr>
          <w:sz w:val="20"/>
          <w:szCs w:val="20"/>
          <w:color w:val="auto"/>
        </w:rPr>
      </w:pPr>
    </w:p>
    <w:p>
      <w:pPr>
        <w:ind w:right="320" w:firstLine="640"/>
        <w:spacing w:after="0" w:line="262" w:lineRule="auto"/>
        <w:rPr>
          <w:sz w:val="20"/>
          <w:szCs w:val="20"/>
          <w:color w:val="auto"/>
        </w:rPr>
      </w:pPr>
      <w:r>
        <w:rPr>
          <w:rFonts w:ascii="Times New Roman" w:cs="Times New Roman" w:eastAsia="Times New Roman" w:hAnsi="Times New Roman"/>
          <w:sz w:val="18"/>
          <w:szCs w:val="18"/>
          <w:color w:val="auto"/>
        </w:rPr>
        <w:t>In connection with the Spin, Fortrea incurred indebtedness in an aggregate principal amount of approximately $1,640.0, which consisted of borrowings under senior secured term loan facilities and senior secured notes. Fortrea also entered into a $450.0 senior secured revolving credit facility. Fortrea used the proceeds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20"/>
          </w:cols>
          <w:pgMar w:left="320" w:top="174" w:right="459" w:bottom="1440" w:gutter="0" w:footer="0" w:header="0"/>
        </w:sectPr>
      </w:pPr>
    </w:p>
    <w:bookmarkStart w:id="20" w:name="page21"/>
    <w:bookmarkEnd w:id="20"/>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41"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18"/>
          <w:szCs w:val="18"/>
          <w:color w:val="auto"/>
        </w:rPr>
        <w:t>these debt transactions to make a cash distribution to Labcorp as consideration for the assets that were contributed to the Company in connection with the Spin.</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The current portion of long-term debt at September 30, 2024 and December 31, 2023 consisted of the following:</w:t>
      </w: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18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61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2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senior secured term loan A facility due 2028</w:t>
            </w:r>
          </w:p>
        </w:tc>
        <w:tc>
          <w:tcPr>
            <w:tcW w:w="1880" w:type="dxa"/>
            <w:vAlign w:val="bottom"/>
            <w:shd w:val="clear" w:color="auto" w:fill="CCEEFF"/>
          </w:tcPr>
          <w:p>
            <w:pPr>
              <w:jc w:val="right"/>
              <w:ind w:right="169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0"/>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portion of senior secured term loan B facility due 2030</w:t>
            </w:r>
          </w:p>
        </w:tc>
        <w:tc>
          <w:tcPr>
            <w:tcW w:w="1880" w:type="dxa"/>
            <w:vAlign w:val="bottom"/>
          </w:tcPr>
          <w:p>
            <w:pPr>
              <w:spacing w:after="0"/>
              <w:rPr>
                <w:sz w:val="20"/>
                <w:szCs w:val="20"/>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issuance discount and fees</w:t>
            </w:r>
          </w:p>
        </w:tc>
        <w:tc>
          <w:tcPr>
            <w:tcW w:w="188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0"/>
        </w:trPr>
        <w:tc>
          <w:tcPr>
            <w:tcW w:w="6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short-term borrowings and current portion of long-term debt</w:t>
            </w:r>
          </w:p>
        </w:tc>
        <w:tc>
          <w:tcPr>
            <w:tcW w:w="1880" w:type="dxa"/>
            <w:vAlign w:val="bottom"/>
            <w:tcBorders>
              <w:top w:val="single" w:sz="8" w:color="auto"/>
              <w:bottom w:val="single" w:sz="8" w:color="auto"/>
            </w:tcBorders>
          </w:tcPr>
          <w:p>
            <w:pPr>
              <w:jc w:val="right"/>
              <w:ind w:right="169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61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at September 30, 2024 and December 31, 2023 consisted of the following:</w:t>
      </w:r>
    </w:p>
    <w:p>
      <w:pPr>
        <w:spacing w:after="0" w:line="214"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40" w:type="dxa"/>
            <w:vAlign w:val="bottom"/>
          </w:tcPr>
          <w:p>
            <w:pPr>
              <w:spacing w:after="0"/>
              <w:rPr>
                <w:sz w:val="16"/>
                <w:szCs w:val="16"/>
                <w:color w:val="auto"/>
              </w:rPr>
            </w:pPr>
          </w:p>
        </w:tc>
        <w:tc>
          <w:tcPr>
            <w:tcW w:w="19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5"/>
        </w:trPr>
        <w:tc>
          <w:tcPr>
            <w:tcW w:w="6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 senior notes due 2030</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r>
      <w:tr>
        <w:trPr>
          <w:trHeight w:val="254"/>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term loan A due 2028</w:t>
            </w:r>
          </w:p>
        </w:tc>
        <w:tc>
          <w:tcPr>
            <w:tcW w:w="32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w:t>
            </w:r>
          </w:p>
        </w:tc>
      </w:tr>
      <w:tr>
        <w:trPr>
          <w:trHeight w:val="254"/>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term loan B due 2030</w:t>
            </w:r>
          </w:p>
        </w:tc>
        <w:tc>
          <w:tcPr>
            <w:tcW w:w="32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r>
      <w:tr>
        <w:trPr>
          <w:trHeight w:val="254"/>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discount and fees</w:t>
            </w:r>
          </w:p>
        </w:tc>
        <w:tc>
          <w:tcPr>
            <w:tcW w:w="32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45"/>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0" w:firstLine="240"/>
        <w:spacing w:after="0" w:line="241"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paid down $0.0 and $70.2, respectively, on our senior secured term loan A due 2028 (“term loan A”) and $0.0 and $412.5, respectively, on our senior secured term loan B due 2030 (“term loan B”). Additionally, in the second quarter of 2024, the Company wrote off $12.2 of unamortized debt issuance costs associated with the pay down of debt, which were recorded in Interest expense in the condensed consolidated and combined statements of operations during the nine months ended September 30, 2024.</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57" w:lineRule="exact"/>
        <w:rPr>
          <w:sz w:val="20"/>
          <w:szCs w:val="20"/>
          <w:color w:val="auto"/>
        </w:rPr>
      </w:pPr>
    </w:p>
    <w:p>
      <w:pPr>
        <w:ind w:right="120" w:firstLine="640"/>
        <w:spacing w:after="0" w:line="246" w:lineRule="auto"/>
        <w:rPr>
          <w:sz w:val="20"/>
          <w:szCs w:val="20"/>
          <w:color w:val="auto"/>
        </w:rPr>
      </w:pPr>
      <w:r>
        <w:rPr>
          <w:rFonts w:ascii="Times New Roman" w:cs="Times New Roman" w:eastAsia="Times New Roman" w:hAnsi="Times New Roman"/>
          <w:sz w:val="18"/>
          <w:szCs w:val="18"/>
          <w:color w:val="auto"/>
        </w:rPr>
        <w:t>On June 27, 2023, the Company issued $570.0 aggregate principal amount of 7.50% senior notes due 2030 (the “Notes”). Interest on these notes is payable semi-annually on January 1 and July 1 of each year. Net proceeds from the offering of the Notes were $560.2 after deducting expenses of the offering.</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71" w:lineRule="exact"/>
        <w:rPr>
          <w:sz w:val="20"/>
          <w:szCs w:val="20"/>
          <w:color w:val="auto"/>
        </w:rPr>
      </w:pPr>
    </w:p>
    <w:p>
      <w:pPr>
        <w:ind w:right="280" w:firstLine="320"/>
        <w:spacing w:after="0" w:line="262" w:lineRule="auto"/>
        <w:rPr>
          <w:sz w:val="20"/>
          <w:szCs w:val="20"/>
          <w:color w:val="auto"/>
        </w:rPr>
      </w:pPr>
      <w:r>
        <w:rPr>
          <w:rFonts w:ascii="Times New Roman" w:cs="Times New Roman" w:eastAsia="Times New Roman" w:hAnsi="Times New Roman"/>
          <w:sz w:val="18"/>
          <w:szCs w:val="18"/>
          <w:color w:val="auto"/>
        </w:rPr>
        <w:t>On June 30, 2023, Fortrea entered into a credit agreement (as amended, the “Credit Agreement”) providing for (i) a senior secured revolving credit facility in the principal amount of up to $450.0; (ii) a five-year $500.0 first lien senior secured term A loan facility; and (iii) a seven-year $570.0 first lien senior secured term B loan facility. The initial revolving facility includes a $75.0 swingline sub-facility and a $75.0 letter of credit sub-facility.</w:t>
      </w:r>
    </w:p>
    <w:p>
      <w:pPr>
        <w:spacing w:after="0" w:line="109" w:lineRule="exact"/>
        <w:rPr>
          <w:sz w:val="20"/>
          <w:szCs w:val="20"/>
          <w:color w:val="auto"/>
        </w:rPr>
      </w:pPr>
    </w:p>
    <w:p>
      <w:pPr>
        <w:ind w:right="20" w:firstLine="240"/>
        <w:spacing w:after="0" w:line="236" w:lineRule="auto"/>
        <w:rPr>
          <w:sz w:val="20"/>
          <w:szCs w:val="20"/>
          <w:color w:val="auto"/>
        </w:rPr>
      </w:pPr>
      <w:r>
        <w:rPr>
          <w:rFonts w:ascii="Times New Roman" w:cs="Times New Roman" w:eastAsia="Times New Roman" w:hAnsi="Times New Roman"/>
          <w:sz w:val="18"/>
          <w:szCs w:val="18"/>
          <w:color w:val="auto"/>
        </w:rPr>
        <w:t>The Company drew on the term A and term B loans on June 30, 2023. The net proceeds received for the term A and term B loans were $491.8 and $552.9, respectively after deducting underwriting discounts and other expenses. The term A and term B loans will mature on June 30, 2028 and June 30, 2030, respectively. The term loans accrue interest at a per annum rate equal to the sum of, at the option of the Company, a Base Rate or a Term SOFR Rate and the Applicable Margin as defined by the Credit Agreement. As of September 30, 2024, the effective interest rate on the term A loan and term B loan was 6.82% and 8.49%, respectively.</w:t>
      </w:r>
    </w:p>
    <w:p>
      <w:pPr>
        <w:spacing w:after="0" w:line="143" w:lineRule="exact"/>
        <w:rPr>
          <w:sz w:val="20"/>
          <w:szCs w:val="20"/>
          <w:color w:val="auto"/>
        </w:rPr>
      </w:pPr>
    </w:p>
    <w:p>
      <w:pPr>
        <w:ind w:firstLine="240"/>
        <w:spacing w:after="0" w:line="273" w:lineRule="auto"/>
        <w:rPr>
          <w:sz w:val="20"/>
          <w:szCs w:val="20"/>
          <w:color w:val="auto"/>
        </w:rPr>
      </w:pPr>
      <w:r>
        <w:rPr>
          <w:rFonts w:ascii="Times New Roman" w:cs="Times New Roman" w:eastAsia="Times New Roman" w:hAnsi="Times New Roman"/>
          <w:sz w:val="17"/>
          <w:szCs w:val="17"/>
          <w:color w:val="auto"/>
        </w:rPr>
        <w:t>The revolving credit facility is permitted, subject to certain covenant restrictions, to be used for general corporate purposes, including working capital and capital expenditures. There were no balances outstanding on the Company’s current revolving credit facility as of September 30, 2024, and $450.0 was available for borrowing as of September 30, 2024. No balances were outstanding as of December 31, 2023. As of September 30, 2024, the effective interest rate on the revolving credit facility was 6.82%, assuming one-month interest election. There is a commitment fee associated with the revolving credit facility of 0.35% (per annum and paid quarterly) and an annual $0.1 agency fee (paid in quarterly installments). The credit facility matures on June 30,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74" w:right="379" w:bottom="1440" w:gutter="0" w:footer="0" w:header="0"/>
        </w:sectPr>
      </w:pPr>
    </w:p>
    <w:bookmarkStart w:id="21" w:name="page22"/>
    <w:bookmarkEnd w:id="21"/>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28" w:lineRule="exact"/>
        <w:rPr>
          <w:sz w:val="20"/>
          <w:szCs w:val="20"/>
          <w:color w:val="auto"/>
        </w:rPr>
      </w:pPr>
    </w:p>
    <w:p>
      <w:pPr>
        <w:ind w:firstLine="240"/>
        <w:spacing w:after="0" w:line="238" w:lineRule="auto"/>
        <w:rPr>
          <w:sz w:val="20"/>
          <w:szCs w:val="20"/>
          <w:color w:val="auto"/>
        </w:rPr>
      </w:pPr>
      <w:r>
        <w:rPr>
          <w:rFonts w:ascii="Times New Roman" w:cs="Times New Roman" w:eastAsia="Times New Roman" w:hAnsi="Times New Roman"/>
          <w:sz w:val="18"/>
          <w:szCs w:val="18"/>
          <w:color w:val="auto"/>
        </w:rPr>
        <w:t>Under the Credit Agreement, the Company is subject to negative covenants limiting subsidiary indebtedness and certain other covenants typical for similarly rated borrowers, and the Company is required to maintain certain net leverage and interest coverage ratios. The Company is permitted to make adjustments, such as excluding certain costs, from the calculation of leverage and interest coverage ratios for compliance purposes. On May 3, 2024, the Company entered into an amendment to modify certain financial covenants for additional flexibility under the Credit Agreement. The Company was in compliance with all covenants in the Credit Agreement at September 30, 2024 and believes it will be in compliance with all covenants for a period of at least 12 months from the date these financial statements are issued.</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were no outstanding letters of credit under the Credit Agreement as of September 30, 2024.</w:t>
      </w:r>
    </w:p>
    <w:p>
      <w:pPr>
        <w:spacing w:after="0" w:line="163" w:lineRule="exact"/>
        <w:rPr>
          <w:sz w:val="20"/>
          <w:szCs w:val="20"/>
          <w:color w:val="auto"/>
        </w:rPr>
      </w:pPr>
    </w:p>
    <w:p>
      <w:pPr>
        <w:ind w:left="320" w:right="5980" w:hanging="313"/>
        <w:spacing w:after="0" w:line="435" w:lineRule="auto"/>
        <w:tabs>
          <w:tab w:leader="none" w:pos="311"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 INSTRUMENTS AND HEDGING ACTIVITIES </w:t>
      </w:r>
      <w:r>
        <w:rPr>
          <w:rFonts w:ascii="Times New Roman" w:cs="Times New Roman" w:eastAsia="Times New Roman" w:hAnsi="Times New Roman"/>
          <w:sz w:val="18"/>
          <w:szCs w:val="18"/>
          <w:b w:val="1"/>
          <w:bCs w:val="1"/>
          <w:i w:val="1"/>
          <w:iCs w:val="1"/>
          <w:color w:val="auto"/>
        </w:rPr>
        <w:t>Summary of Derivative Instruments</w:t>
      </w:r>
    </w:p>
    <w:p>
      <w:pPr>
        <w:spacing w:after="0" w:line="1" w:lineRule="exact"/>
        <w:rPr>
          <w:sz w:val="20"/>
          <w:szCs w:val="20"/>
          <w:color w:val="auto"/>
        </w:rPr>
      </w:pPr>
    </w:p>
    <w:p>
      <w:pPr>
        <w:ind w:right="20" w:firstLine="320"/>
        <w:spacing w:after="0" w:line="273" w:lineRule="auto"/>
        <w:rPr>
          <w:sz w:val="20"/>
          <w:szCs w:val="20"/>
          <w:color w:val="auto"/>
        </w:rPr>
      </w:pPr>
      <w:r>
        <w:rPr>
          <w:rFonts w:ascii="Times New Roman" w:cs="Times New Roman" w:eastAsia="Times New Roman" w:hAnsi="Times New Roman"/>
          <w:sz w:val="17"/>
          <w:szCs w:val="17"/>
          <w:color w:val="auto"/>
        </w:rPr>
        <w:t>The Company addresses its exposure to market risks, principally the market risk associated with changes in interest rates and foreign currency exchange rates, through a controlled program of risk management that includes, from time to time, the use of derivative instruments such as foreign currency forward contracts and interest rate swap agreements. The Company does not hold or issue derivative instruments for trading purposes. The derivative instrument contracts are with major investment grade financial institutions and the Company does not anticipate any material non-performance by any of the counterparties. The Company does not believe that its exposure to market risk is material to the Company’s financial position or results of operations.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fair value of the Company’s interest rate swaps and foreign currency forward contracts are determined based on observable market inputs (Level 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derivatives on a gross basis and the balance sheet classification of those instruments:</w:t>
      </w:r>
    </w:p>
    <w:p>
      <w:pPr>
        <w:spacing w:after="0" w:line="181" w:lineRule="exact"/>
        <w:rPr>
          <w:sz w:val="20"/>
          <w:szCs w:val="20"/>
          <w:color w:val="auto"/>
        </w:rPr>
      </w:pPr>
    </w:p>
    <w:tbl>
      <w:tblPr>
        <w:tblLayout w:type="fixed"/>
        <w:tblInd w:w="280" w:type="dxa"/>
        <w:tblCellMar>
          <w:top w:w="0" w:type="dxa"/>
          <w:left w:w="0" w:type="dxa"/>
          <w:bottom w:w="0" w:type="dxa"/>
          <w:right w:w="0" w:type="dxa"/>
        </w:tblCellMar>
      </w:tblPr>
      <w:tr>
        <w:trPr>
          <w:trHeight w:val="187"/>
        </w:trPr>
        <w:tc>
          <w:tcPr>
            <w:tcW w:w="27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Fair Value of Derivatives At</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7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29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280" w:type="dxa"/>
            <w:vAlign w:val="bottom"/>
          </w:tcPr>
          <w:p>
            <w:pPr>
              <w:spacing w:after="0"/>
              <w:rPr>
                <w:sz w:val="16"/>
                <w:szCs w:val="16"/>
                <w:color w:val="auto"/>
              </w:rPr>
            </w:pPr>
          </w:p>
        </w:tc>
        <w:tc>
          <w:tcPr>
            <w:tcW w:w="9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00" w:type="dxa"/>
            <w:vAlign w:val="bottom"/>
          </w:tcPr>
          <w:p>
            <w:pPr>
              <w:spacing w:after="0"/>
              <w:rPr>
                <w:sz w:val="16"/>
                <w:szCs w:val="16"/>
                <w:color w:val="auto"/>
              </w:rPr>
            </w:pPr>
          </w:p>
        </w:tc>
        <w:tc>
          <w:tcPr>
            <w:tcW w:w="9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Asset</w:t>
            </w:r>
          </w:p>
        </w:tc>
        <w:tc>
          <w:tcPr>
            <w:tcW w:w="280" w:type="dxa"/>
            <w:vAlign w:val="bottom"/>
          </w:tcPr>
          <w:p>
            <w:pPr>
              <w:spacing w:after="0"/>
              <w:rPr>
                <w:sz w:val="16"/>
                <w:szCs w:val="16"/>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5"/>
        </w:trPr>
        <w:tc>
          <w:tcPr>
            <w:tcW w:w="2720" w:type="dxa"/>
            <w:vAlign w:val="bottom"/>
            <w:tcBorders>
              <w:bottom w:val="single" w:sz="8" w:color="CCEC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CFF"/>
          </w:tcPr>
          <w:p>
            <w:pPr>
              <w:ind w:left="20"/>
              <w:spacing w:after="0" w:line="162" w:lineRule="exact"/>
              <w:rPr>
                <w:sz w:val="20"/>
                <w:szCs w:val="20"/>
                <w:color w:val="auto"/>
              </w:rPr>
            </w:pPr>
            <w:r>
              <w:rPr>
                <w:rFonts w:ascii="Times New Roman" w:cs="Times New Roman" w:eastAsia="Times New Roman" w:hAnsi="Times New Roman"/>
                <w:sz w:val="18"/>
                <w:szCs w:val="18"/>
                <w:color w:val="auto"/>
              </w:rPr>
              <w:t>Derivatives designated as hedging</w:t>
            </w:r>
          </w:p>
        </w:tc>
        <w:tc>
          <w:tcPr>
            <w:tcW w:w="2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7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284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CCECFF"/>
            </w:tcBorders>
            <w:shd w:val="clear" w:color="auto" w:fill="CCECFF"/>
          </w:tcPr>
          <w:p>
            <w:pPr>
              <w:spacing w:after="0"/>
              <w:rPr>
                <w:sz w:val="21"/>
                <w:szCs w:val="21"/>
                <w:color w:val="auto"/>
              </w:rPr>
            </w:pPr>
          </w:p>
        </w:tc>
        <w:tc>
          <w:tcPr>
            <w:tcW w:w="940" w:type="dxa"/>
            <w:vAlign w:val="bottom"/>
            <w:tcBorders>
              <w:bottom w:val="single" w:sz="8" w:color="CCECFF"/>
            </w:tcBorders>
            <w:shd w:val="clear" w:color="auto" w:fill="CCECFF"/>
          </w:tcPr>
          <w:p>
            <w:pPr>
              <w:spacing w:after="0"/>
              <w:rPr>
                <w:sz w:val="21"/>
                <w:szCs w:val="21"/>
                <w:color w:val="auto"/>
              </w:rPr>
            </w:pPr>
          </w:p>
        </w:tc>
        <w:tc>
          <w:tcPr>
            <w:tcW w:w="260" w:type="dxa"/>
            <w:vAlign w:val="bottom"/>
            <w:tcBorders>
              <w:bottom w:val="single" w:sz="8" w:color="CCECFF"/>
            </w:tcBorders>
            <w:shd w:val="clear" w:color="auto" w:fill="CCECFF"/>
          </w:tcPr>
          <w:p>
            <w:pPr>
              <w:spacing w:after="0"/>
              <w:rPr>
                <w:sz w:val="21"/>
                <w:szCs w:val="21"/>
                <w:color w:val="auto"/>
              </w:rPr>
            </w:pPr>
          </w:p>
        </w:tc>
        <w:tc>
          <w:tcPr>
            <w:tcW w:w="1040" w:type="dxa"/>
            <w:vAlign w:val="bottom"/>
            <w:tcBorders>
              <w:bottom w:val="single" w:sz="8" w:color="CCECFF"/>
            </w:tcBorders>
            <w:shd w:val="clear" w:color="auto" w:fill="CCECFF"/>
          </w:tcPr>
          <w:p>
            <w:pPr>
              <w:spacing w:after="0"/>
              <w:rPr>
                <w:sz w:val="21"/>
                <w:szCs w:val="21"/>
                <w:color w:val="auto"/>
              </w:rPr>
            </w:pPr>
          </w:p>
        </w:tc>
        <w:tc>
          <w:tcPr>
            <w:tcW w:w="8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CCECFF"/>
            </w:tcBorders>
            <w:shd w:val="clear" w:color="auto" w:fill="CCECFF"/>
          </w:tcPr>
          <w:p>
            <w:pPr>
              <w:spacing w:after="0"/>
              <w:rPr>
                <w:sz w:val="21"/>
                <w:szCs w:val="21"/>
                <w:color w:val="auto"/>
              </w:rPr>
            </w:pPr>
          </w:p>
        </w:tc>
        <w:tc>
          <w:tcPr>
            <w:tcW w:w="94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CCECFF"/>
            </w:tcBorders>
            <w:shd w:val="clear" w:color="auto" w:fill="CCECFF"/>
          </w:tcPr>
          <w:p>
            <w:pPr>
              <w:spacing w:after="0"/>
              <w:rPr>
                <w:sz w:val="21"/>
                <w:szCs w:val="21"/>
                <w:color w:val="auto"/>
              </w:rPr>
            </w:pPr>
          </w:p>
        </w:tc>
        <w:tc>
          <w:tcPr>
            <w:tcW w:w="102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27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23"/>
                <w:szCs w:val="23"/>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51"/>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3"/>
        </w:trPr>
        <w:tc>
          <w:tcPr>
            <w:tcW w:w="2720" w:type="dxa"/>
            <w:vAlign w:val="bottom"/>
            <w:vMerge w:val="continue"/>
          </w:tcPr>
          <w:p>
            <w:pPr>
              <w:spacing w:after="0"/>
              <w:rPr>
                <w:sz w:val="8"/>
                <w:szCs w:val="8"/>
                <w:color w:val="auto"/>
              </w:rPr>
            </w:pPr>
          </w:p>
        </w:tc>
        <w:tc>
          <w:tcPr>
            <w:tcW w:w="2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3"/>
        </w:trPr>
        <w:tc>
          <w:tcPr>
            <w:tcW w:w="2720" w:type="dxa"/>
            <w:vAlign w:val="bottom"/>
          </w:tcPr>
          <w:p>
            <w:pPr>
              <w:spacing w:after="0"/>
              <w:rPr>
                <w:sz w:val="15"/>
                <w:szCs w:val="15"/>
                <w:color w:val="auto"/>
              </w:rPr>
            </w:pPr>
          </w:p>
        </w:tc>
        <w:tc>
          <w:tcPr>
            <w:tcW w:w="29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20" w:type="dxa"/>
            <w:vAlign w:val="bottom"/>
            <w:shd w:val="clear" w:color="auto" w:fill="CCECFF"/>
          </w:tcPr>
          <w:p>
            <w:pPr>
              <w:ind w:left="20"/>
              <w:spacing w:after="0" w:line="182"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2840" w:type="dxa"/>
            <w:vAlign w:val="bottom"/>
            <w:shd w:val="clear" w:color="auto" w:fill="CCECFF"/>
          </w:tcPr>
          <w:p>
            <w:pPr>
              <w:spacing w:after="0"/>
              <w:rPr>
                <w:sz w:val="15"/>
                <w:szCs w:val="15"/>
                <w:color w:val="auto"/>
              </w:rPr>
            </w:pPr>
          </w:p>
        </w:tc>
        <w:tc>
          <w:tcPr>
            <w:tcW w:w="100" w:type="dxa"/>
            <w:vAlign w:val="bottom"/>
            <w:shd w:val="clear" w:color="auto" w:fill="CCEC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7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2840" w:type="dxa"/>
            <w:vAlign w:val="bottom"/>
            <w:tcBorders>
              <w:bottom w:val="single" w:sz="8" w:color="CCECFF"/>
            </w:tcBorders>
            <w:shd w:val="clear" w:color="auto" w:fill="CCECFF"/>
          </w:tcPr>
          <w:p>
            <w:pPr>
              <w:spacing w:after="0"/>
              <w:rPr>
                <w:sz w:val="21"/>
                <w:szCs w:val="21"/>
                <w:color w:val="auto"/>
              </w:rPr>
            </w:pPr>
          </w:p>
        </w:tc>
        <w:tc>
          <w:tcPr>
            <w:tcW w:w="100" w:type="dxa"/>
            <w:vAlign w:val="bottom"/>
            <w:tcBorders>
              <w:bottom w:val="single" w:sz="8" w:color="CCECFF"/>
            </w:tcBorders>
            <w:shd w:val="clear" w:color="auto" w:fill="CCEC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7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2"/>
        </w:trPr>
        <w:tc>
          <w:tcPr>
            <w:tcW w:w="2720" w:type="dxa"/>
            <w:vAlign w:val="bottom"/>
            <w:vMerge w:val="continue"/>
          </w:tcPr>
          <w:p>
            <w:pPr>
              <w:spacing w:after="0"/>
              <w:rPr>
                <w:sz w:val="22"/>
                <w:szCs w:val="22"/>
                <w:color w:val="auto"/>
              </w:rPr>
            </w:pPr>
          </w:p>
        </w:tc>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0" w:firstLine="320"/>
        <w:spacing w:after="0" w:line="246" w:lineRule="auto"/>
        <w:rPr>
          <w:sz w:val="20"/>
          <w:szCs w:val="20"/>
          <w:color w:val="auto"/>
        </w:rPr>
      </w:pPr>
      <w:r>
        <w:rPr>
          <w:rFonts w:ascii="Times New Roman" w:cs="Times New Roman" w:eastAsia="Times New Roman" w:hAnsi="Times New Roman"/>
          <w:sz w:val="18"/>
          <w:szCs w:val="18"/>
          <w:color w:val="auto"/>
        </w:rPr>
        <w:t>The notional amounts of the Company’s interest rate swaps and foreign currency forward contracts were $150.0 and $502.0 as of September 30, 2024 and $150.0 and $458.3 as of December 31, 2023, respectively.</w:t>
      </w:r>
    </w:p>
    <w:p>
      <w:pPr>
        <w:spacing w:after="0" w:line="123" w:lineRule="exact"/>
        <w:rPr>
          <w:sz w:val="20"/>
          <w:szCs w:val="20"/>
          <w:color w:val="auto"/>
        </w:rPr>
      </w:pPr>
    </w:p>
    <w:p>
      <w:pPr>
        <w:ind w:right="340" w:firstLine="282"/>
        <w:spacing w:after="0" w:line="246" w:lineRule="auto"/>
        <w:rPr>
          <w:sz w:val="20"/>
          <w:szCs w:val="20"/>
          <w:color w:val="auto"/>
        </w:rPr>
      </w:pPr>
      <w:r>
        <w:rPr>
          <w:rFonts w:ascii="Times New Roman" w:cs="Times New Roman" w:eastAsia="Times New Roman" w:hAnsi="Times New Roman"/>
          <w:sz w:val="18"/>
          <w:szCs w:val="18"/>
          <w:color w:val="auto"/>
        </w:rPr>
        <w:t>The following table presents the pre-tax effects of cash flow hedges included in the Company’s condensed consolidated and combined statements of comprehensive income (loss):</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3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6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Pre-Tax Gain (Loss) Included in Other Comprehensive Income</w:t>
            </w: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5"/>
        </w:trPr>
        <w:tc>
          <w:tcPr>
            <w:tcW w:w="3360" w:type="dxa"/>
            <w:vAlign w:val="bottom"/>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4"/>
          </w:tcPr>
          <w:p>
            <w:pPr>
              <w:spacing w:after="0"/>
              <w:rPr>
                <w:sz w:val="2"/>
                <w:szCs w:val="2"/>
                <w:color w:val="auto"/>
              </w:rPr>
            </w:pPr>
          </w:p>
        </w:tc>
      </w:tr>
      <w:tr>
        <w:trPr>
          <w:trHeight w:val="182"/>
        </w:trPr>
        <w:tc>
          <w:tcPr>
            <w:tcW w:w="3360" w:type="dxa"/>
            <w:vAlign w:val="bottom"/>
          </w:tcPr>
          <w:p>
            <w:pPr>
              <w:spacing w:after="0"/>
              <w:rPr>
                <w:sz w:val="15"/>
                <w:szCs w:val="15"/>
                <w:color w:val="auto"/>
              </w:rPr>
            </w:pPr>
          </w:p>
        </w:tc>
        <w:tc>
          <w:tcPr>
            <w:tcW w:w="318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
        </w:trPr>
        <w:tc>
          <w:tcPr>
            <w:tcW w:w="33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2"/>
        </w:trPr>
        <w:tc>
          <w:tcPr>
            <w:tcW w:w="3360" w:type="dxa"/>
            <w:vAlign w:val="bottom"/>
          </w:tcPr>
          <w:p>
            <w:pPr>
              <w:spacing w:after="0"/>
              <w:rPr>
                <w:sz w:val="15"/>
                <w:szCs w:val="15"/>
                <w:color w:val="auto"/>
              </w:rPr>
            </w:pPr>
          </w:p>
        </w:tc>
        <w:tc>
          <w:tcPr>
            <w:tcW w:w="124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138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
        </w:trPr>
        <w:tc>
          <w:tcPr>
            <w:tcW w:w="3360" w:type="dxa"/>
            <w:vAlign w:val="bottom"/>
            <w:tcBorders>
              <w:bottom w:val="single" w:sz="8" w:color="CCEC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6"/>
        </w:trPr>
        <w:tc>
          <w:tcPr>
            <w:tcW w:w="33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40" w:type="dxa"/>
            <w:vAlign w:val="bottom"/>
            <w:shd w:val="clear" w:color="auto" w:fill="CCECFF"/>
          </w:tcPr>
          <w:p>
            <w:pPr>
              <w:jc w:val="right"/>
              <w:ind w:right="104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CFF"/>
          </w:tcPr>
          <w:p>
            <w:pPr>
              <w:spacing w:after="0"/>
              <w:rPr>
                <w:sz w:val="19"/>
                <w:szCs w:val="19"/>
                <w:color w:val="auto"/>
              </w:rPr>
            </w:pPr>
          </w:p>
        </w:tc>
        <w:tc>
          <w:tcPr>
            <w:tcW w:w="1280" w:type="dxa"/>
            <w:vAlign w:val="bottom"/>
            <w:shd w:val="clear" w:color="auto" w:fill="CCECFF"/>
          </w:tcPr>
          <w:p>
            <w:pPr>
              <w:jc w:val="right"/>
              <w:ind w:right="109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C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9"/>
                <w:szCs w:val="19"/>
                <w:color w:val="auto"/>
              </w:rPr>
            </w:pPr>
          </w:p>
        </w:tc>
        <w:tc>
          <w:tcPr>
            <w:tcW w:w="42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CFF"/>
          </w:tcPr>
          <w:p>
            <w:pPr>
              <w:jc w:val="right"/>
              <w:ind w:right="3"/>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CFF"/>
          </w:tcPr>
          <w:p>
            <w:pPr>
              <w:spacing w:after="0"/>
              <w:rPr>
                <w:sz w:val="19"/>
                <w:szCs w:val="19"/>
                <w:color w:val="auto"/>
              </w:rPr>
            </w:pPr>
          </w:p>
        </w:tc>
        <w:tc>
          <w:tcPr>
            <w:tcW w:w="420" w:type="dxa"/>
            <w:vAlign w:val="bottom"/>
            <w:shd w:val="clear" w:color="auto" w:fill="CCEC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3360" w:type="dxa"/>
            <w:vAlign w:val="bottom"/>
            <w:shd w:val="clear" w:color="auto" w:fill="CCECFF"/>
          </w:tcPr>
          <w:p>
            <w:pPr>
              <w:spacing w:after="0" w:line="20" w:lineRule="exact"/>
              <w:rPr>
                <w:sz w:val="1"/>
                <w:szCs w:val="1"/>
                <w:color w:val="auto"/>
              </w:rPr>
            </w:pPr>
          </w:p>
        </w:tc>
        <w:tc>
          <w:tcPr>
            <w:tcW w:w="1240" w:type="dxa"/>
            <w:vAlign w:val="bottom"/>
            <w:shd w:val="clear" w:color="auto" w:fill="CCECFF"/>
          </w:tcPr>
          <w:p>
            <w:pPr>
              <w:spacing w:after="0" w:line="20" w:lineRule="exact"/>
              <w:rPr>
                <w:sz w:val="1"/>
                <w:szCs w:val="1"/>
                <w:color w:val="auto"/>
              </w:rPr>
            </w:pPr>
          </w:p>
        </w:tc>
        <w:tc>
          <w:tcPr>
            <w:tcW w:w="5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280" w:type="dxa"/>
            <w:vAlign w:val="bottom"/>
            <w:shd w:val="clear" w:color="auto" w:fill="CCECFF"/>
          </w:tcPr>
          <w:p>
            <w:pPr>
              <w:spacing w:after="0" w:line="20" w:lineRule="exact"/>
              <w:rPr>
                <w:sz w:val="1"/>
                <w:szCs w:val="1"/>
                <w:color w:val="auto"/>
              </w:rPr>
            </w:pPr>
          </w:p>
        </w:tc>
        <w:tc>
          <w:tcPr>
            <w:tcW w:w="5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136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420" w:type="dxa"/>
            <w:vAlign w:val="bottom"/>
            <w:shd w:val="clear" w:color="auto" w:fill="CCECFF"/>
          </w:tcPr>
          <w:p>
            <w:pPr>
              <w:spacing w:after="0" w:line="20" w:lineRule="exact"/>
              <w:rPr>
                <w:sz w:val="1"/>
                <w:szCs w:val="1"/>
                <w:color w:val="auto"/>
              </w:rPr>
            </w:pPr>
          </w:p>
        </w:tc>
        <w:tc>
          <w:tcPr>
            <w:tcW w:w="1360" w:type="dxa"/>
            <w:vAlign w:val="bottom"/>
            <w:shd w:val="clear" w:color="auto" w:fill="CCECFF"/>
          </w:tcPr>
          <w:p>
            <w:pPr>
              <w:spacing w:after="0" w:line="20" w:lineRule="exact"/>
              <w:rPr>
                <w:sz w:val="1"/>
                <w:szCs w:val="1"/>
                <w:color w:val="auto"/>
              </w:rPr>
            </w:pPr>
          </w:p>
        </w:tc>
      </w:tr>
    </w:tbl>
    <w:p>
      <w:pPr>
        <w:spacing w:after="0" w:line="222" w:lineRule="exact"/>
        <w:rPr>
          <w:sz w:val="20"/>
          <w:szCs w:val="20"/>
          <w:color w:val="auto"/>
        </w:rPr>
      </w:pPr>
    </w:p>
    <w:p>
      <w:pPr>
        <w:ind w:firstLine="282"/>
        <w:spacing w:after="0" w:line="246" w:lineRule="auto"/>
        <w:rPr>
          <w:sz w:val="20"/>
          <w:szCs w:val="20"/>
          <w:color w:val="auto"/>
        </w:rPr>
      </w:pPr>
      <w:r>
        <w:rPr>
          <w:rFonts w:ascii="Times New Roman" w:cs="Times New Roman" w:eastAsia="Times New Roman" w:hAnsi="Times New Roman"/>
          <w:sz w:val="18"/>
          <w:szCs w:val="18"/>
          <w:color w:val="auto"/>
        </w:rPr>
        <w:t>The following table presents amounts reclassified out of accumulated other comprehensive loss and recognized in condensed consolidated and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22" w:name="page23"/>
    <w:bookmarkEnd w:id="22"/>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88" w:lineRule="exact"/>
        <w:rPr>
          <w:sz w:val="20"/>
          <w:szCs w:val="20"/>
          <w:color w:val="auto"/>
        </w:rPr>
      </w:pPr>
    </w:p>
    <w:tbl>
      <w:tblPr>
        <w:tblLayout w:type="fixed"/>
        <w:tblInd w:w="320" w:type="dxa"/>
        <w:tblCellMar>
          <w:top w:w="0" w:type="dxa"/>
          <w:left w:w="0" w:type="dxa"/>
          <w:bottom w:w="0" w:type="dxa"/>
          <w:right w:w="0" w:type="dxa"/>
        </w:tblCellMar>
      </w:tblPr>
      <w:tr>
        <w:trPr>
          <w:trHeight w:val="187"/>
        </w:trPr>
        <w:tc>
          <w:tcPr>
            <w:tcW w:w="27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Reclassified from Other Comprehensive Loss into Earnings</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2700" w:type="dxa"/>
            <w:vAlign w:val="bottom"/>
          </w:tcPr>
          <w:p>
            <w:pPr>
              <w:spacing w:after="0"/>
              <w:rPr>
                <w:sz w:val="2"/>
                <w:szCs w:val="2"/>
                <w:color w:val="auto"/>
              </w:rPr>
            </w:pPr>
          </w:p>
        </w:tc>
        <w:tc>
          <w:tcPr>
            <w:tcW w:w="2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700" w:type="dxa"/>
            <w:vAlign w:val="bottom"/>
          </w:tcPr>
          <w:p>
            <w:pPr>
              <w:spacing w:after="0"/>
              <w:rPr>
                <w:sz w:val="12"/>
                <w:szCs w:val="12"/>
                <w:color w:val="auto"/>
              </w:rPr>
            </w:pPr>
          </w:p>
        </w:tc>
        <w:tc>
          <w:tcPr>
            <w:tcW w:w="222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700" w:type="dxa"/>
            <w:vAlign w:val="bottom"/>
          </w:tcPr>
          <w:p>
            <w:pPr>
              <w:spacing w:after="0"/>
              <w:rPr>
                <w:sz w:val="16"/>
                <w:szCs w:val="16"/>
                <w:color w:val="auto"/>
              </w:rPr>
            </w:pP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0" w:type="dxa"/>
            <w:vAlign w:val="bottom"/>
          </w:tcPr>
          <w:p>
            <w:pPr>
              <w:spacing w:after="0"/>
              <w:rPr>
                <w:sz w:val="1"/>
                <w:szCs w:val="1"/>
                <w:color w:val="auto"/>
              </w:rPr>
            </w:pPr>
          </w:p>
        </w:tc>
      </w:tr>
      <w:tr>
        <w:trPr>
          <w:trHeight w:val="25"/>
        </w:trPr>
        <w:tc>
          <w:tcPr>
            <w:tcW w:w="2700" w:type="dxa"/>
            <w:vAlign w:val="bottom"/>
            <w:tcBorders>
              <w:bottom w:val="single" w:sz="8" w:color="CCEC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CFF"/>
          </w:tcPr>
          <w:p>
            <w:pPr>
              <w:ind w:left="20"/>
              <w:spacing w:after="0" w:line="176" w:lineRule="exact"/>
              <w:rPr>
                <w:sz w:val="20"/>
                <w:szCs w:val="20"/>
                <w:color w:val="auto"/>
              </w:rPr>
            </w:pPr>
            <w:r>
              <w:rPr>
                <w:rFonts w:ascii="Times New Roman" w:cs="Times New Roman" w:eastAsia="Times New Roman" w:hAnsi="Times New Roman"/>
                <w:sz w:val="18"/>
                <w:szCs w:val="18"/>
                <w:color w:val="auto"/>
              </w:rPr>
              <w:t>Deferred gain (loss) reclassified into</w:t>
            </w:r>
          </w:p>
        </w:tc>
        <w:tc>
          <w:tcPr>
            <w:tcW w:w="2120" w:type="dxa"/>
            <w:vAlign w:val="bottom"/>
            <w:shd w:val="clear" w:color="auto" w:fill="CCECFF"/>
          </w:tcPr>
          <w:p>
            <w:pPr>
              <w:ind w:left="20"/>
              <w:spacing w:after="0" w:line="176" w:lineRule="exact"/>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CFF"/>
          </w:tcPr>
          <w:p>
            <w:pPr>
              <w:spacing w:after="0"/>
              <w:rPr>
                <w:sz w:val="15"/>
                <w:szCs w:val="15"/>
                <w:color w:val="auto"/>
              </w:rPr>
            </w:pPr>
          </w:p>
        </w:tc>
        <w:tc>
          <w:tcPr>
            <w:tcW w:w="840" w:type="dxa"/>
            <w:vAlign w:val="bottom"/>
            <w:shd w:val="clear" w:color="auto" w:fill="CCECFF"/>
          </w:tcPr>
          <w:p>
            <w:pPr>
              <w:jc w:val="right"/>
              <w:ind w:right="663"/>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CFF"/>
          </w:tcPr>
          <w:p>
            <w:pPr>
              <w:jc w:val="right"/>
              <w:spacing w:after="0" w:line="176" w:lineRule="exact"/>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CFF"/>
          </w:tcPr>
          <w:p>
            <w:pPr>
              <w:spacing w:after="0"/>
              <w:rPr>
                <w:sz w:val="15"/>
                <w:szCs w:val="15"/>
                <w:color w:val="auto"/>
              </w:rPr>
            </w:pPr>
          </w:p>
        </w:tc>
        <w:tc>
          <w:tcPr>
            <w:tcW w:w="1100" w:type="dxa"/>
            <w:vAlign w:val="bottom"/>
            <w:shd w:val="clear" w:color="auto" w:fill="CCECFF"/>
          </w:tcPr>
          <w:p>
            <w:pPr>
              <w:jc w:val="right"/>
              <w:ind w:right="92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CFF"/>
          </w:tcPr>
          <w:p>
            <w:pPr>
              <w:ind w:left="40"/>
              <w:spacing w:after="0" w:line="17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CFF"/>
          </w:tcPr>
          <w:p>
            <w:pPr>
              <w:spacing w:after="0"/>
              <w:rPr>
                <w:sz w:val="15"/>
                <w:szCs w:val="15"/>
                <w:color w:val="auto"/>
              </w:rPr>
            </w:pPr>
          </w:p>
        </w:tc>
        <w:tc>
          <w:tcPr>
            <w:tcW w:w="260" w:type="dxa"/>
            <w:vAlign w:val="bottom"/>
            <w:shd w:val="clear" w:color="auto" w:fill="CCECFF"/>
          </w:tcPr>
          <w:p>
            <w:pPr>
              <w:jc w:val="right"/>
              <w:ind w:right="51"/>
              <w:spacing w:after="0" w:line="17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CFF"/>
          </w:tcPr>
          <w:p>
            <w:pPr>
              <w:jc w:val="right"/>
              <w:spacing w:after="0" w:line="176"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CFF"/>
          </w:tcPr>
          <w:p>
            <w:pPr>
              <w:spacing w:after="0"/>
              <w:rPr>
                <w:sz w:val="15"/>
                <w:szCs w:val="15"/>
                <w:color w:val="auto"/>
              </w:rPr>
            </w:pPr>
          </w:p>
        </w:tc>
        <w:tc>
          <w:tcPr>
            <w:tcW w:w="560" w:type="dxa"/>
            <w:vAlign w:val="bottom"/>
            <w:shd w:val="clear" w:color="auto" w:fill="CCECFF"/>
          </w:tcPr>
          <w:p>
            <w:pPr>
              <w:jc w:val="right"/>
              <w:ind w:right="371"/>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C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920" w:type="dxa"/>
            <w:vAlign w:val="bottom"/>
            <w:gridSpan w:val="3"/>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840" w:type="dxa"/>
            <w:vAlign w:val="bottom"/>
            <w:shd w:val="clear" w:color="auto" w:fill="CCECFF"/>
          </w:tcPr>
          <w:p>
            <w:pPr>
              <w:spacing w:after="0"/>
              <w:rPr>
                <w:sz w:val="20"/>
                <w:szCs w:val="20"/>
                <w:color w:val="auto"/>
              </w:rPr>
            </w:pPr>
          </w:p>
        </w:tc>
        <w:tc>
          <w:tcPr>
            <w:tcW w:w="56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1100" w:type="dxa"/>
            <w:vAlign w:val="bottom"/>
            <w:shd w:val="clear" w:color="auto" w:fill="CCECFF"/>
          </w:tcPr>
          <w:p>
            <w:pPr>
              <w:spacing w:after="0"/>
              <w:rPr>
                <w:sz w:val="20"/>
                <w:szCs w:val="20"/>
                <w:color w:val="auto"/>
              </w:rPr>
            </w:pPr>
          </w:p>
        </w:tc>
        <w:tc>
          <w:tcPr>
            <w:tcW w:w="300" w:type="dxa"/>
            <w:vAlign w:val="bottom"/>
            <w:shd w:val="clear" w:color="auto" w:fill="CCECFF"/>
          </w:tcPr>
          <w:p>
            <w:pPr>
              <w:spacing w:after="0"/>
              <w:rPr>
                <w:sz w:val="20"/>
                <w:szCs w:val="20"/>
                <w:color w:val="auto"/>
              </w:rPr>
            </w:pPr>
          </w:p>
        </w:tc>
        <w:tc>
          <w:tcPr>
            <w:tcW w:w="80" w:type="dxa"/>
            <w:vAlign w:val="bottom"/>
            <w:shd w:val="clear" w:color="auto" w:fill="CCECFF"/>
          </w:tcPr>
          <w:p>
            <w:pPr>
              <w:spacing w:after="0"/>
              <w:rPr>
                <w:sz w:val="20"/>
                <w:szCs w:val="20"/>
                <w:color w:val="auto"/>
              </w:rPr>
            </w:pPr>
          </w:p>
        </w:tc>
        <w:tc>
          <w:tcPr>
            <w:tcW w:w="260" w:type="dxa"/>
            <w:vAlign w:val="bottom"/>
            <w:shd w:val="clear" w:color="auto" w:fill="CCECFF"/>
          </w:tcPr>
          <w:p>
            <w:pPr>
              <w:spacing w:after="0"/>
              <w:rPr>
                <w:sz w:val="20"/>
                <w:szCs w:val="20"/>
                <w:color w:val="auto"/>
              </w:rPr>
            </w:pPr>
          </w:p>
        </w:tc>
        <w:tc>
          <w:tcPr>
            <w:tcW w:w="1140" w:type="dxa"/>
            <w:vAlign w:val="bottom"/>
            <w:shd w:val="clear" w:color="auto" w:fill="CCECFF"/>
          </w:tcPr>
          <w:p>
            <w:pPr>
              <w:spacing w:after="0"/>
              <w:rPr>
                <w:sz w:val="20"/>
                <w:szCs w:val="20"/>
                <w:color w:val="auto"/>
              </w:rPr>
            </w:pPr>
          </w:p>
        </w:tc>
        <w:tc>
          <w:tcPr>
            <w:tcW w:w="100" w:type="dxa"/>
            <w:vAlign w:val="bottom"/>
            <w:shd w:val="clear" w:color="auto" w:fill="CCECFF"/>
          </w:tcPr>
          <w:p>
            <w:pPr>
              <w:spacing w:after="0"/>
              <w:rPr>
                <w:sz w:val="20"/>
                <w:szCs w:val="20"/>
                <w:color w:val="auto"/>
              </w:rPr>
            </w:pPr>
          </w:p>
        </w:tc>
        <w:tc>
          <w:tcPr>
            <w:tcW w:w="560" w:type="dxa"/>
            <w:vAlign w:val="bottom"/>
            <w:shd w:val="clear" w:color="auto" w:fill="CCECFF"/>
          </w:tcPr>
          <w:p>
            <w:pPr>
              <w:spacing w:after="0"/>
              <w:rPr>
                <w:sz w:val="20"/>
                <w:szCs w:val="20"/>
                <w:color w:val="auto"/>
              </w:rPr>
            </w:pPr>
          </w:p>
        </w:tc>
        <w:tc>
          <w:tcPr>
            <w:tcW w:w="84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700" w:type="dxa"/>
            <w:vAlign w:val="bottom"/>
            <w:shd w:val="clear" w:color="auto" w:fill="CCECFF"/>
          </w:tcPr>
          <w:p>
            <w:pPr>
              <w:spacing w:after="0"/>
              <w:rPr>
                <w:sz w:val="2"/>
                <w:szCs w:val="2"/>
                <w:color w:val="auto"/>
              </w:rPr>
            </w:pPr>
          </w:p>
        </w:tc>
        <w:tc>
          <w:tcPr>
            <w:tcW w:w="212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840" w:type="dxa"/>
            <w:vAlign w:val="bottom"/>
            <w:shd w:val="clear" w:color="auto" w:fill="CCECFF"/>
          </w:tcPr>
          <w:p>
            <w:pPr>
              <w:spacing w:after="0"/>
              <w:rPr>
                <w:sz w:val="2"/>
                <w:szCs w:val="2"/>
                <w:color w:val="auto"/>
              </w:rPr>
            </w:pPr>
          </w:p>
        </w:tc>
        <w:tc>
          <w:tcPr>
            <w:tcW w:w="56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1100" w:type="dxa"/>
            <w:vAlign w:val="bottom"/>
            <w:shd w:val="clear" w:color="auto" w:fill="CCECFF"/>
          </w:tcPr>
          <w:p>
            <w:pPr>
              <w:spacing w:after="0"/>
              <w:rPr>
                <w:sz w:val="2"/>
                <w:szCs w:val="2"/>
                <w:color w:val="auto"/>
              </w:rPr>
            </w:pPr>
          </w:p>
        </w:tc>
        <w:tc>
          <w:tcPr>
            <w:tcW w:w="300" w:type="dxa"/>
            <w:vAlign w:val="bottom"/>
            <w:shd w:val="clear" w:color="auto" w:fill="CCECFF"/>
          </w:tcPr>
          <w:p>
            <w:pPr>
              <w:spacing w:after="0"/>
              <w:rPr>
                <w:sz w:val="2"/>
                <w:szCs w:val="2"/>
                <w:color w:val="auto"/>
              </w:rPr>
            </w:pPr>
          </w:p>
        </w:tc>
        <w:tc>
          <w:tcPr>
            <w:tcW w:w="80" w:type="dxa"/>
            <w:vAlign w:val="bottom"/>
            <w:shd w:val="clear" w:color="auto" w:fill="CCECFF"/>
          </w:tcPr>
          <w:p>
            <w:pPr>
              <w:spacing w:after="0"/>
              <w:rPr>
                <w:sz w:val="2"/>
                <w:szCs w:val="2"/>
                <w:color w:val="auto"/>
              </w:rPr>
            </w:pPr>
          </w:p>
        </w:tc>
        <w:tc>
          <w:tcPr>
            <w:tcW w:w="260" w:type="dxa"/>
            <w:vAlign w:val="bottom"/>
            <w:shd w:val="clear" w:color="auto" w:fill="CCECFF"/>
          </w:tcPr>
          <w:p>
            <w:pPr>
              <w:spacing w:after="0"/>
              <w:rPr>
                <w:sz w:val="2"/>
                <w:szCs w:val="2"/>
                <w:color w:val="auto"/>
              </w:rPr>
            </w:pPr>
          </w:p>
        </w:tc>
        <w:tc>
          <w:tcPr>
            <w:tcW w:w="1140" w:type="dxa"/>
            <w:vAlign w:val="bottom"/>
            <w:shd w:val="clear" w:color="auto" w:fill="CCECFF"/>
          </w:tcPr>
          <w:p>
            <w:pPr>
              <w:spacing w:after="0"/>
              <w:rPr>
                <w:sz w:val="2"/>
                <w:szCs w:val="2"/>
                <w:color w:val="auto"/>
              </w:rPr>
            </w:pPr>
          </w:p>
        </w:tc>
        <w:tc>
          <w:tcPr>
            <w:tcW w:w="100" w:type="dxa"/>
            <w:vAlign w:val="bottom"/>
            <w:shd w:val="clear" w:color="auto" w:fill="CCECFF"/>
          </w:tcPr>
          <w:p>
            <w:pPr>
              <w:spacing w:after="0"/>
              <w:rPr>
                <w:sz w:val="2"/>
                <w:szCs w:val="2"/>
                <w:color w:val="auto"/>
              </w:rPr>
            </w:pPr>
          </w:p>
        </w:tc>
        <w:tc>
          <w:tcPr>
            <w:tcW w:w="560" w:type="dxa"/>
            <w:vAlign w:val="bottom"/>
            <w:shd w:val="clear" w:color="auto" w:fill="CCECFF"/>
          </w:tcPr>
          <w:p>
            <w:pPr>
              <w:spacing w:after="0"/>
              <w:rPr>
                <w:sz w:val="2"/>
                <w:szCs w:val="2"/>
                <w:color w:val="auto"/>
              </w:rPr>
            </w:pPr>
          </w:p>
        </w:tc>
        <w:tc>
          <w:tcPr>
            <w:tcW w:w="840" w:type="dxa"/>
            <w:vAlign w:val="bottom"/>
            <w:shd w:val="clear" w:color="auto" w:fill="CCEC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right="60" w:firstLine="320"/>
        <w:spacing w:after="0" w:line="277" w:lineRule="auto"/>
        <w:rPr>
          <w:sz w:val="20"/>
          <w:szCs w:val="20"/>
          <w:color w:val="auto"/>
        </w:rPr>
      </w:pPr>
      <w:r>
        <w:rPr>
          <w:rFonts w:ascii="Times New Roman" w:cs="Times New Roman" w:eastAsia="Times New Roman" w:hAnsi="Times New Roman"/>
          <w:sz w:val="18"/>
          <w:szCs w:val="18"/>
          <w:color w:val="auto"/>
        </w:rPr>
        <w:t>The estimated amount of pre-tax net losses included in other comprehensive loss that is expected to be reclassified into earnings over the twelve months following September 30, 2024, is $0.6.</w:t>
      </w:r>
    </w:p>
    <w:p>
      <w:pPr>
        <w:spacing w:after="0" w:line="107" w:lineRule="exact"/>
        <w:rPr>
          <w:sz w:val="20"/>
          <w:szCs w:val="20"/>
          <w:color w:val="auto"/>
        </w:rPr>
      </w:pPr>
    </w:p>
    <w:p>
      <w:pPr>
        <w:ind w:right="240" w:firstLine="320"/>
        <w:spacing w:after="0" w:line="279"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9 - Preferred Stock and Common Shareholders' Equity</w:t>
      </w:r>
      <w:r>
        <w:rPr>
          <w:rFonts w:ascii="Times New Roman" w:cs="Times New Roman" w:eastAsia="Times New Roman" w:hAnsi="Times New Roman"/>
          <w:sz w:val="18"/>
          <w:szCs w:val="18"/>
          <w:color w:val="auto"/>
        </w:rPr>
        <w:t xml:space="preserve"> for the impact of the Company’s derivative instruments included in accumulated other comprehensive loss.</w:t>
      </w:r>
    </w:p>
    <w:p>
      <w:pPr>
        <w:spacing w:after="0" w:line="94" w:lineRule="exact"/>
        <w:rPr>
          <w:sz w:val="20"/>
          <w:szCs w:val="20"/>
          <w:color w:val="auto"/>
        </w:rPr>
      </w:pPr>
    </w:p>
    <w:p>
      <w:pPr>
        <w:ind w:right="80" w:firstLine="282"/>
        <w:spacing w:after="0" w:line="246" w:lineRule="auto"/>
        <w:rPr>
          <w:sz w:val="20"/>
          <w:szCs w:val="20"/>
          <w:color w:val="auto"/>
        </w:rPr>
      </w:pPr>
      <w:r>
        <w:rPr>
          <w:rFonts w:ascii="Times New Roman" w:cs="Times New Roman" w:eastAsia="Times New Roman" w:hAnsi="Times New Roman"/>
          <w:sz w:val="18"/>
          <w:szCs w:val="18"/>
          <w:color w:val="auto"/>
        </w:rPr>
        <w:t>The following table presents a summary of the loss for derivative contracts not designated as hedges included in the Company’s condensed consolidated and combined statements of operations: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1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Gain (Loss) on Derivatives Recognized in Earnings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5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Statement of Operations Classification</w:t>
            </w: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72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
        </w:trPr>
        <w:tc>
          <w:tcPr>
            <w:tcW w:w="2720" w:type="dxa"/>
            <w:vAlign w:val="bottom"/>
            <w:tcBorders>
              <w:bottom w:val="single" w:sz="8" w:color="CCECFF"/>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C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72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460" w:type="dxa"/>
            <w:vAlign w:val="bottom"/>
            <w:shd w:val="clear" w:color="auto" w:fill="CCEC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8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CFF"/>
          </w:tcPr>
          <w:p>
            <w:pPr>
              <w:jc w:val="right"/>
              <w:ind w:right="3"/>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CFF"/>
          </w:tcPr>
          <w:p>
            <w:pPr>
              <w:spacing w:after="0"/>
              <w:rPr>
                <w:sz w:val="19"/>
                <w:szCs w:val="19"/>
                <w:color w:val="auto"/>
              </w:rPr>
            </w:pPr>
          </w:p>
        </w:tc>
        <w:tc>
          <w:tcPr>
            <w:tcW w:w="1100" w:type="dxa"/>
            <w:vAlign w:val="bottom"/>
            <w:shd w:val="clear" w:color="auto" w:fill="CCECFF"/>
          </w:tcPr>
          <w:p>
            <w:pPr>
              <w:jc w:val="right"/>
              <w:ind w:right="911"/>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CFF"/>
          </w:tcPr>
          <w:p>
            <w:pPr>
              <w:spacing w:after="0"/>
              <w:rPr>
                <w:sz w:val="19"/>
                <w:szCs w:val="19"/>
                <w:color w:val="auto"/>
              </w:rPr>
            </w:pPr>
          </w:p>
        </w:tc>
        <w:tc>
          <w:tcPr>
            <w:tcW w:w="260" w:type="dxa"/>
            <w:vAlign w:val="bottom"/>
            <w:shd w:val="clear" w:color="auto" w:fill="CCEC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CFF"/>
          </w:tcPr>
          <w:p>
            <w:pPr>
              <w:jc w:val="right"/>
              <w:ind w:right="3"/>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CFF"/>
          </w:tcPr>
          <w:p>
            <w:pPr>
              <w:spacing w:after="0"/>
              <w:rPr>
                <w:sz w:val="19"/>
                <w:szCs w:val="19"/>
                <w:color w:val="auto"/>
              </w:rPr>
            </w:pPr>
          </w:p>
        </w:tc>
        <w:tc>
          <w:tcPr>
            <w:tcW w:w="340" w:type="dxa"/>
            <w:vAlign w:val="bottom"/>
            <w:shd w:val="clear" w:color="auto" w:fill="CCEC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720" w:type="dxa"/>
            <w:vAlign w:val="bottom"/>
            <w:shd w:val="clear" w:color="auto" w:fill="CCECFF"/>
          </w:tcPr>
          <w:p>
            <w:pPr>
              <w:spacing w:after="0" w:line="20" w:lineRule="exact"/>
              <w:rPr>
                <w:sz w:val="1"/>
                <w:szCs w:val="1"/>
                <w:color w:val="auto"/>
              </w:rPr>
            </w:pPr>
          </w:p>
        </w:tc>
        <w:tc>
          <w:tcPr>
            <w:tcW w:w="246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18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100" w:type="dxa"/>
            <w:vAlign w:val="bottom"/>
            <w:shd w:val="clear" w:color="auto" w:fill="CCECFF"/>
          </w:tcPr>
          <w:p>
            <w:pPr>
              <w:spacing w:after="0" w:line="20" w:lineRule="exact"/>
              <w:rPr>
                <w:sz w:val="1"/>
                <w:szCs w:val="1"/>
                <w:color w:val="auto"/>
              </w:rPr>
            </w:pPr>
          </w:p>
        </w:tc>
        <w:tc>
          <w:tcPr>
            <w:tcW w:w="30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16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340" w:type="dxa"/>
            <w:vAlign w:val="bottom"/>
            <w:shd w:val="clear" w:color="auto" w:fill="CCECFF"/>
          </w:tcPr>
          <w:p>
            <w:pPr>
              <w:spacing w:after="0" w:line="20" w:lineRule="exact"/>
              <w:rPr>
                <w:sz w:val="1"/>
                <w:szCs w:val="1"/>
                <w:color w:val="auto"/>
              </w:rPr>
            </w:pPr>
          </w:p>
        </w:tc>
        <w:tc>
          <w:tcPr>
            <w:tcW w:w="10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COMMITMENTS AND CONTINGENT LIABILITIES</w:t>
      </w:r>
    </w:p>
    <w:p>
      <w:pPr>
        <w:spacing w:after="0" w:line="171" w:lineRule="exact"/>
        <w:rPr>
          <w:sz w:val="20"/>
          <w:szCs w:val="20"/>
          <w:color w:val="auto"/>
        </w:rPr>
      </w:pPr>
    </w:p>
    <w:p>
      <w:pPr>
        <w:ind w:right="260" w:firstLine="320"/>
        <w:spacing w:after="0" w:line="254" w:lineRule="auto"/>
        <w:rPr>
          <w:sz w:val="20"/>
          <w:szCs w:val="20"/>
          <w:color w:val="auto"/>
        </w:rPr>
      </w:pPr>
      <w:r>
        <w:rPr>
          <w:rFonts w:ascii="Times New Roman" w:cs="Times New Roman" w:eastAsia="Times New Roman" w:hAnsi="Times New Roman"/>
          <w:sz w:val="18"/>
          <w:szCs w:val="18"/>
          <w:color w:val="auto"/>
        </w:rPr>
        <w:t xml:space="preserve">The Company is involved from time to time in various claims and legal actions arising in the ordinary course of business. These matters may include commercial and contract disputes, employee-related matters, and professional liability claims. In accordance with FASB ASC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the Company establishes reserves for claims and legal actions when those matters present loss contingencies that are both probable and estimable. When loss contingencies are not both probable and estimable, the Company does not establish reserves. The Company does not believe that any liabilities related to such claims and legal actions will have a material effect on its financial condition, results of operations or cash flows.</w:t>
      </w:r>
    </w:p>
    <w:p>
      <w:pPr>
        <w:spacing w:after="0" w:line="132" w:lineRule="exact"/>
        <w:rPr>
          <w:sz w:val="20"/>
          <w:szCs w:val="20"/>
          <w:color w:val="auto"/>
        </w:rPr>
      </w:pPr>
    </w:p>
    <w:p>
      <w:pPr>
        <w:ind w:firstLine="320"/>
        <w:spacing w:after="0" w:line="273" w:lineRule="auto"/>
        <w:rPr>
          <w:sz w:val="20"/>
          <w:szCs w:val="20"/>
          <w:color w:val="auto"/>
        </w:rPr>
      </w:pPr>
      <w:r>
        <w:rPr>
          <w:rFonts w:ascii="Times New Roman" w:cs="Times New Roman" w:eastAsia="Times New Roman" w:hAnsi="Times New Roman"/>
          <w:sz w:val="17"/>
          <w:szCs w:val="17"/>
          <w:color w:val="auto"/>
        </w:rPr>
        <w:t>The Company believes that it is in compliance in all material respects with all statutes, regulations, and other requirements applicable to its drug development support services. The drug development industry is, however, subject to extensive regulation, and the courts have not interpreted many of the applicable statutes and regulations. Therefore, the applicable statutes and regulations could be interpreted or applied by a prosecutorial, regulatory, or judicial authority in a manner that would adversely affect the Company. Potential sanctions for violation of these statutes and regulations include significant civil and criminal penalties, fines, the loss of various licenses, certificates and authorizations, and/or additional liabilities from third-party claims.</w:t>
      </w:r>
    </w:p>
    <w:p>
      <w:pPr>
        <w:spacing w:after="0" w:line="116"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Fortrea obtains insurance coverage for certain catastrophic exposures as well as those risks required to be insured by law or contract. The Company is covered by those policies but is responsible for the uninsured portion of losses related primarily to general, professional and vehicle liability, certain medical costs and workers’ compensation. The self-insured retentions are on a per-occurrence basis without any aggregate annual limit. Provisions for losses expected under these programs are recorded based upon the Company’s estimates of the aggregated liability of claims incurred.</w:t>
      </w:r>
    </w:p>
    <w:p>
      <w:pPr>
        <w:spacing w:after="0" w:line="127"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It was previously disclosed that there was an issue in a customer’s trial caused by a third-party vendor not affiliated with the Company. As part of working with this customer, the Company agreed to make concessions and provide discounts and other consideration to the customer in the amount of $12.5 as part of a multi-party solution to facilitate the ongoing trials, of which $0.9 and $3.0 was recorded as a reduction of revenue during the three and nine months ended September 30, 2024, respectively, and $8.7 was recorded as a reduction in revenue in the fourth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23" w:name="page24"/>
    <w:bookmarkEnd w:id="23"/>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PREFERRED STOCK AND COMMON SHAREHOLDERS’ EQUITY</w:t>
      </w:r>
    </w:p>
    <w:p>
      <w:pPr>
        <w:spacing w:after="0" w:line="171" w:lineRule="exact"/>
        <w:rPr>
          <w:sz w:val="20"/>
          <w:szCs w:val="20"/>
          <w:color w:val="auto"/>
        </w:rPr>
      </w:pPr>
    </w:p>
    <w:p>
      <w:pPr>
        <w:ind w:right="340" w:firstLine="320"/>
        <w:spacing w:after="0" w:line="307" w:lineRule="auto"/>
        <w:rPr>
          <w:sz w:val="20"/>
          <w:szCs w:val="20"/>
          <w:color w:val="auto"/>
        </w:rPr>
      </w:pPr>
      <w:r>
        <w:rPr>
          <w:rFonts w:ascii="Times New Roman" w:cs="Times New Roman" w:eastAsia="Times New Roman" w:hAnsi="Times New Roman"/>
          <w:sz w:val="17"/>
          <w:szCs w:val="17"/>
          <w:color w:val="auto"/>
        </w:rPr>
        <w:t>The Company is authorized to issue up to 265.0 shares of common stock, par value $0.001 per share. The Company is authorized to issue up to 30.0 shares of preferred stock, par value $0.001 per share. There were no preferred shares outstanding as of September 30, 2024 and December 31, 2023.</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1940" w:type="dxa"/>
            <w:vAlign w:val="bottom"/>
            <w:tcBorders>
              <w:top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80" w:type="dxa"/>
            <w:vAlign w:val="bottom"/>
          </w:tcPr>
          <w:p>
            <w:pPr>
              <w:spacing w:after="0"/>
              <w:rPr>
                <w:sz w:val="12"/>
                <w:szCs w:val="12"/>
                <w:color w:val="auto"/>
              </w:rPr>
            </w:pPr>
          </w:p>
        </w:tc>
        <w:tc>
          <w:tcPr>
            <w:tcW w:w="19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Benefit Plan Adjustments</w:t>
            </w:r>
          </w:p>
        </w:tc>
        <w:tc>
          <w:tcPr>
            <w:tcW w:w="100" w:type="dxa"/>
            <w:vAlign w:val="bottom"/>
            <w:vMerge w:val="restart"/>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 (Loss) on</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ind w:right="289"/>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9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0" w:type="dxa"/>
            <w:vAlign w:val="bottom"/>
          </w:tcPr>
          <w:p>
            <w:pPr>
              <w:spacing w:after="0"/>
              <w:rPr>
                <w:sz w:val="1"/>
                <w:szCs w:val="1"/>
                <w:color w:val="auto"/>
              </w:rPr>
            </w:pPr>
          </w:p>
        </w:tc>
      </w:tr>
      <w:tr>
        <w:trPr>
          <w:trHeight w:val="19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0" w:type="dxa"/>
            <w:vAlign w:val="bottom"/>
          </w:tcPr>
          <w:p>
            <w:pPr>
              <w:spacing w:after="0"/>
              <w:rPr>
                <w:sz w:val="1"/>
                <w:szCs w:val="1"/>
                <w:color w:val="auto"/>
              </w:rPr>
            </w:pPr>
          </w:p>
        </w:tc>
      </w:tr>
      <w:tr>
        <w:trPr>
          <w:trHeight w:val="192"/>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quarter foreign exchange adjustments</w:t>
            </w:r>
          </w:p>
        </w:tc>
        <w:tc>
          <w:tcPr>
            <w:tcW w:w="3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gain on derivative instrument</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37"/>
        </w:trPr>
        <w:tc>
          <w:tcPr>
            <w:tcW w:w="324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color w:val="auto"/>
              </w:rPr>
              <w:t>Amounts reclassified from other accumulated</w:t>
            </w:r>
          </w:p>
        </w:tc>
        <w:tc>
          <w:tcPr>
            <w:tcW w:w="340" w:type="dxa"/>
            <w:vAlign w:val="bottom"/>
          </w:tcPr>
          <w:p>
            <w:pPr>
              <w:spacing w:after="0"/>
              <w:rPr>
                <w:sz w:val="11"/>
                <w:szCs w:val="11"/>
                <w:color w:val="auto"/>
              </w:rPr>
            </w:pPr>
          </w:p>
        </w:tc>
        <w:tc>
          <w:tcPr>
            <w:tcW w:w="1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05"/>
        </w:trPr>
        <w:tc>
          <w:tcPr>
            <w:tcW w:w="32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income (loss)</w:t>
            </w:r>
          </w:p>
        </w:tc>
        <w:tc>
          <w:tcPr>
            <w:tcW w:w="340" w:type="dxa"/>
            <w:vAlign w:val="bottom"/>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2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 effect of adjustments</w:t>
            </w:r>
          </w:p>
        </w:tc>
        <w:tc>
          <w:tcPr>
            <w:tcW w:w="3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3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w:t>
            </w: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quarter foreign exchange adjustments</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2"/>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gain on derivative instrument</w:t>
            </w:r>
          </w:p>
        </w:tc>
        <w:tc>
          <w:tcPr>
            <w:tcW w:w="340" w:type="dxa"/>
            <w:vAlign w:val="bottom"/>
          </w:tcPr>
          <w:p>
            <w:pPr>
              <w:spacing w:after="0"/>
              <w:rPr>
                <w:sz w:val="16"/>
                <w:szCs w:val="16"/>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45"/>
        </w:trPr>
        <w:tc>
          <w:tcPr>
            <w:tcW w:w="324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4"/>
                <w:szCs w:val="14"/>
                <w:color w:val="auto"/>
              </w:rPr>
              <w:t>Amounts reclassified from other accumulated</w:t>
            </w:r>
          </w:p>
        </w:tc>
        <w:tc>
          <w:tcPr>
            <w:tcW w:w="340" w:type="dxa"/>
            <w:vAlign w:val="bottom"/>
            <w:shd w:val="clear" w:color="auto" w:fill="CCEEFF"/>
          </w:tcPr>
          <w:p>
            <w:pPr>
              <w:spacing w:after="0"/>
              <w:rPr>
                <w:sz w:val="12"/>
                <w:szCs w:val="12"/>
                <w:color w:val="auto"/>
              </w:rPr>
            </w:pPr>
          </w:p>
        </w:tc>
        <w:tc>
          <w:tcPr>
            <w:tcW w:w="1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05"/>
        </w:trPr>
        <w:tc>
          <w:tcPr>
            <w:tcW w:w="324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income (loss)</w:t>
            </w:r>
          </w:p>
        </w:tc>
        <w:tc>
          <w:tcPr>
            <w:tcW w:w="340" w:type="dxa"/>
            <w:vAlign w:val="bottom"/>
            <w:shd w:val="clear" w:color="auto" w:fill="CCEEFF"/>
          </w:tcPr>
          <w:p>
            <w:pPr>
              <w:spacing w:after="0"/>
              <w:rPr>
                <w:sz w:val="9"/>
                <w:szCs w:val="9"/>
                <w:color w:val="auto"/>
              </w:rPr>
            </w:pPr>
          </w:p>
        </w:tc>
        <w:tc>
          <w:tcPr>
            <w:tcW w:w="1680" w:type="dxa"/>
            <w:vAlign w:val="bottom"/>
            <w:gridSpan w:val="2"/>
            <w:vMerge w:val="continue"/>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240" w:type="dxa"/>
            <w:vAlign w:val="bottom"/>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7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Tax effect of adjustments</w:t>
            </w:r>
          </w:p>
        </w:tc>
        <w:tc>
          <w:tcPr>
            <w:tcW w:w="340" w:type="dxa"/>
            <w:vAlign w:val="bottom"/>
          </w:tcPr>
          <w:p>
            <w:pPr>
              <w:spacing w:after="0"/>
              <w:rPr>
                <w:sz w:val="16"/>
                <w:szCs w:val="16"/>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0"/>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34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0" w:type="dxa"/>
            <w:vAlign w:val="bottom"/>
          </w:tcPr>
          <w:p>
            <w:pPr>
              <w:spacing w:after="0"/>
              <w:rPr>
                <w:sz w:val="1"/>
                <w:szCs w:val="1"/>
                <w:color w:val="auto"/>
              </w:rPr>
            </w:pPr>
          </w:p>
        </w:tc>
      </w:tr>
      <w:tr>
        <w:trPr>
          <w:trHeight w:val="192"/>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quarter foreign exchange adjustments</w:t>
            </w:r>
          </w:p>
        </w:tc>
        <w:tc>
          <w:tcPr>
            <w:tcW w:w="340" w:type="dxa"/>
            <w:vAlign w:val="bottom"/>
          </w:tcPr>
          <w:p>
            <w:pPr>
              <w:spacing w:after="0"/>
              <w:rPr>
                <w:sz w:val="16"/>
                <w:szCs w:val="16"/>
                <w:color w:val="auto"/>
              </w:rPr>
            </w:pPr>
          </w:p>
        </w:tc>
        <w:tc>
          <w:tcPr>
            <w:tcW w:w="1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73.4</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Unrealized gain on derivative instrument</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37"/>
        </w:trPr>
        <w:tc>
          <w:tcPr>
            <w:tcW w:w="3240" w:type="dxa"/>
            <w:vAlign w:val="bottom"/>
          </w:tcPr>
          <w:p>
            <w:pPr>
              <w:ind w:left="240"/>
              <w:spacing w:after="0" w:line="137" w:lineRule="exact"/>
              <w:rPr>
                <w:sz w:val="20"/>
                <w:szCs w:val="20"/>
                <w:color w:val="auto"/>
              </w:rPr>
            </w:pPr>
            <w:r>
              <w:rPr>
                <w:rFonts w:ascii="Times New Roman" w:cs="Times New Roman" w:eastAsia="Times New Roman" w:hAnsi="Times New Roman"/>
                <w:sz w:val="14"/>
                <w:szCs w:val="14"/>
                <w:color w:val="auto"/>
              </w:rPr>
              <w:t>Amounts reclassified from other accumulated</w:t>
            </w:r>
          </w:p>
        </w:tc>
        <w:tc>
          <w:tcPr>
            <w:tcW w:w="340" w:type="dxa"/>
            <w:vAlign w:val="bottom"/>
          </w:tcPr>
          <w:p>
            <w:pPr>
              <w:spacing w:after="0"/>
              <w:rPr>
                <w:sz w:val="11"/>
                <w:szCs w:val="11"/>
                <w:color w:val="auto"/>
              </w:rPr>
            </w:pPr>
          </w:p>
        </w:tc>
        <w:tc>
          <w:tcPr>
            <w:tcW w:w="1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0"/>
        </w:trPr>
        <w:tc>
          <w:tcPr>
            <w:tcW w:w="32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income (loss)</w:t>
            </w:r>
          </w:p>
        </w:tc>
        <w:tc>
          <w:tcPr>
            <w:tcW w:w="34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 effect of adjustments</w:t>
            </w:r>
          </w:p>
        </w:tc>
        <w:tc>
          <w:tcPr>
            <w:tcW w:w="3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20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(168.7)</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4" w:name="page25"/>
    <w:bookmarkEnd w:id="24"/>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40" w:type="dxa"/>
            <w:vAlign w:val="bottom"/>
          </w:tcPr>
          <w:p>
            <w:pPr>
              <w:spacing w:after="0"/>
              <w:rPr>
                <w:sz w:val="12"/>
                <w:szCs w:val="12"/>
                <w:color w:val="auto"/>
              </w:rPr>
            </w:pPr>
          </w:p>
        </w:tc>
        <w:tc>
          <w:tcPr>
            <w:tcW w:w="1940" w:type="dxa"/>
            <w:vAlign w:val="bottom"/>
            <w:tcBorders>
              <w:top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Foreign Currency Translation</w:t>
            </w:r>
          </w:p>
        </w:tc>
        <w:tc>
          <w:tcPr>
            <w:tcW w:w="80" w:type="dxa"/>
            <w:vAlign w:val="bottom"/>
          </w:tcPr>
          <w:p>
            <w:pPr>
              <w:spacing w:after="0"/>
              <w:rPr>
                <w:sz w:val="12"/>
                <w:szCs w:val="12"/>
                <w:color w:val="auto"/>
              </w:rPr>
            </w:pPr>
          </w:p>
        </w:tc>
        <w:tc>
          <w:tcPr>
            <w:tcW w:w="19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Benefit Plan Adjustments</w:t>
            </w:r>
          </w:p>
        </w:tc>
        <w:tc>
          <w:tcPr>
            <w:tcW w:w="100" w:type="dxa"/>
            <w:vAlign w:val="bottom"/>
            <w:vMerge w:val="restart"/>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Unrealized Gain (Loss) on</w:t>
            </w: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ind w:right="289"/>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92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c>
          <w:tcPr>
            <w:tcW w:w="0" w:type="dxa"/>
            <w:vAlign w:val="bottom"/>
          </w:tcPr>
          <w:p>
            <w:pPr>
              <w:spacing w:after="0"/>
              <w:rPr>
                <w:sz w:val="1"/>
                <w:szCs w:val="1"/>
                <w:color w:val="auto"/>
              </w:rPr>
            </w:pPr>
          </w:p>
        </w:tc>
      </w:tr>
      <w:tr>
        <w:trPr>
          <w:trHeight w:val="199"/>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0" w:type="dxa"/>
            <w:vAlign w:val="bottom"/>
          </w:tcPr>
          <w:p>
            <w:pPr>
              <w:spacing w:after="0"/>
              <w:rPr>
                <w:sz w:val="1"/>
                <w:szCs w:val="1"/>
                <w:color w:val="auto"/>
              </w:rPr>
            </w:pPr>
          </w:p>
        </w:tc>
      </w:tr>
      <w:tr>
        <w:trPr>
          <w:trHeight w:val="192"/>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Current quarter foreign exchange adjustments</w:t>
            </w:r>
          </w:p>
        </w:tc>
        <w:tc>
          <w:tcPr>
            <w:tcW w:w="340" w:type="dxa"/>
            <w:vAlign w:val="bottom"/>
          </w:tcPr>
          <w:p>
            <w:pPr>
              <w:spacing w:after="0"/>
              <w:rPr>
                <w:sz w:val="16"/>
                <w:szCs w:val="16"/>
                <w:color w:val="auto"/>
              </w:rPr>
            </w:pPr>
          </w:p>
        </w:tc>
        <w:tc>
          <w:tcPr>
            <w:tcW w:w="16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 effect of adjustments</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3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(246.9)</w:t>
            </w: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quarter foreign exchange adjustments</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29.9</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92"/>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benefit plan adjustments</w:t>
            </w:r>
          </w:p>
        </w:tc>
        <w:tc>
          <w:tcPr>
            <w:tcW w:w="340" w:type="dxa"/>
            <w:vAlign w:val="bottom"/>
          </w:tcPr>
          <w:p>
            <w:pPr>
              <w:spacing w:after="0"/>
              <w:rPr>
                <w:sz w:val="16"/>
                <w:szCs w:val="16"/>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 effect of adjustments</w:t>
            </w: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34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Current quarter foreign exchange adjustments</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192"/>
        </w:trPr>
        <w:tc>
          <w:tcPr>
            <w:tcW w:w="32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Unrealized gain on derivative instrument</w:t>
            </w:r>
          </w:p>
        </w:tc>
        <w:tc>
          <w:tcPr>
            <w:tcW w:w="340" w:type="dxa"/>
            <w:vAlign w:val="bottom"/>
          </w:tcPr>
          <w:p>
            <w:pPr>
              <w:spacing w:after="0"/>
              <w:rPr>
                <w:sz w:val="16"/>
                <w:szCs w:val="16"/>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 effect of adjustments</w:t>
            </w:r>
          </w:p>
        </w:tc>
        <w:tc>
          <w:tcPr>
            <w:tcW w:w="3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0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(272.6)</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ind w:right="68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57" w:lineRule="exact"/>
        <w:rPr>
          <w:sz w:val="20"/>
          <w:szCs w:val="20"/>
          <w:color w:val="auto"/>
        </w:rPr>
      </w:pPr>
    </w:p>
    <w:p>
      <w:pPr>
        <w:ind w:firstLine="282"/>
        <w:spacing w:after="0" w:line="226" w:lineRule="auto"/>
        <w:rPr>
          <w:sz w:val="20"/>
          <w:szCs w:val="20"/>
          <w:color w:val="auto"/>
        </w:rPr>
      </w:pPr>
      <w:r>
        <w:rPr>
          <w:rFonts w:ascii="Times New Roman" w:cs="Times New Roman" w:eastAsia="Times New Roman" w:hAnsi="Times New Roman"/>
          <w:sz w:val="18"/>
          <w:szCs w:val="18"/>
          <w:color w:val="auto"/>
        </w:rPr>
        <w:t>For the three months ended September 30, 2024 and 2023, the Company recognized income tax benefits of $17.3 and $5.8, respectively, which resulted in effective tax rates of 48.3% and 26.5%, respectively. The effective tax rate for the three months ended September 30, 2024 was higher than the Company’s statutory tax rate primarily due to the geographic mix of earnings, partially offset by a forecasted valuation allowance on the deferred tax asset for the carryforward of disallowed interest expense, which impacts the annualized effective tax rate of the Company by approximately 14.8%. This deferred tax asset exists due to limitations imposed under the Internal Revenue Code on the annual deductibility of business interest expense. The effective tax rate for the three months ended September 30, 2023 was higher than the Company’s statutory tax rate primarily due to the geographic mix of earnings partially offset by U.S. taxes on foreign earnings.</w:t>
      </w:r>
    </w:p>
    <w:p>
      <w:pPr>
        <w:spacing w:after="0" w:line="130" w:lineRule="exact"/>
        <w:rPr>
          <w:sz w:val="20"/>
          <w:szCs w:val="20"/>
          <w:color w:val="auto"/>
        </w:rPr>
      </w:pPr>
    </w:p>
    <w:p>
      <w:pPr>
        <w:ind w:right="60" w:firstLine="282"/>
        <w:spacing w:after="0" w:line="235"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recognized an income tax benefit of $2.5 resulting in an effective tax rate of 1.2%. For the nine months ended September 30, 2023, the Company recognized income tax expense of $7.3 resulting in an effective tax rate of 30.2% for the nine months ended September 30, 2023. The effective tax rate for the nine months ended September 30, 2024 was lower than the Company’s statutory tax rate primarily due to the valuation allowance recognized on the deferred tax asset for the carryforward of disallowed interest expense and non-deductible compensation expenses. The effective tax rate for the nine months ended September 30, 2023 was higher than the Company’s statutory tax rate primarily due to the geographic mix of earnings partially offset by U.S. taxes on foreign earnings.</w:t>
      </w:r>
    </w:p>
    <w:p>
      <w:pPr>
        <w:spacing w:after="0" w:line="132" w:lineRule="exact"/>
        <w:rPr>
          <w:sz w:val="20"/>
          <w:szCs w:val="20"/>
          <w:color w:val="auto"/>
        </w:rPr>
      </w:pPr>
    </w:p>
    <w:p>
      <w:pPr>
        <w:ind w:right="120" w:firstLine="282"/>
        <w:spacing w:after="0" w:line="246" w:lineRule="auto"/>
        <w:rPr>
          <w:sz w:val="20"/>
          <w:szCs w:val="20"/>
          <w:color w:val="auto"/>
        </w:rPr>
      </w:pPr>
      <w:r>
        <w:rPr>
          <w:rFonts w:ascii="Times New Roman" w:cs="Times New Roman" w:eastAsia="Times New Roman" w:hAnsi="Times New Roman"/>
          <w:sz w:val="18"/>
          <w:szCs w:val="18"/>
          <w:color w:val="auto"/>
        </w:rPr>
        <w:t>During the nine months ended September 30, 2024, the amount of net unrecognized tax positions increased by less than $0.1. Management believes it is unlikely that the unrecognized income tax benefits and interest will decrease during the next 12 months.</w:t>
      </w:r>
    </w:p>
    <w:p>
      <w:pPr>
        <w:spacing w:after="0" w:line="13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STOCK COMPENSATION PLANS</w:t>
      </w:r>
    </w:p>
    <w:p>
      <w:pPr>
        <w:spacing w:after="0" w:line="157" w:lineRule="exact"/>
        <w:rPr>
          <w:sz w:val="20"/>
          <w:szCs w:val="20"/>
          <w:color w:val="auto"/>
        </w:rPr>
      </w:pPr>
    </w:p>
    <w:p>
      <w:pPr>
        <w:ind w:right="500" w:firstLine="282"/>
        <w:spacing w:after="0" w:line="246" w:lineRule="auto"/>
        <w:rPr>
          <w:sz w:val="20"/>
          <w:szCs w:val="20"/>
          <w:color w:val="auto"/>
        </w:rPr>
      </w:pPr>
      <w:r>
        <w:rPr>
          <w:rFonts w:ascii="Times New Roman" w:cs="Times New Roman" w:eastAsia="Times New Roman" w:hAnsi="Times New Roman"/>
          <w:sz w:val="18"/>
          <w:szCs w:val="18"/>
          <w:color w:val="auto"/>
        </w:rPr>
        <w:t>The Company granted 0.1 and 1.1 restricted stock units during the three and nine months ended September 30, 2024, respectively, with a weighted average grant date fair value of $21.39 and $37.62 per share.</w:t>
      </w:r>
    </w:p>
    <w:p>
      <w:pPr>
        <w:spacing w:after="0" w:line="109" w:lineRule="exact"/>
        <w:rPr>
          <w:sz w:val="20"/>
          <w:szCs w:val="20"/>
          <w:color w:val="auto"/>
        </w:rPr>
      </w:pPr>
    </w:p>
    <w:p>
      <w:pPr>
        <w:ind w:right="700" w:firstLine="320"/>
        <w:spacing w:after="0" w:line="246" w:lineRule="auto"/>
        <w:rPr>
          <w:sz w:val="20"/>
          <w:szCs w:val="20"/>
          <w:color w:val="auto"/>
        </w:rPr>
      </w:pPr>
      <w:r>
        <w:rPr>
          <w:rFonts w:ascii="Times New Roman" w:cs="Times New Roman" w:eastAsia="Times New Roman" w:hAnsi="Times New Roman"/>
          <w:sz w:val="18"/>
          <w:szCs w:val="18"/>
          <w:color w:val="auto"/>
        </w:rPr>
        <w:t>Total stock-based compensation expense and the associated income tax benefits recognized by the Company in the condensed consolidated and combined statements of operations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4" w:right="359" w:bottom="1440" w:gutter="0" w:footer="0" w:header="0"/>
        </w:sectPr>
      </w:pPr>
    </w:p>
    <w:bookmarkStart w:id="25" w:name="page26"/>
    <w:bookmarkEnd w:id="25"/>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75" w:lineRule="exact"/>
        <w:rPr>
          <w:sz w:val="20"/>
          <w:szCs w:val="20"/>
          <w:color w:val="auto"/>
        </w:rPr>
      </w:pPr>
    </w:p>
    <w:tbl>
      <w:tblPr>
        <w:tblLayout w:type="fixed"/>
        <w:tblInd w:w="28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30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
        </w:trPr>
        <w:tc>
          <w:tcPr>
            <w:tcW w:w="48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7"/>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94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7"/>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5"/>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940" w:type="dxa"/>
            <w:vAlign w:val="bottom"/>
            <w:tcBorders>
              <w:bottom w:val="single" w:sz="8" w:color="auto"/>
            </w:tcBorders>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4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7"/>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benefits</w:t>
            </w:r>
          </w:p>
        </w:tc>
        <w:tc>
          <w:tcPr>
            <w:tcW w:w="940" w:type="dxa"/>
            <w:vAlign w:val="bottom"/>
            <w:shd w:val="clear" w:color="auto" w:fill="CCEEFF"/>
          </w:tcPr>
          <w:p>
            <w:pPr>
              <w:jc w:val="right"/>
              <w:ind w:right="73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TRANSACTIONS WITH FORMER PARENT</w:t>
      </w:r>
    </w:p>
    <w:p>
      <w:pPr>
        <w:spacing w:after="0" w:line="171" w:lineRule="exact"/>
        <w:rPr>
          <w:sz w:val="20"/>
          <w:szCs w:val="20"/>
          <w:color w:val="auto"/>
        </w:rPr>
      </w:pPr>
    </w:p>
    <w:p>
      <w:pPr>
        <w:ind w:right="60" w:firstLine="320"/>
        <w:spacing w:after="0" w:line="262" w:lineRule="auto"/>
        <w:rPr>
          <w:sz w:val="20"/>
          <w:szCs w:val="20"/>
          <w:color w:val="auto"/>
        </w:rPr>
      </w:pPr>
      <w:r>
        <w:rPr>
          <w:rFonts w:ascii="Times New Roman" w:cs="Times New Roman" w:eastAsia="Times New Roman" w:hAnsi="Times New Roman"/>
          <w:sz w:val="18"/>
          <w:szCs w:val="18"/>
          <w:color w:val="auto"/>
        </w:rPr>
        <w:t>Prior to the Separation on June 30, 2023, the condensed consolidated and combined financial statements were prepared on a standalone basis and were derived from the condensed consolidated financial statements and accounting records of Labcorp. The following discussion summarizes activity between the Company and Labcorp. This activity, which occurred prior to the Separation, is included in the condensed combined financial statements in 2023.</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and Other Expenses</w:t>
      </w:r>
    </w:p>
    <w:p>
      <w:pPr>
        <w:spacing w:after="0" w:line="171" w:lineRule="exact"/>
        <w:rPr>
          <w:sz w:val="20"/>
          <w:szCs w:val="20"/>
          <w:color w:val="auto"/>
        </w:rPr>
      </w:pPr>
    </w:p>
    <w:p>
      <w:pPr>
        <w:ind w:right="20" w:firstLine="320"/>
        <w:spacing w:after="0" w:line="253" w:lineRule="auto"/>
        <w:rPr>
          <w:sz w:val="20"/>
          <w:szCs w:val="20"/>
          <w:color w:val="auto"/>
        </w:rPr>
      </w:pPr>
      <w:r>
        <w:rPr>
          <w:rFonts w:ascii="Times New Roman" w:cs="Times New Roman" w:eastAsia="Times New Roman" w:hAnsi="Times New Roman"/>
          <w:sz w:val="18"/>
          <w:szCs w:val="18"/>
          <w:color w:val="auto"/>
        </w:rPr>
        <w:t xml:space="preserve">Prior to the Separation, the Company’s condensed consolidated and combined statements of operations included expenses for certain centralized functions and other programs provided and administered by Labcorp that were charged directly to the Company. In addition, for purposes of preparing these condensed consolidated and combined financial statements on a carve-out basis, a portion of Labcorp’s total corporate expenses were allocated to the Company. See </w:t>
      </w:r>
      <w:r>
        <w:rPr>
          <w:rFonts w:ascii="Times New Roman" w:cs="Times New Roman" w:eastAsia="Times New Roman" w:hAnsi="Times New Roman"/>
          <w:sz w:val="18"/>
          <w:szCs w:val="18"/>
          <w:i w:val="1"/>
          <w:iCs w:val="1"/>
          <w:color w:val="auto"/>
        </w:rPr>
        <w:t>Note 1 - Basis of Financial Statement Presentation</w:t>
      </w:r>
      <w:r>
        <w:rPr>
          <w:rFonts w:ascii="Times New Roman" w:cs="Times New Roman" w:eastAsia="Times New Roman" w:hAnsi="Times New Roman"/>
          <w:sz w:val="18"/>
          <w:szCs w:val="18"/>
          <w:color w:val="auto"/>
        </w:rPr>
        <w:t xml:space="preserve"> for a discussion of the methodology used to allocate corporate-related costs for purposes of preparing these financial statements on a carve-out basis. Some of these services continue to be provided by Labcorp to the Company on a temporary basis under the Transition Services Agreement with Labcorp.</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is a summary of corporate and other allocations for the three and nine months ended September 30, 2023:</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 costs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 and other allocations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3"/>
        </w:trPr>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56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7"/>
        </w:trPr>
        <w:tc>
          <w:tcPr>
            <w:tcW w:w="560" w:type="dxa"/>
            <w:vAlign w:val="bottom"/>
          </w:tcPr>
          <w:p>
            <w:pPr>
              <w:spacing w:after="0"/>
              <w:rPr>
                <w:sz w:val="19"/>
                <w:szCs w:val="19"/>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7"/>
        </w:trPr>
        <w:tc>
          <w:tcPr>
            <w:tcW w:w="560" w:type="dxa"/>
            <w:vAlign w:val="bottom"/>
          </w:tcPr>
          <w:p>
            <w:pPr>
              <w:spacing w:after="0"/>
              <w:rPr>
                <w:sz w:val="19"/>
                <w:szCs w:val="19"/>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2"/>
        </w:trPr>
        <w:tc>
          <w:tcPr>
            <w:tcW w:w="560" w:type="dxa"/>
            <w:vAlign w:val="bottom"/>
          </w:tcPr>
          <w:p>
            <w:pPr>
              <w:spacing w:after="0"/>
              <w:rPr>
                <w:sz w:val="20"/>
                <w:szCs w:val="20"/>
                <w:color w:val="auto"/>
              </w:rPr>
            </w:pPr>
          </w:p>
        </w:tc>
        <w:tc>
          <w:tcPr>
            <w:tcW w:w="184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0"/>
        </w:trPr>
        <w:tc>
          <w:tcPr>
            <w:tcW w:w="56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-4147820</wp:posOffset>
            </wp:positionH>
            <wp:positionV relativeFrom="paragraph">
              <wp:posOffset>-770255</wp:posOffset>
            </wp:positionV>
            <wp:extent cx="7134225" cy="152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52400"/>
                    </a:xfrm>
                    <a:prstGeom prst="rect">
                      <a:avLst/>
                    </a:prstGeom>
                    <a:noFill/>
                  </pic:spPr>
                </pic:pic>
              </a:graphicData>
            </a:graphic>
          </wp:anchor>
        </w:drawing>
        <w:drawing>
          <wp:anchor simplePos="0" relativeHeight="251657728" behindDoc="1" locked="0" layoutInCell="0" allowOverlap="1">
            <wp:simplePos x="0" y="0"/>
            <wp:positionH relativeFrom="column">
              <wp:posOffset>-4147820</wp:posOffset>
            </wp:positionH>
            <wp:positionV relativeFrom="paragraph">
              <wp:posOffset>-473710</wp:posOffset>
            </wp:positionV>
            <wp:extent cx="7134225" cy="144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drawing>
          <wp:anchor simplePos="0" relativeHeight="251657728" behindDoc="1" locked="0" layoutInCell="0" allowOverlap="1">
            <wp:simplePos x="0" y="0"/>
            <wp:positionH relativeFrom="column">
              <wp:posOffset>-4147820</wp:posOffset>
            </wp:positionH>
            <wp:positionV relativeFrom="paragraph">
              <wp:posOffset>-186055</wp:posOffset>
            </wp:positionV>
            <wp:extent cx="7134225" cy="169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20" w:space="720"/>
            <w:col w:w="4700"/>
          </w:cols>
          <w:pgMar w:left="320" w:top="174" w:right="339" w:bottom="1440" w:gutter="0" w:footer="0" w:header="0"/>
          <w:type w:val="continuous"/>
        </w:sectPr>
      </w:pPr>
    </w:p>
    <w:p>
      <w:pPr>
        <w:spacing w:after="0" w:line="22" w:lineRule="exact"/>
        <w:rPr>
          <w:sz w:val="20"/>
          <w:szCs w:val="20"/>
          <w:color w:val="auto"/>
        </w:rPr>
      </w:pPr>
    </w:p>
    <w:p>
      <w:pPr>
        <w:ind w:firstLine="320"/>
        <w:spacing w:after="0" w:line="254" w:lineRule="auto"/>
        <w:rPr>
          <w:sz w:val="20"/>
          <w:szCs w:val="20"/>
          <w:color w:val="auto"/>
        </w:rPr>
      </w:pPr>
      <w:r>
        <w:rPr>
          <w:rFonts w:ascii="Times New Roman" w:cs="Times New Roman" w:eastAsia="Times New Roman" w:hAnsi="Times New Roman"/>
          <w:sz w:val="18"/>
          <w:szCs w:val="18"/>
          <w:color w:val="auto"/>
        </w:rPr>
        <w:t>Included in the aforementioned amounts are $0.0 and $147.6 related to costs for certain centralized functions and programs provided and administered by Labcorp that were charged directly to the Company for the three and nine months ended September 30, 2023, respectively. In addition, a portion of Labcorp’s total corporate expenses were allocated to the Company for services from Labcorp. These costs were $0.0 and $46.4 for the three and nine months ended September 30, 2023, respectively. The allocations of foreign exchange gain (loss) represent the allocation of the results of hedging activities performed by Labcorp on behalf of the Company prior to the Separation.</w:t>
      </w:r>
    </w:p>
    <w:p>
      <w:pPr>
        <w:spacing w:after="0" w:line="132" w:lineRule="exact"/>
        <w:rPr>
          <w:sz w:val="20"/>
          <w:szCs w:val="20"/>
          <w:color w:val="auto"/>
        </w:rPr>
      </w:pPr>
    </w:p>
    <w:p>
      <w:pPr>
        <w:ind w:right="280" w:firstLine="320"/>
        <w:spacing w:after="0" w:line="262" w:lineRule="auto"/>
        <w:rPr>
          <w:sz w:val="20"/>
          <w:szCs w:val="20"/>
          <w:color w:val="auto"/>
        </w:rPr>
      </w:pPr>
      <w:r>
        <w:rPr>
          <w:rFonts w:ascii="Times New Roman" w:cs="Times New Roman" w:eastAsia="Times New Roman" w:hAnsi="Times New Roman"/>
          <w:sz w:val="18"/>
          <w:szCs w:val="18"/>
          <w:color w:val="auto"/>
        </w:rPr>
        <w:t>The Company had arrangements with third parties where the services are subcontracted to Labcorp (and its affiliates that were not part of the transaction). The Company’s direct costs include services purchased from Labcorp for commercial contracts totaling $0.0 and $48.8 for the three and nine months ended September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26" w:name="page27"/>
    <w:bookmarkEnd w:id="26"/>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Hedging Activities</w:t>
      </w:r>
    </w:p>
    <w:p>
      <w:pPr>
        <w:spacing w:after="0" w:line="171" w:lineRule="exact"/>
        <w:rPr>
          <w:sz w:val="20"/>
          <w:szCs w:val="20"/>
          <w:color w:val="auto"/>
        </w:rPr>
      </w:pPr>
    </w:p>
    <w:p>
      <w:pPr>
        <w:ind w:right="200" w:firstLine="320"/>
        <w:spacing w:after="0" w:line="254" w:lineRule="auto"/>
        <w:rPr>
          <w:sz w:val="20"/>
          <w:szCs w:val="20"/>
          <w:color w:val="auto"/>
        </w:rPr>
      </w:pPr>
      <w:r>
        <w:rPr>
          <w:rFonts w:ascii="Times New Roman" w:cs="Times New Roman" w:eastAsia="Times New Roman" w:hAnsi="Times New Roman"/>
          <w:sz w:val="18"/>
          <w:szCs w:val="18"/>
          <w:color w:val="auto"/>
        </w:rPr>
        <w:t xml:space="preserve">Prior to the Separation, the Company did not enter into any derivative contracts with external counterparties. However, Labcorp entered into foreign currency forward contracts with external counterparties to hedge certain foreign currency transactions with exposure predominantly to the Euro and British Pound. These contracts did not qualify for hedge accounting and the changes in fair value are recorded directly to earnings. Earnings related to these contracts were included in the condensed consolidated and combined statements of operations as part of corporate allocations. Refer to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 and Hedging Activities</w:t>
      </w:r>
      <w:r>
        <w:rPr>
          <w:rFonts w:ascii="Times New Roman" w:cs="Times New Roman" w:eastAsia="Times New Roman" w:hAnsi="Times New Roman"/>
          <w:sz w:val="18"/>
          <w:szCs w:val="18"/>
          <w:color w:val="auto"/>
        </w:rPr>
        <w:t>, for information regarding derivative contracts entered into after Separation.</w:t>
      </w:r>
    </w:p>
    <w:p>
      <w:pPr>
        <w:spacing w:after="0" w:line="1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Transfers To and From Labcorp</w:t>
      </w:r>
    </w:p>
    <w:p>
      <w:pPr>
        <w:spacing w:after="0" w:line="171" w:lineRule="exact"/>
        <w:rPr>
          <w:sz w:val="20"/>
          <w:szCs w:val="20"/>
          <w:color w:val="auto"/>
        </w:rPr>
      </w:pPr>
    </w:p>
    <w:p>
      <w:pPr>
        <w:ind w:right="220" w:firstLine="320"/>
        <w:spacing w:after="0" w:line="277" w:lineRule="auto"/>
        <w:rPr>
          <w:sz w:val="20"/>
          <w:szCs w:val="20"/>
          <w:color w:val="auto"/>
        </w:rPr>
      </w:pPr>
      <w:r>
        <w:rPr>
          <w:rFonts w:ascii="Times New Roman" w:cs="Times New Roman" w:eastAsia="Times New Roman" w:hAnsi="Times New Roman"/>
          <w:sz w:val="18"/>
          <w:szCs w:val="18"/>
          <w:color w:val="auto"/>
        </w:rPr>
        <w:t>Net transfers to and from Labcorp are included within Former Parent company investment on the condensed consolidated and combined statements of changes in equity. The components of the transfers to and from Labcorp during the three and nine months ended September 30, 2023 were as follows:</w:t>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Special Payment to Former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4225" cy="152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Corporate allocations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69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net transfers (to) from Former Parent</w:t>
      </w:r>
    </w:p>
    <w:p>
      <w:pPr>
        <w:spacing w:after="0" w:line="28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SUPPLEMENTAL CASH FLOW INFORMATION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Supplemental schedule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4225"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paid during period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Interest</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Income taxes, net of refunds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Disclosure of non-cash investing activities:</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Change in accrued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Fair value of contingent consideration related to the sale of assets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Disclosure of non-cash transfers to (from)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4225" cy="144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Change in right-of-use lease assets</w:t>
      </w:r>
    </w:p>
    <w:p>
      <w:pPr>
        <w:spacing w:after="0" w:line="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Change in property, plant and equipment, net</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0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2"/>
        </w:trPr>
        <w:tc>
          <w:tcPr>
            <w:tcW w:w="5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1"/>
        </w:trPr>
        <w:tc>
          <w:tcPr>
            <w:tcW w:w="56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spacing w:after="0"/>
              <w:rPr>
                <w:sz w:val="19"/>
                <w:szCs w:val="19"/>
                <w:color w:val="auto"/>
              </w:rPr>
            </w:pPr>
          </w:p>
        </w:tc>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w:t>
            </w:r>
          </w:p>
        </w:tc>
      </w:tr>
      <w:tr>
        <w:trPr>
          <w:trHeight w:val="227"/>
        </w:trPr>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27"/>
        </w:trPr>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r>
      <w:tr>
        <w:trPr>
          <w:trHeight w:val="232"/>
        </w:trPr>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0"/>
        </w:trPr>
        <w:tc>
          <w:tcPr>
            <w:tcW w:w="56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(1,686.7)</w:t>
            </w: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r>
      <w:tr>
        <w:trPr>
          <w:trHeight w:val="823"/>
        </w:trPr>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40" w:type="dxa"/>
            <w:vAlign w:val="bottom"/>
            <w:gridSpan w:val="6"/>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
        </w:trPr>
        <w:tc>
          <w:tcPr>
            <w:tcW w:w="560" w:type="dxa"/>
            <w:vAlign w:val="bottom"/>
          </w:tcPr>
          <w:p>
            <w:pPr>
              <w:spacing w:after="0"/>
              <w:rPr>
                <w:sz w:val="2"/>
                <w:szCs w:val="2"/>
                <w:color w:val="auto"/>
              </w:rPr>
            </w:pPr>
          </w:p>
        </w:tc>
        <w:tc>
          <w:tcPr>
            <w:tcW w:w="184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7"/>
        </w:trPr>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40" w:type="dxa"/>
            <w:vAlign w:val="bottom"/>
            <w:tcBorders>
              <w:top w:val="single" w:sz="8" w:color="auto"/>
              <w:bottom w:val="single" w:sz="8" w:color="auto"/>
            </w:tcBorders>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662"/>
        </w:trPr>
        <w:tc>
          <w:tcPr>
            <w:tcW w:w="560" w:type="dxa"/>
            <w:vAlign w:val="bottom"/>
          </w:tcPr>
          <w:p>
            <w:pPr>
              <w:spacing w:after="0"/>
              <w:rPr>
                <w:sz w:val="24"/>
                <w:szCs w:val="24"/>
                <w:color w:val="auto"/>
              </w:rPr>
            </w:pPr>
          </w:p>
        </w:tc>
        <w:tc>
          <w:tcPr>
            <w:tcW w:w="174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2"/>
        </w:trPr>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448"/>
        </w:trPr>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2"/>
        </w:trPr>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8"/>
        </w:trPr>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2"/>
        </w:trPr>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bl>
    <w:p>
      <w:pPr>
        <w:spacing w:after="0" w:line="200" w:lineRule="exact"/>
        <w:rPr>
          <w:sz w:val="20"/>
          <w:szCs w:val="20"/>
          <w:color w:val="auto"/>
        </w:rPr>
      </w:pPr>
    </w:p>
    <w:p>
      <w:pPr>
        <w:sectPr>
          <w:pgSz w:w="11900" w:h="16838" w:orient="portrait"/>
          <w:cols w:equalWidth="0" w:num="2">
            <w:col w:w="5820" w:space="720"/>
            <w:col w:w="4700"/>
          </w:cols>
          <w:pgMar w:left="320" w:top="17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27" w:name="page28"/>
    <w:bookmarkEnd w:id="27"/>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ind w:left="780" w:hanging="453"/>
        <w:spacing w:after="0"/>
        <w:tabs>
          <w:tab w:leader="none" w:pos="7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IMMATERIAL FINANCIAL RESTATEMENT AND RECLASSIFICATIONS TO PRIOR PERIOD FINANCIAL STATEMENTS</w:t>
      </w:r>
    </w:p>
    <w:p>
      <w:pPr>
        <w:spacing w:after="0" w:line="169" w:lineRule="exact"/>
        <w:rPr>
          <w:sz w:val="20"/>
          <w:szCs w:val="20"/>
          <w:color w:val="auto"/>
        </w:rPr>
      </w:pPr>
    </w:p>
    <w:p>
      <w:pPr>
        <w:ind w:right="40" w:firstLine="320"/>
        <w:spacing w:after="0" w:line="255"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1 - Basis of Financial Statement Presentation</w:t>
      </w:r>
      <w:r>
        <w:rPr>
          <w:rFonts w:ascii="Times New Roman" w:cs="Times New Roman" w:eastAsia="Times New Roman" w:hAnsi="Times New Roman"/>
          <w:sz w:val="18"/>
          <w:szCs w:val="18"/>
          <w:color w:val="auto"/>
        </w:rPr>
        <w:t xml:space="preserve"> the Company identified errors in the consolidated and combined financial statements of prior periods during the first quarter of 2024. A summary of the corrections to the impacted financial statement line items in the previously issued Consolidated Balance Sheet as of December 31, 2023, and the Consolidated and Combined Statements of Operations, Comprehensive Income, Changes in Stockholders’ Equity, and Cash Flows as of and for the years ended December 31, 2023 and 2022, included in the previously filed Annual Report on Form 10-K, was provided in the previously filed Quarterly Report on Form 10-Q for the three months ended March 31, 2024.</w:t>
      </w:r>
    </w:p>
    <w:p>
      <w:pPr>
        <w:spacing w:after="0" w:line="130" w:lineRule="exact"/>
        <w:rPr>
          <w:sz w:val="20"/>
          <w:szCs w:val="20"/>
          <w:color w:val="auto"/>
        </w:rPr>
      </w:pPr>
    </w:p>
    <w:p>
      <w:pPr>
        <w:jc w:val="both"/>
        <w:ind w:firstLine="320"/>
        <w:spacing w:after="0" w:line="262" w:lineRule="auto"/>
        <w:rPr>
          <w:sz w:val="20"/>
          <w:szCs w:val="20"/>
          <w:color w:val="auto"/>
        </w:rPr>
      </w:pPr>
      <w:r>
        <w:rPr>
          <w:rFonts w:ascii="Times New Roman" w:cs="Times New Roman" w:eastAsia="Times New Roman" w:hAnsi="Times New Roman"/>
          <w:sz w:val="18"/>
          <w:szCs w:val="18"/>
          <w:color w:val="auto"/>
        </w:rPr>
        <w:t>A summary of the corrections to the impacted financial statement line items in the Company’s previously issued Condensed Consolidated and Combined Statements of Operations, Comprehensive Income, Changes in Stockholders’ Equity, and Cash Flows for the three and nine month periods ended September 30, 2023 and Consolidated Balance Sheet as of December 31, 2023, which were previously filed in 2023, are also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4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2"/>
                <w:szCs w:val="12"/>
                <w:b w:val="1"/>
                <w:bCs w:val="1"/>
                <w:color w:val="auto"/>
              </w:rPr>
              <w:t>Discontinued</w:t>
            </w:r>
          </w:p>
        </w:tc>
        <w:tc>
          <w:tcPr>
            <w:tcW w:w="140" w:type="dxa"/>
            <w:vAlign w:val="bottom"/>
          </w:tcPr>
          <w:p>
            <w:pPr>
              <w:spacing w:after="0"/>
              <w:rPr>
                <w:sz w:val="10"/>
                <w:szCs w:val="10"/>
                <w:color w:val="auto"/>
              </w:rPr>
            </w:pPr>
          </w:p>
        </w:tc>
        <w:tc>
          <w:tcPr>
            <w:tcW w:w="1160" w:type="dxa"/>
            <w:vAlign w:val="bottom"/>
            <w:vMerge w:val="restart"/>
          </w:tcPr>
          <w:p>
            <w:pPr>
              <w:jc w:val="right"/>
              <w:ind w:right="149"/>
              <w:spacing w:after="0"/>
              <w:rPr>
                <w:sz w:val="20"/>
                <w:szCs w:val="20"/>
                <w:color w:val="auto"/>
              </w:rPr>
            </w:pPr>
            <w:r>
              <w:rPr>
                <w:rFonts w:ascii="Times New Roman" w:cs="Times New Roman" w:eastAsia="Times New Roman" w:hAnsi="Times New Roman"/>
                <w:sz w:val="12"/>
                <w:szCs w:val="12"/>
                <w:b w:val="1"/>
                <w:bCs w:val="1"/>
                <w:color w:val="auto"/>
              </w:rPr>
              <w:t>As Restated and</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vMerge w:val="restart"/>
          </w:tcPr>
          <w:p>
            <w:pPr>
              <w:jc w:val="right"/>
              <w:ind w:right="189"/>
              <w:spacing w:after="0" w:line="127"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ind w:left="40"/>
              <w:spacing w:after="0" w:line="127" w:lineRule="exact"/>
              <w:rPr>
                <w:sz w:val="20"/>
                <w:szCs w:val="20"/>
                <w:color w:val="auto"/>
              </w:rPr>
            </w:pPr>
            <w:r>
              <w:rPr>
                <w:rFonts w:ascii="Times New Roman" w:cs="Times New Roman" w:eastAsia="Times New Roman" w:hAnsi="Times New Roman"/>
                <w:sz w:val="12"/>
                <w:szCs w:val="12"/>
                <w:b w:val="1"/>
                <w:bCs w:val="1"/>
                <w:color w:val="auto"/>
              </w:rPr>
              <w:t>As Restated</w:t>
            </w:r>
          </w:p>
        </w:tc>
        <w:tc>
          <w:tcPr>
            <w:tcW w:w="140" w:type="dxa"/>
            <w:vAlign w:val="bottom"/>
          </w:tcPr>
          <w:p>
            <w:pPr>
              <w:spacing w:after="0"/>
              <w:rPr>
                <w:sz w:val="4"/>
                <w:szCs w:val="4"/>
                <w:color w:val="auto"/>
              </w:rPr>
            </w:pPr>
          </w:p>
        </w:tc>
        <w:tc>
          <w:tcPr>
            <w:tcW w:w="128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2"/>
                <w:szCs w:val="12"/>
                <w:b w:val="1"/>
                <w:bCs w:val="1"/>
                <w:color w:val="auto"/>
              </w:rPr>
              <w:t>Operations</w:t>
            </w:r>
          </w:p>
        </w:tc>
        <w:tc>
          <w:tcPr>
            <w:tcW w:w="1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4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vMerge w:val="restart"/>
          </w:tcPr>
          <w:p>
            <w:pPr>
              <w:jc w:val="right"/>
              <w:ind w:right="269"/>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0" w:type="dxa"/>
            <w:vAlign w:val="bottom"/>
          </w:tcPr>
          <w:p>
            <w:pPr>
              <w:spacing w:after="0"/>
              <w:rPr>
                <w:sz w:val="1"/>
                <w:szCs w:val="1"/>
                <w:color w:val="auto"/>
              </w:rPr>
            </w:pPr>
          </w:p>
        </w:tc>
      </w:tr>
      <w:tr>
        <w:trPr>
          <w:trHeight w:val="92"/>
        </w:trPr>
        <w:tc>
          <w:tcPr>
            <w:tcW w:w="4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Reclassifications</w:t>
            </w:r>
          </w:p>
        </w:tc>
        <w:tc>
          <w:tcPr>
            <w:tcW w:w="14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4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192"/>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receivable and unbilled services, net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988.5</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193"/>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assets held for sale from discontinued operations</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200"/>
        </w:trPr>
        <w:tc>
          <w:tcPr>
            <w:tcW w:w="4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1,250.8</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172.6</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net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1,739.4</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728.1</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 net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assets held for sale from discontinued operations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368.8</w:t>
            </w:r>
          </w:p>
        </w:tc>
        <w:tc>
          <w:tcPr>
            <w:tcW w:w="0" w:type="dxa"/>
            <w:vAlign w:val="bottom"/>
          </w:tcPr>
          <w:p>
            <w:pPr>
              <w:spacing w:after="0"/>
              <w:rPr>
                <w:sz w:val="1"/>
                <w:szCs w:val="1"/>
                <w:color w:val="auto"/>
              </w:rPr>
            </w:pPr>
          </w:p>
        </w:tc>
      </w:tr>
      <w:tr>
        <w:trPr>
          <w:trHeight w:val="187"/>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4,357.2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4,332.6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4,332.6</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132.9</w:t>
            </w:r>
          </w:p>
        </w:tc>
        <w:tc>
          <w:tcPr>
            <w:tcW w:w="0" w:type="dxa"/>
            <w:vAlign w:val="bottom"/>
          </w:tcPr>
          <w:p>
            <w:pPr>
              <w:spacing w:after="0"/>
              <w:rPr>
                <w:sz w:val="1"/>
                <w:szCs w:val="1"/>
                <w:color w:val="auto"/>
              </w:rPr>
            </w:pPr>
          </w:p>
        </w:tc>
      </w:tr>
      <w:tr>
        <w:trPr>
          <w:trHeight w:val="192"/>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335.5</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Unearned revenue</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214.2</w:t>
            </w:r>
          </w:p>
        </w:tc>
        <w:tc>
          <w:tcPr>
            <w:tcW w:w="0" w:type="dxa"/>
            <w:vAlign w:val="bottom"/>
          </w:tcPr>
          <w:p>
            <w:pPr>
              <w:spacing w:after="0"/>
              <w:rPr>
                <w:sz w:val="1"/>
                <w:szCs w:val="1"/>
                <w:color w:val="auto"/>
              </w:rPr>
            </w:pPr>
          </w:p>
        </w:tc>
      </w:tr>
      <w:tr>
        <w:trPr>
          <w:trHeight w:val="192"/>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Short-term operating lease liabilities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3"/>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liabilities held for sale from discontinued operations</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200"/>
        </w:trPr>
        <w:tc>
          <w:tcPr>
            <w:tcW w:w="4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775.9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778.4</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1,565.9</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62.8</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 and other tax liabilities</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147.7</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19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liabilities held for sale from discontinued operations</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00"/>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2,618.5</w:t>
            </w:r>
          </w:p>
        </w:tc>
        <w:tc>
          <w:tcPr>
            <w:tcW w:w="0" w:type="dxa"/>
            <w:vAlign w:val="bottom"/>
          </w:tcPr>
          <w:p>
            <w:pPr>
              <w:spacing w:after="0"/>
              <w:rPr>
                <w:sz w:val="1"/>
                <w:szCs w:val="1"/>
                <w:color w:val="auto"/>
              </w:rPr>
            </w:pPr>
          </w:p>
        </w:tc>
      </w:tr>
      <w:tr>
        <w:trPr>
          <w:trHeight w:val="17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contingent liabilities</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Former parent investment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92"/>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1,998.0</w:t>
            </w:r>
          </w:p>
        </w:tc>
        <w:tc>
          <w:tcPr>
            <w:tcW w:w="0" w:type="dxa"/>
            <w:vAlign w:val="bottom"/>
          </w:tcPr>
          <w:p>
            <w:pPr>
              <w:spacing w:after="0"/>
              <w:rPr>
                <w:sz w:val="1"/>
                <w:szCs w:val="1"/>
                <w:color w:val="auto"/>
              </w:rPr>
            </w:pPr>
          </w:p>
        </w:tc>
      </w:tr>
      <w:tr>
        <w:trPr>
          <w:trHeight w:val="208"/>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93"/>
        </w:trPr>
        <w:tc>
          <w:tcPr>
            <w:tcW w:w="4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w:t>
            </w:r>
          </w:p>
        </w:tc>
        <w:tc>
          <w:tcPr>
            <w:tcW w:w="0" w:type="dxa"/>
            <w:vAlign w:val="bottom"/>
          </w:tcPr>
          <w:p>
            <w:pPr>
              <w:spacing w:after="0"/>
              <w:rPr>
                <w:sz w:val="1"/>
                <w:szCs w:val="1"/>
                <w:color w:val="auto"/>
              </w:rPr>
            </w:pPr>
          </w:p>
        </w:tc>
      </w:tr>
      <w:tr>
        <w:trPr>
          <w:trHeight w:val="200"/>
        </w:trPr>
        <w:tc>
          <w:tcPr>
            <w:tcW w:w="4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equity</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1,714.1</w:t>
            </w:r>
          </w:p>
        </w:tc>
        <w:tc>
          <w:tcPr>
            <w:tcW w:w="0" w:type="dxa"/>
            <w:vAlign w:val="bottom"/>
          </w:tcPr>
          <w:p>
            <w:pPr>
              <w:spacing w:after="0"/>
              <w:rPr>
                <w:sz w:val="1"/>
                <w:szCs w:val="1"/>
                <w:color w:val="auto"/>
              </w:rPr>
            </w:pPr>
          </w:p>
        </w:tc>
      </w:tr>
      <w:tr>
        <w:trPr>
          <w:trHeight w:val="187"/>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4,357.2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4,332.6</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4,332.6</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71120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60"/>
          </w:cols>
          <w:pgMar w:left="560" w:top="174" w:right="6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236"/>
        </w:trPr>
        <w:tc>
          <w:tcPr>
            <w:tcW w:w="2680" w:type="dxa"/>
            <w:vAlign w:val="bottom"/>
          </w:tcPr>
          <w:p>
            <w:pPr>
              <w:spacing w:after="0"/>
              <w:rPr>
                <w:sz w:val="20"/>
                <w:szCs w:val="20"/>
                <w:color w:val="auto"/>
              </w:rPr>
            </w:pPr>
          </w:p>
        </w:tc>
        <w:tc>
          <w:tcPr>
            <w:tcW w:w="53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 OF OPERATIONS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2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0"/>
        </w:trPr>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vMerge w:val="restart"/>
          </w:tcPr>
          <w:p>
            <w:pPr>
              <w:jc w:val="center"/>
              <w:ind w:right="115"/>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60" w:type="dxa"/>
            <w:vAlign w:val="bottom"/>
          </w:tcPr>
          <w:p>
            <w:pPr>
              <w:jc w:val="center"/>
              <w:ind w:right="176"/>
              <w:spacing w:after="0" w:line="120" w:lineRule="exact"/>
              <w:rPr>
                <w:sz w:val="20"/>
                <w:szCs w:val="20"/>
                <w:color w:val="auto"/>
              </w:rPr>
            </w:pPr>
            <w:r>
              <w:rPr>
                <w:rFonts w:ascii="Times New Roman" w:cs="Times New Roman" w:eastAsia="Times New Roman" w:hAnsi="Times New Roman"/>
                <w:sz w:val="12"/>
                <w:szCs w:val="12"/>
                <w:b w:val="1"/>
                <w:bCs w:val="1"/>
                <w:color w:val="auto"/>
              </w:rPr>
              <w:t>Discontinued</w:t>
            </w:r>
          </w:p>
        </w:tc>
        <w:tc>
          <w:tcPr>
            <w:tcW w:w="120" w:type="dxa"/>
            <w:vAlign w:val="bottom"/>
          </w:tcPr>
          <w:p>
            <w:pPr>
              <w:spacing w:after="0"/>
              <w:rPr>
                <w:sz w:val="10"/>
                <w:szCs w:val="10"/>
                <w:color w:val="auto"/>
              </w:rPr>
            </w:pPr>
          </w:p>
        </w:tc>
        <w:tc>
          <w:tcPr>
            <w:tcW w:w="1460" w:type="dxa"/>
            <w:vAlign w:val="bottom"/>
            <w:gridSpan w:val="3"/>
            <w:vMerge w:val="restart"/>
          </w:tcPr>
          <w:p>
            <w:pPr>
              <w:jc w:val="center"/>
              <w:ind w:right="289"/>
              <w:spacing w:after="0"/>
              <w:rPr>
                <w:sz w:val="20"/>
                <w:szCs w:val="20"/>
                <w:color w:val="auto"/>
              </w:rPr>
            </w:pPr>
            <w:r>
              <w:rPr>
                <w:rFonts w:ascii="Times New Roman" w:cs="Times New Roman" w:eastAsia="Times New Roman" w:hAnsi="Times New Roman"/>
                <w:sz w:val="12"/>
                <w:szCs w:val="12"/>
                <w:b w:val="1"/>
                <w:bCs w:val="1"/>
                <w:color w:val="auto"/>
              </w:rPr>
              <w:t>Change in Basis of</w:t>
            </w:r>
          </w:p>
        </w:tc>
        <w:tc>
          <w:tcPr>
            <w:tcW w:w="1140" w:type="dxa"/>
            <w:vAlign w:val="bottom"/>
            <w:vMerge w:val="restart"/>
          </w:tcPr>
          <w:p>
            <w:pPr>
              <w:jc w:val="center"/>
              <w:ind w:right="75"/>
              <w:spacing w:after="0"/>
              <w:rPr>
                <w:sz w:val="20"/>
                <w:szCs w:val="20"/>
                <w:color w:val="auto"/>
              </w:rPr>
            </w:pPr>
            <w:r>
              <w:rPr>
                <w:rFonts w:ascii="Times New Roman" w:cs="Times New Roman" w:eastAsia="Times New Roman" w:hAnsi="Times New Roman"/>
                <w:sz w:val="12"/>
                <w:szCs w:val="12"/>
                <w:b w:val="1"/>
                <w:bCs w:val="1"/>
                <w:color w:val="auto"/>
              </w:rPr>
              <w:t>As Restated and</w:t>
            </w:r>
          </w:p>
        </w:tc>
        <w:tc>
          <w:tcPr>
            <w:tcW w:w="0" w:type="dxa"/>
            <w:vAlign w:val="bottom"/>
          </w:tcPr>
          <w:p>
            <w:pPr>
              <w:spacing w:after="0"/>
              <w:rPr>
                <w:sz w:val="1"/>
                <w:szCs w:val="1"/>
                <w:color w:val="auto"/>
              </w:rPr>
            </w:pPr>
          </w:p>
        </w:tc>
      </w:tr>
      <w:tr>
        <w:trPr>
          <w:trHeight w:val="53"/>
        </w:trPr>
        <w:tc>
          <w:tcPr>
            <w:tcW w:w="2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vMerge w:val="restart"/>
          </w:tcPr>
          <w:p>
            <w:pPr>
              <w:jc w:val="right"/>
              <w:ind w:right="233"/>
              <w:spacing w:after="0" w:line="127" w:lineRule="exact"/>
              <w:rPr>
                <w:sz w:val="20"/>
                <w:szCs w:val="20"/>
                <w:color w:val="auto"/>
              </w:rPr>
            </w:pPr>
            <w:r>
              <w:rPr>
                <w:rFonts w:ascii="Times New Roman" w:cs="Times New Roman" w:eastAsia="Times New Roman" w:hAnsi="Times New Roman"/>
                <w:sz w:val="12"/>
                <w:szCs w:val="12"/>
                <w:b w:val="1"/>
                <w:bCs w:val="1"/>
                <w:color w:val="auto"/>
              </w:rPr>
              <w:t>Adjustments</w:t>
            </w:r>
          </w:p>
        </w:tc>
        <w:tc>
          <w:tcPr>
            <w:tcW w:w="160" w:type="dxa"/>
            <w:vAlign w:val="bottom"/>
          </w:tcPr>
          <w:p>
            <w:pPr>
              <w:spacing w:after="0"/>
              <w:rPr>
                <w:sz w:val="4"/>
                <w:szCs w:val="4"/>
                <w:color w:val="auto"/>
              </w:rPr>
            </w:pPr>
          </w:p>
        </w:tc>
        <w:tc>
          <w:tcPr>
            <w:tcW w:w="1280" w:type="dxa"/>
            <w:vAlign w:val="bottom"/>
            <w:vMerge w:val="restart"/>
          </w:tcPr>
          <w:p>
            <w:pPr>
              <w:jc w:val="right"/>
              <w:ind w:right="432"/>
              <w:spacing w:after="0" w:line="127" w:lineRule="exact"/>
              <w:rPr>
                <w:sz w:val="20"/>
                <w:szCs w:val="20"/>
                <w:color w:val="auto"/>
              </w:rPr>
            </w:pPr>
            <w:r>
              <w:rPr>
                <w:rFonts w:ascii="Times New Roman" w:cs="Times New Roman" w:eastAsia="Times New Roman" w:hAnsi="Times New Roman"/>
                <w:sz w:val="12"/>
                <w:szCs w:val="12"/>
                <w:b w:val="1"/>
                <w:bCs w:val="1"/>
                <w:color w:val="auto"/>
              </w:rPr>
              <w:t>As Restated</w:t>
            </w:r>
          </w:p>
        </w:tc>
        <w:tc>
          <w:tcPr>
            <w:tcW w:w="1260" w:type="dxa"/>
            <w:vAlign w:val="bottom"/>
            <w:vMerge w:val="restart"/>
          </w:tcPr>
          <w:p>
            <w:pPr>
              <w:jc w:val="center"/>
              <w:ind w:right="196"/>
              <w:spacing w:after="0" w:line="127" w:lineRule="exact"/>
              <w:rPr>
                <w:sz w:val="20"/>
                <w:szCs w:val="20"/>
                <w:color w:val="auto"/>
              </w:rPr>
            </w:pPr>
            <w:r>
              <w:rPr>
                <w:rFonts w:ascii="Times New Roman" w:cs="Times New Roman" w:eastAsia="Times New Roman" w:hAnsi="Times New Roman"/>
                <w:sz w:val="12"/>
                <w:szCs w:val="12"/>
                <w:b w:val="1"/>
                <w:bCs w:val="1"/>
                <w:color w:val="auto"/>
              </w:rPr>
              <w:t>Operations</w:t>
            </w:r>
          </w:p>
        </w:tc>
        <w:tc>
          <w:tcPr>
            <w:tcW w:w="12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2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vMerge w:val="restart"/>
          </w:tcPr>
          <w:p>
            <w:pPr>
              <w:jc w:val="center"/>
              <w:ind w:right="95"/>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2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60" w:type="dxa"/>
            <w:vAlign w:val="bottom"/>
            <w:gridSpan w:val="3"/>
            <w:vMerge w:val="restart"/>
          </w:tcPr>
          <w:p>
            <w:pPr>
              <w:jc w:val="center"/>
              <w:ind w:right="289"/>
              <w:spacing w:after="0"/>
              <w:rPr>
                <w:sz w:val="20"/>
                <w:szCs w:val="20"/>
                <w:color w:val="auto"/>
              </w:rPr>
            </w:pPr>
            <w:r>
              <w:rPr>
                <w:rFonts w:ascii="Times New Roman" w:cs="Times New Roman" w:eastAsia="Times New Roman" w:hAnsi="Times New Roman"/>
                <w:sz w:val="12"/>
                <w:szCs w:val="12"/>
                <w:b w:val="1"/>
                <w:bCs w:val="1"/>
                <w:color w:val="auto"/>
              </w:rPr>
              <w:t>Presentation</w:t>
            </w:r>
          </w:p>
        </w:tc>
        <w:tc>
          <w:tcPr>
            <w:tcW w:w="1140" w:type="dxa"/>
            <w:vAlign w:val="bottom"/>
            <w:vMerge w:val="restart"/>
          </w:tcPr>
          <w:p>
            <w:pPr>
              <w:jc w:val="center"/>
              <w:ind w:right="75"/>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0" w:type="dxa"/>
            <w:vAlign w:val="bottom"/>
          </w:tcPr>
          <w:p>
            <w:pPr>
              <w:spacing w:after="0"/>
              <w:rPr>
                <w:sz w:val="1"/>
                <w:szCs w:val="1"/>
                <w:color w:val="auto"/>
              </w:rPr>
            </w:pPr>
          </w:p>
        </w:tc>
      </w:tr>
      <w:tr>
        <w:trPr>
          <w:trHeight w:val="92"/>
        </w:trPr>
        <w:tc>
          <w:tcPr>
            <w:tcW w:w="2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60" w:type="dxa"/>
            <w:vAlign w:val="bottom"/>
            <w:vMerge w:val="restart"/>
          </w:tcPr>
          <w:p>
            <w:pPr>
              <w:jc w:val="center"/>
              <w:ind w:right="196"/>
              <w:spacing w:after="0"/>
              <w:rPr>
                <w:sz w:val="20"/>
                <w:szCs w:val="20"/>
                <w:color w:val="auto"/>
              </w:rPr>
            </w:pPr>
            <w:r>
              <w:rPr>
                <w:rFonts w:ascii="Times New Roman" w:cs="Times New Roman" w:eastAsia="Times New Roman" w:hAnsi="Times New Roman"/>
                <w:sz w:val="12"/>
                <w:szCs w:val="12"/>
                <w:b w:val="1"/>
                <w:bCs w:val="1"/>
                <w:color w:val="auto"/>
              </w:rPr>
              <w:t>Reclassifications</w:t>
            </w:r>
          </w:p>
        </w:tc>
        <w:tc>
          <w:tcPr>
            <w:tcW w:w="12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68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4"/>
                <w:szCs w:val="14"/>
                <w:color w:val="auto"/>
              </w:rPr>
              <w:t>776.4</w:t>
            </w:r>
          </w:p>
        </w:tc>
        <w:tc>
          <w:tcPr>
            <w:tcW w:w="2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777.2   $</w:t>
            </w:r>
          </w:p>
        </w:tc>
        <w:tc>
          <w:tcPr>
            <w:tcW w:w="1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4"/>
                <w:szCs w:val="14"/>
                <w:color w:val="auto"/>
              </w:rPr>
              <w:t>(63.4)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713.8</w:t>
            </w:r>
          </w:p>
        </w:tc>
        <w:tc>
          <w:tcPr>
            <w:tcW w:w="0" w:type="dxa"/>
            <w:vAlign w:val="bottom"/>
          </w:tcPr>
          <w:p>
            <w:pPr>
              <w:spacing w:after="0"/>
              <w:rPr>
                <w:sz w:val="1"/>
                <w:szCs w:val="1"/>
                <w:color w:val="auto"/>
              </w:rPr>
            </w:pPr>
          </w:p>
        </w:tc>
      </w:tr>
      <w:tr>
        <w:trPr>
          <w:trHeight w:val="18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ectPr>
          <w:pgSz w:w="11900" w:h="16838" w:orient="portrait"/>
          <w:cols w:equalWidth="0" w:num="1">
            <w:col w:w="10700"/>
          </w:cols>
          <w:pgMar w:left="560" w:top="174" w:right="639" w:bottom="1440" w:gutter="0" w:footer="0" w:header="0"/>
        </w:sectPr>
      </w:pPr>
    </w:p>
    <w:p>
      <w:pPr>
        <w:ind w:left="80" w:right="340"/>
        <w:spacing w:after="0" w:line="248" w:lineRule="auto"/>
        <w:rPr>
          <w:sz w:val="20"/>
          <w:szCs w:val="20"/>
          <w:color w:val="auto"/>
        </w:rPr>
      </w:pPr>
      <w:r>
        <w:rPr>
          <w:rFonts w:ascii="Times New Roman" w:cs="Times New Roman" w:eastAsia="Times New Roman" w:hAnsi="Times New Roman"/>
          <w:sz w:val="14"/>
          <w:szCs w:val="14"/>
          <w:color w:val="auto"/>
        </w:rPr>
        <w:t>Direct costs, exclusive of depreciation and amortization</w:t>
      </w:r>
    </w:p>
    <w:p>
      <w:pPr>
        <w:spacing w:after="0" w:line="1" w:lineRule="exact"/>
        <w:rPr>
          <w:sz w:val="20"/>
          <w:szCs w:val="20"/>
          <w:color w:val="auto"/>
        </w:rPr>
      </w:pPr>
    </w:p>
    <w:p>
      <w:pPr>
        <w:ind w:left="80" w:right="200"/>
        <w:spacing w:after="0" w:line="248" w:lineRule="auto"/>
        <w:rPr>
          <w:sz w:val="20"/>
          <w:szCs w:val="20"/>
          <w:color w:val="auto"/>
        </w:rPr>
      </w:pPr>
      <w:r>
        <w:rPr>
          <w:rFonts w:ascii="Times New Roman" w:cs="Times New Roman" w:eastAsia="Times New Roman" w:hAnsi="Times New Roman"/>
          <w:sz w:val="14"/>
          <w:szCs w:val="14"/>
          <w:color w:val="auto"/>
        </w:rPr>
        <w:t>Selling, general and administrative expenses, exclusive of depreciation and amortization</w:t>
      </w:r>
    </w:p>
    <w:p>
      <w:pPr>
        <w:spacing w:after="0" w:line="1" w:lineRule="exact"/>
        <w:rPr>
          <w:sz w:val="20"/>
          <w:szCs w:val="20"/>
          <w:color w:val="auto"/>
        </w:rPr>
      </w:pPr>
    </w:p>
    <w:p>
      <w:pPr>
        <w:ind w:left="80" w:right="960"/>
        <w:spacing w:after="0" w:line="305" w:lineRule="auto"/>
        <w:rPr>
          <w:sz w:val="20"/>
          <w:szCs w:val="20"/>
          <w:color w:val="auto"/>
        </w:rPr>
      </w:pPr>
      <w:r>
        <w:rPr>
          <w:rFonts w:ascii="Times New Roman" w:cs="Times New Roman" w:eastAsia="Times New Roman" w:hAnsi="Times New Roman"/>
          <w:sz w:val="14"/>
          <w:szCs w:val="14"/>
          <w:color w:val="auto"/>
        </w:rPr>
        <w:t>Depreciation and amortization Restructuring and other charges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95"/>
              </w:rPr>
              <w:t>647.3</w:t>
            </w:r>
          </w:p>
        </w:tc>
        <w:tc>
          <w:tcPr>
            <w:tcW w:w="12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1.4</w:t>
            </w:r>
          </w:p>
        </w:tc>
        <w:tc>
          <w:tcPr>
            <w:tcW w:w="13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648.7</w:t>
            </w: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(44.8)</w:t>
            </w:r>
          </w:p>
        </w:tc>
        <w:tc>
          <w:tcPr>
            <w:tcW w:w="14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(40.1)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563.8</w:t>
            </w:r>
          </w:p>
        </w:tc>
      </w:tr>
      <w:tr>
        <w:trPr>
          <w:trHeight w:val="334"/>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78.9</w:t>
            </w:r>
          </w:p>
        </w:tc>
        <w:tc>
          <w:tcPr>
            <w:tcW w:w="12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(0.1)</w:t>
            </w:r>
          </w:p>
        </w:tc>
        <w:tc>
          <w:tcPr>
            <w:tcW w:w="13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78.8</w:t>
            </w: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(12.1)</w:t>
            </w: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40.1</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w:t>
            </w:r>
          </w:p>
        </w:tc>
      </w:tr>
      <w:tr>
        <w:trPr>
          <w:trHeight w:val="267"/>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24.6</w:t>
            </w:r>
          </w:p>
        </w:tc>
        <w:tc>
          <w:tcPr>
            <w:tcW w:w="12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0.4</w:t>
            </w:r>
          </w:p>
        </w:tc>
        <w:tc>
          <w:tcPr>
            <w:tcW w:w="13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25.0</w:t>
            </w: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(2.2)</w:t>
            </w: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200"/>
        </w:trPr>
        <w:tc>
          <w:tcPr>
            <w:tcW w:w="86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11.6</w:t>
            </w:r>
          </w:p>
        </w:tc>
        <w:tc>
          <w:tcPr>
            <w:tcW w:w="12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11.6</w:t>
            </w:r>
          </w:p>
        </w:tc>
        <w:tc>
          <w:tcPr>
            <w:tcW w:w="14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(1.5)</w:t>
            </w:r>
          </w:p>
        </w:tc>
        <w:tc>
          <w:tcPr>
            <w:tcW w:w="140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-2221865</wp:posOffset>
            </wp:positionH>
            <wp:positionV relativeFrom="paragraph">
              <wp:posOffset>-661670</wp:posOffset>
            </wp:positionV>
            <wp:extent cx="6760845" cy="212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60845" cy="212090"/>
                    </a:xfrm>
                    <a:prstGeom prst="rect">
                      <a:avLst/>
                    </a:prstGeom>
                    <a:noFill/>
                  </pic:spPr>
                </pic:pic>
              </a:graphicData>
            </a:graphic>
          </wp:anchor>
        </w:drawing>
        <w:drawing>
          <wp:anchor simplePos="0" relativeHeight="251657728" behindDoc="1" locked="0" layoutInCell="0" allowOverlap="1">
            <wp:simplePos x="0" y="0"/>
            <wp:positionH relativeFrom="column">
              <wp:posOffset>-2221865</wp:posOffset>
            </wp:positionH>
            <wp:positionV relativeFrom="paragraph">
              <wp:posOffset>-238125</wp:posOffset>
            </wp:positionV>
            <wp:extent cx="6760845" cy="1270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60845" cy="12700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2840" w:space="720"/>
            <w:col w:w="7140"/>
          </w:cols>
          <w:pgMar w:left="560" w:top="174" w:right="639" w:bottom="1440" w:gutter="0" w:footer="0" w:header="0"/>
          <w:type w:val="continuous"/>
        </w:sectPr>
      </w:pPr>
    </w:p>
    <w:tbl>
      <w:tblPr>
        <w:tblLayout w:type="fixed"/>
        <w:tblInd w:w="60" w:type="dxa"/>
        <w:tblCellMar>
          <w:top w:w="0" w:type="dxa"/>
          <w:left w:w="0" w:type="dxa"/>
          <w:bottom w:w="0" w:type="dxa"/>
          <w:right w:w="0" w:type="dxa"/>
        </w:tblCellMar>
      </w:tblPr>
      <w:tr>
        <w:trPr>
          <w:trHeight w:val="194"/>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762.4</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764.1</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703.5</w:t>
            </w:r>
          </w:p>
        </w:tc>
      </w:tr>
      <w:tr>
        <w:trPr>
          <w:trHeight w:val="187"/>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4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2"/>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13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w:t>
            </w:r>
          </w:p>
        </w:tc>
      </w:tr>
      <w:tr>
        <w:trPr>
          <w:trHeight w:val="20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6"/>
                <w:szCs w:val="16"/>
                <w:color w:val="auto"/>
              </w:rPr>
            </w:pPr>
          </w:p>
        </w:tc>
        <w:tc>
          <w:tcPr>
            <w:tcW w:w="13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00"/>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r>
      <w:tr>
        <w:trPr>
          <w:trHeight w:val="19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4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98"/>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2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(loss) per common share:</w:t>
            </w: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192"/>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 continuing operations</w:t>
            </w: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r>
      <w:tr>
        <w:trPr>
          <w:trHeight w:val="20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 discontinued operations</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187"/>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0"/>
        </w:trPr>
        <w:tc>
          <w:tcPr>
            <w:tcW w:w="26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192"/>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 continuing operations</w:t>
            </w:r>
          </w:p>
        </w:tc>
        <w:tc>
          <w:tcPr>
            <w:tcW w:w="46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4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r>
      <w:tr>
        <w:trPr>
          <w:trHeight w:val="20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 discontinued operations</w:t>
            </w:r>
          </w:p>
        </w:tc>
        <w:tc>
          <w:tcPr>
            <w:tcW w:w="4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r>
      <w:tr>
        <w:trPr>
          <w:trHeight w:val="187"/>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6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27"/>
        </w:trPr>
        <w:tc>
          <w:tcPr>
            <w:tcW w:w="26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71120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00"/>
          </w:cols>
          <w:pgMar w:left="560" w:top="174" w:right="6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OPERATIONS</w:t>
      </w:r>
    </w:p>
    <w:p>
      <w:pPr>
        <w:spacing w:after="0" w:line="4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30" w:lineRule="exact"/>
        <w:rPr>
          <w:sz w:val="20"/>
          <w:szCs w:val="20"/>
          <w:color w:val="auto"/>
        </w:rPr>
      </w:pPr>
    </w:p>
    <w:tbl>
      <w:tblPr>
        <w:tblLayout w:type="fixed"/>
        <w:tblInd w:w="2740" w:type="dxa"/>
        <w:tblCellMar>
          <w:top w:w="0" w:type="dxa"/>
          <w:left w:w="0" w:type="dxa"/>
          <w:bottom w:w="0" w:type="dxa"/>
          <w:right w:w="0" w:type="dxa"/>
        </w:tblCellMar>
      </w:tblPr>
      <w:tr>
        <w:trPr>
          <w:trHeight w:val="147"/>
        </w:trPr>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As Previously</w:t>
            </w:r>
          </w:p>
        </w:tc>
        <w:tc>
          <w:tcPr>
            <w:tcW w:w="128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140" w:type="dxa"/>
            <w:vAlign w:val="bottom"/>
            <w:tcBorders>
              <w:top w:val="single" w:sz="8" w:color="auto"/>
            </w:tcBorders>
            <w:vMerge w:val="restart"/>
          </w:tcPr>
          <w:p>
            <w:pPr>
              <w:ind w:left="32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Discontinued Operations</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Change in Basis of</w:t>
            </w: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As Restated and</w:t>
            </w:r>
          </w:p>
        </w:tc>
        <w:tc>
          <w:tcPr>
            <w:tcW w:w="0" w:type="dxa"/>
            <w:vAlign w:val="bottom"/>
          </w:tcPr>
          <w:p>
            <w:pPr>
              <w:spacing w:after="0"/>
              <w:rPr>
                <w:sz w:val="1"/>
                <w:szCs w:val="1"/>
                <w:color w:val="auto"/>
              </w:rPr>
            </w:pPr>
          </w:p>
        </w:tc>
      </w:tr>
      <w:tr>
        <w:trPr>
          <w:trHeight w:val="105"/>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28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Reclassifications</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Presentation</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Reclassified</w:t>
            </w:r>
          </w:p>
        </w:tc>
        <w:tc>
          <w:tcPr>
            <w:tcW w:w="0" w:type="dxa"/>
            <w:vAlign w:val="bottom"/>
          </w:tcPr>
          <w:p>
            <w:pPr>
              <w:spacing w:after="0"/>
              <w:rPr>
                <w:sz w:val="1"/>
                <w:szCs w:val="1"/>
                <w:color w:val="auto"/>
              </w:rPr>
            </w:pPr>
          </w:p>
        </w:tc>
      </w:tr>
      <w:tr>
        <w:trPr>
          <w:trHeight w:val="60"/>
        </w:trPr>
        <w:tc>
          <w:tcPr>
            <w:tcW w:w="126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13970</wp:posOffset>
            </wp:positionV>
            <wp:extent cx="6760845" cy="144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60845" cy="144145"/>
                    </a:xfrm>
                    <a:prstGeom prst="rect">
                      <a:avLst/>
                    </a:prstGeom>
                    <a:noFill/>
                  </pic:spPr>
                </pic:pic>
              </a:graphicData>
            </a:graphic>
          </wp:anchor>
        </w:drawing>
      </w:r>
    </w:p>
    <w:p>
      <w:pPr>
        <w:sectPr>
          <w:pgSz w:w="11900" w:h="16838" w:orient="portrait"/>
          <w:cols w:equalWidth="0" w:num="1">
            <w:col w:w="10700"/>
          </w:cols>
          <w:pgMar w:left="560" w:top="174" w:right="639" w:bottom="1440" w:gutter="0" w:footer="0" w:header="0"/>
        </w:sectPr>
      </w:pPr>
    </w:p>
    <w:p>
      <w:pPr>
        <w:spacing w:after="0" w:line="26" w:lineRule="exact"/>
        <w:rPr>
          <w:sz w:val="20"/>
          <w:szCs w:val="20"/>
          <w:color w:val="auto"/>
        </w:rPr>
      </w:pPr>
    </w:p>
    <w:p>
      <w:pPr>
        <w:ind w:left="80"/>
        <w:spacing w:after="0"/>
        <w:tabs>
          <w:tab w:leader="none" w:pos="2740" w:val="left"/>
        </w:tabs>
        <w:rPr>
          <w:sz w:val="20"/>
          <w:szCs w:val="20"/>
          <w:color w:val="auto"/>
        </w:rPr>
      </w:pPr>
      <w:r>
        <w:rPr>
          <w:rFonts w:ascii="Times New Roman" w:cs="Times New Roman" w:eastAsia="Times New Roman" w:hAnsi="Times New Roman"/>
          <w:sz w:val="14"/>
          <w:szCs w:val="14"/>
          <w:color w:val="auto"/>
        </w:rPr>
        <w:t>Revenues</w:t>
      </w:r>
      <w:r>
        <w:rPr>
          <w:sz w:val="20"/>
          <w:szCs w:val="20"/>
          <w:color w:val="auto"/>
        </w:rPr>
        <w:tab/>
      </w:r>
      <w:r>
        <w:rPr>
          <w:rFonts w:ascii="Times New Roman" w:cs="Times New Roman" w:eastAsia="Times New Roman" w:hAnsi="Times New Roman"/>
          <w:sz w:val="14"/>
          <w:szCs w:val="14"/>
          <w:color w:val="auto"/>
        </w:rPr>
        <w:t>$</w:t>
      </w:r>
    </w:p>
    <w:p>
      <w:pPr>
        <w:spacing w:after="0" w:line="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Costs and expenses:</w:t>
      </w:r>
    </w:p>
    <w:p>
      <w:pPr>
        <w:spacing w:after="0" w:line="39" w:lineRule="exact"/>
        <w:rPr>
          <w:sz w:val="20"/>
          <w:szCs w:val="20"/>
          <w:color w:val="auto"/>
        </w:rPr>
      </w:pPr>
    </w:p>
    <w:p>
      <w:pPr>
        <w:ind w:left="80" w:right="340"/>
        <w:spacing w:after="0" w:line="248" w:lineRule="auto"/>
        <w:rPr>
          <w:sz w:val="20"/>
          <w:szCs w:val="20"/>
          <w:color w:val="auto"/>
        </w:rPr>
      </w:pPr>
      <w:r>
        <w:rPr>
          <w:rFonts w:ascii="Times New Roman" w:cs="Times New Roman" w:eastAsia="Times New Roman" w:hAnsi="Times New Roman"/>
          <w:sz w:val="14"/>
          <w:szCs w:val="14"/>
          <w:color w:val="auto"/>
        </w:rPr>
        <w:t>Direct costs, exclusive of depreciation and amortization</w:t>
      </w:r>
    </w:p>
    <w:p>
      <w:pPr>
        <w:spacing w:after="0" w:line="1" w:lineRule="exact"/>
        <w:rPr>
          <w:sz w:val="20"/>
          <w:szCs w:val="20"/>
          <w:color w:val="auto"/>
        </w:rPr>
      </w:pPr>
    </w:p>
    <w:p>
      <w:pPr>
        <w:ind w:left="80" w:right="200"/>
        <w:spacing w:after="0" w:line="248" w:lineRule="auto"/>
        <w:rPr>
          <w:sz w:val="20"/>
          <w:szCs w:val="20"/>
          <w:color w:val="auto"/>
        </w:rPr>
      </w:pPr>
      <w:r>
        <w:rPr>
          <w:rFonts w:ascii="Times New Roman" w:cs="Times New Roman" w:eastAsia="Times New Roman" w:hAnsi="Times New Roman"/>
          <w:sz w:val="14"/>
          <w:szCs w:val="14"/>
          <w:color w:val="auto"/>
        </w:rPr>
        <w:t>Selling, general and administrative expenses, exclusive of depreciation and amortization</w:t>
      </w:r>
    </w:p>
    <w:p>
      <w:pPr>
        <w:spacing w:after="0" w:line="1" w:lineRule="exact"/>
        <w:rPr>
          <w:sz w:val="20"/>
          <w:szCs w:val="20"/>
          <w:color w:val="auto"/>
        </w:rPr>
      </w:pPr>
    </w:p>
    <w:p>
      <w:pPr>
        <w:ind w:left="80" w:right="960"/>
        <w:spacing w:after="0" w:line="305" w:lineRule="auto"/>
        <w:rPr>
          <w:sz w:val="20"/>
          <w:szCs w:val="20"/>
          <w:color w:val="auto"/>
        </w:rPr>
      </w:pPr>
      <w:r>
        <w:rPr>
          <w:rFonts w:ascii="Times New Roman" w:cs="Times New Roman" w:eastAsia="Times New Roman" w:hAnsi="Times New Roman"/>
          <w:sz w:val="14"/>
          <w:szCs w:val="14"/>
          <w:color w:val="auto"/>
        </w:rPr>
        <w:t>Depreciation and amortization Restructuring and other charges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
        </w:trPr>
        <w:tc>
          <w:tcPr>
            <w:tcW w:w="5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r>
        <w:trPr>
          <w:trHeight w:val="185"/>
        </w:trPr>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5"/>
              </w:rPr>
              <w:t>2,333.6</w:t>
            </w:r>
          </w:p>
        </w:tc>
        <w:tc>
          <w:tcPr>
            <w:tcW w:w="5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(2.8)</w:t>
            </w:r>
          </w:p>
        </w:tc>
        <w:tc>
          <w:tcPr>
            <w:tcW w:w="42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2,330.8</w:t>
            </w:r>
          </w:p>
        </w:tc>
        <w:tc>
          <w:tcPr>
            <w:tcW w:w="5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w:t>
            </w:r>
          </w:p>
        </w:tc>
        <w:tc>
          <w:tcPr>
            <w:tcW w:w="56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2,132.8</w:t>
            </w:r>
          </w:p>
        </w:tc>
      </w:tr>
      <w:tr>
        <w:trPr>
          <w:trHeight w:val="458"/>
        </w:trPr>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95"/>
              </w:rPr>
              <w:t>1,932.9</w:t>
            </w:r>
          </w:p>
        </w:tc>
        <w:tc>
          <w:tcPr>
            <w:tcW w:w="580" w:type="dxa"/>
            <w:vAlign w:val="bottom"/>
          </w:tcPr>
          <w:p>
            <w:pPr>
              <w:spacing w:after="0"/>
              <w:rPr>
                <w:sz w:val="24"/>
                <w:szCs w:val="24"/>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0.2</w:t>
            </w:r>
          </w:p>
        </w:tc>
        <w:tc>
          <w:tcPr>
            <w:tcW w:w="42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1,933.1</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560" w:type="dxa"/>
            <w:vAlign w:val="bottom"/>
          </w:tcPr>
          <w:p>
            <w:pPr>
              <w:spacing w:after="0"/>
              <w:rPr>
                <w:sz w:val="24"/>
                <w:szCs w:val="24"/>
                <w:color w:val="auto"/>
              </w:rPr>
            </w:pPr>
          </w:p>
        </w:tc>
        <w:tc>
          <w:tcPr>
            <w:tcW w:w="94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(123.9)</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1,674.0</w:t>
            </w:r>
          </w:p>
        </w:tc>
      </w:tr>
      <w:tr>
        <w:trPr>
          <w:trHeight w:val="334"/>
        </w:trPr>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237.7</w:t>
            </w:r>
          </w:p>
        </w:tc>
        <w:tc>
          <w:tcPr>
            <w:tcW w:w="58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(0.3)</w:t>
            </w:r>
          </w:p>
        </w:tc>
        <w:tc>
          <w:tcPr>
            <w:tcW w:w="420" w:type="dxa"/>
            <w:vAlign w:val="bottom"/>
          </w:tcPr>
          <w:p>
            <w:pPr>
              <w:spacing w:after="0"/>
              <w:rPr>
                <w:sz w:val="24"/>
                <w:szCs w:val="24"/>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237.4</w:t>
            </w:r>
          </w:p>
        </w:tc>
        <w:tc>
          <w:tcPr>
            <w:tcW w:w="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560" w:type="dxa"/>
            <w:vAlign w:val="bottom"/>
          </w:tcPr>
          <w:p>
            <w:pPr>
              <w:spacing w:after="0"/>
              <w:rPr>
                <w:sz w:val="24"/>
                <w:szCs w:val="24"/>
                <w:color w:val="auto"/>
              </w:rPr>
            </w:pPr>
          </w:p>
        </w:tc>
        <w:tc>
          <w:tcPr>
            <w:tcW w:w="9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123.9</w:t>
            </w:r>
          </w:p>
        </w:tc>
        <w:tc>
          <w:tcPr>
            <w:tcW w:w="4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w:t>
            </w:r>
          </w:p>
        </w:tc>
      </w:tr>
      <w:tr>
        <w:trPr>
          <w:trHeight w:val="267"/>
        </w:trPr>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72.5</w:t>
            </w:r>
          </w:p>
        </w:tc>
        <w:tc>
          <w:tcPr>
            <w:tcW w:w="580" w:type="dxa"/>
            <w:vAlign w:val="bottom"/>
          </w:tcPr>
          <w:p>
            <w:pPr>
              <w:spacing w:after="0"/>
              <w:rPr>
                <w:sz w:val="23"/>
                <w:szCs w:val="23"/>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w:t>
            </w:r>
          </w:p>
        </w:tc>
        <w:tc>
          <w:tcPr>
            <w:tcW w:w="420" w:type="dxa"/>
            <w:vAlign w:val="bottom"/>
          </w:tcPr>
          <w:p>
            <w:pPr>
              <w:spacing w:after="0"/>
              <w:rPr>
                <w:sz w:val="23"/>
                <w:szCs w:val="23"/>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73.6</w:t>
            </w:r>
          </w:p>
        </w:tc>
        <w:tc>
          <w:tcPr>
            <w:tcW w:w="5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560" w:type="dxa"/>
            <w:vAlign w:val="bottom"/>
          </w:tcPr>
          <w:p>
            <w:pPr>
              <w:spacing w:after="0"/>
              <w:rPr>
                <w:sz w:val="23"/>
                <w:szCs w:val="23"/>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r>
      <w:tr>
        <w:trPr>
          <w:trHeight w:val="200"/>
        </w:trPr>
        <w:tc>
          <w:tcPr>
            <w:tcW w:w="5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16.7</w:t>
            </w:r>
          </w:p>
        </w:tc>
        <w:tc>
          <w:tcPr>
            <w:tcW w:w="580" w:type="dxa"/>
            <w:vAlign w:val="bottom"/>
          </w:tcPr>
          <w:p>
            <w:pPr>
              <w:spacing w:after="0"/>
              <w:rPr>
                <w:sz w:val="17"/>
                <w:szCs w:val="17"/>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7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16.7</w:t>
            </w:r>
          </w:p>
        </w:tc>
        <w:tc>
          <w:tcPr>
            <w:tcW w:w="5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560" w:type="dxa"/>
            <w:vAlign w:val="bottom"/>
          </w:tcPr>
          <w:p>
            <w:pPr>
              <w:spacing w:after="0"/>
              <w:rPr>
                <w:sz w:val="17"/>
                <w:szCs w:val="17"/>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-661670</wp:posOffset>
            </wp:positionV>
            <wp:extent cx="6760845" cy="212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60845" cy="212090"/>
                    </a:xfrm>
                    <a:prstGeom prst="rect">
                      <a:avLst/>
                    </a:prstGeom>
                    <a:noFill/>
                  </pic:spPr>
                </pic:pic>
              </a:graphicData>
            </a:graphic>
          </wp:anchor>
        </w:drawing>
        <w:drawing>
          <wp:anchor simplePos="0" relativeHeight="251657728" behindDoc="1" locked="0" layoutInCell="0" allowOverlap="1">
            <wp:simplePos x="0" y="0"/>
            <wp:positionH relativeFrom="column">
              <wp:posOffset>-2158365</wp:posOffset>
            </wp:positionH>
            <wp:positionV relativeFrom="paragraph">
              <wp:posOffset>-238125</wp:posOffset>
            </wp:positionV>
            <wp:extent cx="6760845" cy="1270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60845" cy="12700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2840" w:space="620"/>
            <w:col w:w="7240"/>
          </w:cols>
          <w:pgMar w:left="560" w:top="174" w:right="639" w:bottom="1440" w:gutter="0" w:footer="0" w:header="0"/>
          <w:type w:val="continuous"/>
        </w:sectPr>
      </w:pPr>
    </w:p>
    <w:tbl>
      <w:tblPr>
        <w:tblLayout w:type="fixed"/>
        <w:tblInd w:w="60" w:type="dxa"/>
        <w:tblCellMar>
          <w:top w:w="0" w:type="dxa"/>
          <w:left w:w="0" w:type="dxa"/>
          <w:bottom w:w="0" w:type="dxa"/>
          <w:right w:w="0" w:type="dxa"/>
        </w:tblCellMar>
      </w:tblPr>
      <w:tr>
        <w:trPr>
          <w:trHeight w:val="194"/>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costs and expenses</w:t>
            </w: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2,259.8</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2,260.8</w:t>
            </w: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10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2,076.8</w:t>
            </w:r>
          </w:p>
        </w:tc>
      </w:tr>
      <w:tr>
        <w:trPr>
          <w:trHeight w:val="187"/>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56.0</w:t>
            </w:r>
          </w:p>
        </w:tc>
      </w:tr>
      <w:tr>
        <w:trPr>
          <w:trHeight w:val="187"/>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192"/>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r>
      <w:tr>
        <w:trPr>
          <w:trHeight w:val="20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exchange gain (loss)</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200"/>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193"/>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gridSpan w:val="3"/>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98"/>
        </w:trPr>
        <w:tc>
          <w:tcPr>
            <w:tcW w:w="2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auto"/>
              <w:bottom w:val="single" w:sz="8" w:color="auto"/>
            </w:tcBorders>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2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00"/>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Earnings per common share:</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2"/>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 continuing operations</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r>
      <w:tr>
        <w:trPr>
          <w:trHeight w:val="20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 discontinued operations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187"/>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r>
      <w:tr>
        <w:trPr>
          <w:trHeight w:val="20"/>
        </w:trPr>
        <w:tc>
          <w:tcPr>
            <w:tcW w:w="2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0"/>
        </w:trPr>
        <w:tc>
          <w:tcPr>
            <w:tcW w:w="2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192"/>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 continuing operations</w:t>
            </w: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8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r>
      <w:tr>
        <w:trPr>
          <w:trHeight w:val="208"/>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 discontinued operations</w:t>
            </w: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187"/>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r>
      <w:tr>
        <w:trPr>
          <w:trHeight w:val="27"/>
        </w:trPr>
        <w:tc>
          <w:tcPr>
            <w:tcW w:w="2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00"/>
          </w:cols>
          <w:pgMar w:left="560" w:top="174" w:right="639"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COMPREHENSIVE INCOME (LOSS)</w:t>
      </w:r>
    </w:p>
    <w:p>
      <w:pPr>
        <w:spacing w:after="0" w:line="204" w:lineRule="exact"/>
        <w:rPr>
          <w:sz w:val="20"/>
          <w:szCs w:val="20"/>
          <w:color w:val="auto"/>
        </w:rPr>
      </w:pPr>
    </w:p>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p>
      <w:pPr>
        <w:spacing w:after="0" w:line="30"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69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105"/>
        </w:trPr>
        <w:tc>
          <w:tcPr>
            <w:tcW w:w="6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6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6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192"/>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w:t>
            </w:r>
          </w:p>
        </w:tc>
        <w:tc>
          <w:tcPr>
            <w:tcW w:w="0" w:type="dxa"/>
            <w:vAlign w:val="bottom"/>
          </w:tcPr>
          <w:p>
            <w:pPr>
              <w:spacing w:after="0"/>
              <w:rPr>
                <w:sz w:val="1"/>
                <w:szCs w:val="1"/>
                <w:color w:val="auto"/>
              </w:rPr>
            </w:pPr>
          </w:p>
        </w:tc>
      </w:tr>
      <w:tr>
        <w:trPr>
          <w:trHeight w:val="20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 instruments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6"/>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tax</w:t>
            </w: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0" w:type="dxa"/>
            <w:vAlign w:val="bottom"/>
          </w:tcPr>
          <w:p>
            <w:pPr>
              <w:spacing w:after="0"/>
              <w:rPr>
                <w:sz w:val="1"/>
                <w:szCs w:val="1"/>
                <w:color w:val="auto"/>
              </w:rPr>
            </w:pPr>
          </w:p>
        </w:tc>
      </w:tr>
      <w:tr>
        <w:trPr>
          <w:trHeight w:val="20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related to items of comprehensive loss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87"/>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COMPREHENSIVE INCOME (LOSS)</w:t>
      </w:r>
    </w:p>
    <w:p>
      <w:pPr>
        <w:spacing w:after="0" w:line="204"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9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280"/>
              <w:spacing w:after="0" w:line="134"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As Restated</w:t>
            </w:r>
          </w:p>
        </w:tc>
        <w:tc>
          <w:tcPr>
            <w:tcW w:w="0" w:type="dxa"/>
            <w:vAlign w:val="bottom"/>
          </w:tcPr>
          <w:p>
            <w:pPr>
              <w:spacing w:after="0"/>
              <w:rPr>
                <w:sz w:val="1"/>
                <w:szCs w:val="1"/>
                <w:color w:val="auto"/>
              </w:rPr>
            </w:pPr>
          </w:p>
        </w:tc>
      </w:tr>
      <w:tr>
        <w:trPr>
          <w:trHeight w:val="105"/>
        </w:trPr>
        <w:tc>
          <w:tcPr>
            <w:tcW w:w="6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Reported</w:t>
            </w:r>
          </w:p>
        </w:tc>
        <w:tc>
          <w:tcPr>
            <w:tcW w:w="1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6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
        </w:trPr>
        <w:tc>
          <w:tcPr>
            <w:tcW w:w="6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92"/>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08"/>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benefit plan adjustments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on derivative instruments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0"/>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before tax</w:t>
            </w: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3"/>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 related to items of comprehensive loss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93"/>
        </w:trPr>
        <w:tc>
          <w:tcPr>
            <w:tcW w:w="6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0"/>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520" w:top="17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CHANGES IN EQUITY</w:t>
      </w:r>
    </w:p>
    <w:p>
      <w:pPr>
        <w:spacing w:after="0" w:line="204"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19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7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8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7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6"/>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Previously reported</w:t>
            </w: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3,618.6</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3,342.</w:t>
            </w: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from Former Parent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3,662.6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(257.1)</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payment to Former Parent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45"/>
        </w:trPr>
        <w:tc>
          <w:tcPr>
            <w:tcW w:w="29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Reclassification of Former Parent investment to</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98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00"/>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0"/>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1,987.6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w:t>
            </w:r>
          </w:p>
        </w:tc>
        <w:tc>
          <w:tcPr>
            <w:tcW w:w="0" w:type="dxa"/>
            <w:vAlign w:val="bottom"/>
          </w:tcPr>
          <w:p>
            <w:pPr>
              <w:spacing w:after="0"/>
              <w:rPr>
                <w:sz w:val="1"/>
                <w:szCs w:val="1"/>
                <w:color w:val="auto"/>
              </w:rPr>
            </w:pPr>
          </w:p>
        </w:tc>
      </w:tr>
      <w:tr>
        <w:trPr>
          <w:trHeight w:val="174"/>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Adjustments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from Former Parent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0"/>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5"/>
        </w:trPr>
        <w:tc>
          <w:tcPr>
            <w:tcW w:w="29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Reclassification of Former Parent investment to</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980" w:type="dxa"/>
            <w:vAlign w:val="bottom"/>
            <w:vMerge w:val="continue"/>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80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92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26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3"/>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00"/>
          </w:cols>
          <w:pgMar w:left="560" w:top="175" w:right="239" w:bottom="1440" w:gutter="0" w:footer="0" w:header="0"/>
        </w:sectPr>
      </w:pPr>
    </w:p>
    <w:bookmarkStart w:id="33" w:name="page34"/>
    <w:bookmarkEnd w:id="33"/>
    <w:p>
      <w:pPr>
        <w:ind w:left="20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80" w:type="dxa"/>
            <w:vAlign w:val="bottom"/>
          </w:tcPr>
          <w:p>
            <w:pPr>
              <w:spacing w:after="0"/>
              <w:rPr>
                <w:sz w:val="16"/>
                <w:szCs w:val="16"/>
                <w:color w:val="auto"/>
              </w:rPr>
            </w:pPr>
          </w:p>
        </w:tc>
        <w:tc>
          <w:tcPr>
            <w:tcW w:w="19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9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Former Parent</w:t>
            </w:r>
          </w:p>
        </w:tc>
        <w:tc>
          <w:tcPr>
            <w:tcW w:w="16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920" w:type="dxa"/>
            <w:vAlign w:val="bottom"/>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980" w:type="dxa"/>
            <w:vAlign w:val="bottom"/>
          </w:tcPr>
          <w:p>
            <w:pPr>
              <w:spacing w:after="0"/>
              <w:rPr>
                <w:sz w:val="12"/>
                <w:szCs w:val="12"/>
                <w:color w:val="auto"/>
              </w:rPr>
            </w:pPr>
          </w:p>
        </w:tc>
        <w:tc>
          <w:tcPr>
            <w:tcW w:w="840" w:type="dxa"/>
            <w:vAlign w:val="bottom"/>
            <w:vMerge w:val="restart"/>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92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6"/>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As Restated</w:t>
            </w:r>
          </w:p>
        </w:tc>
        <w:tc>
          <w:tcPr>
            <w:tcW w:w="8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3,614.8</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(274.8)</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3,340.0</w:t>
            </w: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from Former Parent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186"/>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3,658.5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(255.7)</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3,402.8</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Special payment to Former Parent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to Former Parent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145"/>
        </w:trPr>
        <w:tc>
          <w:tcPr>
            <w:tcW w:w="298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Reclassification of Former Parent investment to</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84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8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36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98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0"/>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1,747.8</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08"/>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0" w:type="dxa"/>
            <w:vAlign w:val="bottom"/>
          </w:tcPr>
          <w:p>
            <w:pPr>
              <w:spacing w:after="0"/>
              <w:rPr>
                <w:sz w:val="1"/>
                <w:szCs w:val="1"/>
                <w:color w:val="auto"/>
              </w:rPr>
            </w:pPr>
          </w:p>
        </w:tc>
      </w:tr>
      <w:tr>
        <w:trPr>
          <w:trHeight w:val="193"/>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218"/>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1,690.5</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71120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60" w:top="174" w:right="379" w:bottom="1440" w:gutter="0" w:footer="0" w:header="0"/>
        </w:sectPr>
      </w:pPr>
    </w:p>
    <w:bookmarkStart w:id="34" w:name="page35"/>
    <w:bookmarkEnd w:id="34"/>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AND COMBINED STATEMENT OF CASH FLOWS</w:t>
      </w:r>
    </w:p>
    <w:p>
      <w:pPr>
        <w:spacing w:after="0" w:line="204"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30" w:lineRule="exact"/>
        <w:rPr>
          <w:sz w:val="20"/>
          <w:szCs w:val="20"/>
          <w:color w:val="auto"/>
        </w:rPr>
      </w:pPr>
    </w:p>
    <w:tbl>
      <w:tblPr>
        <w:tblLayout w:type="fixed"/>
        <w:tblInd w:w="240" w:type="dxa"/>
        <w:tblCellMar>
          <w:top w:w="0" w:type="dxa"/>
          <w:left w:w="0" w:type="dxa"/>
          <w:bottom w:w="0" w:type="dxa"/>
          <w:right w:w="0" w:type="dxa"/>
        </w:tblCellMar>
      </w:tblPr>
      <w:tr>
        <w:trPr>
          <w:trHeight w:val="133"/>
        </w:trPr>
        <w:tc>
          <w:tcPr>
            <w:tcW w:w="67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300"/>
              <w:spacing w:after="0" w:line="134"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r>
      <w:tr>
        <w:trPr>
          <w:trHeight w:val="180"/>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8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00" w:type="dxa"/>
            <w:vAlign w:val="bottom"/>
          </w:tcPr>
          <w:p>
            <w:pPr>
              <w:spacing w:after="0"/>
              <w:rPr>
                <w:sz w:val="15"/>
                <w:szCs w:val="15"/>
                <w:color w:val="auto"/>
              </w:rPr>
            </w:pPr>
          </w:p>
        </w:tc>
        <w:tc>
          <w:tcPr>
            <w:tcW w:w="1080" w:type="dxa"/>
            <w:vAlign w:val="bottom"/>
          </w:tcPr>
          <w:p>
            <w:pPr>
              <w:jc w:val="right"/>
              <w:ind w:right="249"/>
              <w:spacing w:after="0"/>
              <w:rPr>
                <w:sz w:val="20"/>
                <w:szCs w:val="20"/>
                <w:color w:val="auto"/>
              </w:rPr>
            </w:pPr>
            <w:r>
              <w:rPr>
                <w:rFonts w:ascii="Times New Roman" w:cs="Times New Roman" w:eastAsia="Times New Roman" w:hAnsi="Times New Roman"/>
                <w:sz w:val="12"/>
                <w:szCs w:val="12"/>
                <w:b w:val="1"/>
                <w:bCs w:val="1"/>
                <w:color w:val="auto"/>
              </w:rPr>
              <w:t>As Restated</w:t>
            </w:r>
          </w:p>
        </w:tc>
      </w:tr>
      <w:tr>
        <w:trPr>
          <w:trHeight w:val="187"/>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earnings to net cash provided by operating activities: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compensation</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right-of-use asset expense</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 and other asset impairments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Deferred income taxes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Change in assets and liabilities (net of effects of acquisitions):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accounts receivable and unbilled services, net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Decrease in prepaid expenses and other</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Increase in accounts payable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Decrease in deferred revenue</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Decrease in accrued expenses and other</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87"/>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w:t>
            </w:r>
          </w:p>
        </w:tc>
      </w:tr>
      <w:tr>
        <w:trPr>
          <w:trHeight w:val="18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Capital expenditures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87"/>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used for investing activities</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w:t>
            </w:r>
          </w:p>
        </w:tc>
      </w:tr>
      <w:tr>
        <w:trPr>
          <w:trHeight w:val="18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revolving credit facilities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 on revolving credit facilities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term loans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1,061.4</w:t>
            </w: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Proceeds from issuance of senior notes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570.0</w:t>
            </w: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Debt issuance costs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Principal payments of long-term debt</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92"/>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Special payment to Former Parent</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(1,595.0)</w:t>
            </w: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transfers from Parent</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w:t>
            </w:r>
          </w:p>
        </w:tc>
      </w:tr>
      <w:tr>
        <w:trPr>
          <w:trHeight w:val="186"/>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(133.1)</w:t>
            </w:r>
          </w:p>
        </w:tc>
      </w:tr>
      <w:tr>
        <w:trPr>
          <w:trHeight w:val="208"/>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186"/>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cash and cash equivalents</w:t>
            </w: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201"/>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w:t>
            </w:r>
          </w:p>
        </w:tc>
      </w:tr>
      <w:tr>
        <w:trPr>
          <w:trHeight w:val="200"/>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103.8</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adjusted and restated statements of cash flows included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20"/>
          </w:cols>
          <w:pgMar w:left="320" w:top="174" w:right="559" w:bottom="1440" w:gutter="0" w:footer="0" w:header="0"/>
        </w:sectPr>
      </w:pPr>
    </w:p>
    <w:bookmarkStart w:id="35" w:name="page36"/>
    <w:bookmarkEnd w:id="35"/>
    <w:p>
      <w:pPr>
        <w:ind w:left="240"/>
        <w:spacing w:after="0"/>
        <w:rPr>
          <w:sz w:val="20"/>
          <w:szCs w:val="20"/>
          <w:color w:val="auto"/>
        </w:rPr>
      </w:pPr>
      <w:r>
        <w:rPr>
          <w:rFonts w:ascii="Times New Roman" w:cs="Times New Roman" w:eastAsia="Times New Roman" w:hAnsi="Times New Roman"/>
          <w:sz w:val="18"/>
          <w:szCs w:val="18"/>
          <w:u w:val="single" w:color="auto"/>
          <w:color w:val="0000FF"/>
        </w:rPr>
        <w:t>INDEX</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UNAUDITED CONDENSED CONSOLIDATED AND COMBINED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(dollars and shares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(in millions)</w:t>
      </w:r>
    </w:p>
    <w:p>
      <w:pPr>
        <w:spacing w:after="0" w:line="171" w:lineRule="exact"/>
        <w:rPr>
          <w:sz w:val="20"/>
          <w:szCs w:val="20"/>
          <w:color w:val="auto"/>
        </w:rPr>
      </w:pPr>
    </w:p>
    <w:p>
      <w:pPr>
        <w:ind w:firstLine="320"/>
        <w:spacing w:after="0" w:line="252" w:lineRule="auto"/>
        <w:rPr>
          <w:sz w:val="20"/>
          <w:szCs w:val="20"/>
          <w:color w:val="auto"/>
        </w:rPr>
      </w:pPr>
      <w:r>
        <w:rPr>
          <w:rFonts w:ascii="Times New Roman" w:cs="Times New Roman" w:eastAsia="Times New Roman" w:hAnsi="Times New Roman"/>
          <w:sz w:val="18"/>
          <w:szCs w:val="18"/>
          <w:color w:val="auto"/>
        </w:rPr>
        <w:t>The following discussion and analysis is intended to provide a summary of significant factors relevant to the financial performance and condition of Fortrea Holdings Inc., which we refer to in this discussion and analysis as “Fortrea,” the “Company,” “our” and “we”. Prior to the spin-off (the “Spin” or “the Separation”), Fortrea existed and functioned as part of Laboratory Corporation of America Holdings, which we refer to in this discussion and analysis as “Labcorp” or “Former Parent.” The following discussion and analysis of our financial condition and results of operations should be read in conjunction with our audited combined financial statements and corresponding notes included in our Annual Report on Form 10-K for the year ended December 31, 2023 (the “Form 10-K”) and our unaudited condensed consolidated and combined financial statements and corresponding notes in Item 1. “Financial Statements.” Unless otherwise noted, the following information and discussion relates to our continuing operations.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1" w:lineRule="exact"/>
        <w:rPr>
          <w:sz w:val="20"/>
          <w:szCs w:val="20"/>
          <w:color w:val="auto"/>
        </w:rPr>
      </w:pPr>
    </w:p>
    <w:p>
      <w:pPr>
        <w:ind w:right="80" w:firstLine="320"/>
        <w:spacing w:after="0" w:line="252" w:lineRule="auto"/>
        <w:rPr>
          <w:sz w:val="20"/>
          <w:szCs w:val="20"/>
          <w:color w:val="auto"/>
        </w:rPr>
      </w:pPr>
      <w:r>
        <w:rPr>
          <w:rFonts w:ascii="Times New Roman" w:cs="Times New Roman" w:eastAsia="Times New Roman" w:hAnsi="Times New Roman"/>
          <w:sz w:val="18"/>
          <w:szCs w:val="18"/>
          <w:color w:val="auto"/>
        </w:rPr>
        <w:t>This Form 10-Q and other materials we have filed or will file with the Securities and Exchange Commission (the “SEC”) include or will include forward-looking statements. Some of the forward-looking statements can be identified by the use of terms such as “believes,” “expects,” “may,” “will,” “should,” “could,” “seeks,” “approximately,” “intends,” “plans,” “estimates,” “anticipates,” or other comparable terms. These forward-looking statements include all matters that are not related to present facts or current conditions or that are not historical facts. They appear in a number of places throughout this Form 10-Q and include statements regarding our intentions, beliefs, or current expectations concerning, among other things, our results of operations, financial condition, liquidity, prospects and growth strategies, and the industries in which we operate and include, without limitation, statements relating to our future performance.</w:t>
      </w:r>
    </w:p>
    <w:p>
      <w:pPr>
        <w:spacing w:after="0" w:line="133" w:lineRule="exact"/>
        <w:rPr>
          <w:sz w:val="20"/>
          <w:szCs w:val="20"/>
          <w:color w:val="auto"/>
        </w:rPr>
      </w:pPr>
    </w:p>
    <w:p>
      <w:pPr>
        <w:ind w:right="40" w:firstLine="320"/>
        <w:spacing w:after="0" w:line="264" w:lineRule="auto"/>
        <w:rPr>
          <w:sz w:val="20"/>
          <w:szCs w:val="20"/>
          <w:color w:val="auto"/>
        </w:rPr>
      </w:pPr>
      <w:r>
        <w:rPr>
          <w:rFonts w:ascii="Times New Roman" w:cs="Times New Roman" w:eastAsia="Times New Roman" w:hAnsi="Times New Roman"/>
          <w:sz w:val="17"/>
          <w:szCs w:val="17"/>
          <w:color w:val="auto"/>
        </w:rPr>
        <w:t>Forward-looking statements are subject to known and unknown risks and uncertainties, many of which are beyond our control. We caution you that forward-looking statements are not guarantees of future performance and that our actual results of operations, financial condition and liquidity, and industry development may differ materially from those made in or suggested by the forward-looking statements contained in this Form 10-Q. In addition, even if our results of operations, financial condition and liquidity, and industry development are consistent with the forward-looking statements contained in this Form 10-Q, those results or developments may not be indicative of results or developments in subsequent periods. A number of important factors could cause actual results to differ materially from those contained in or implied by the forward-looking statements, including the risks and uncertainties discussed in the “Risk Factors” Section of our Form 10-K, as filed with the SEC. Factors that could cause actual results to differ from those reflected in forward-looking statements relating to our operations and business include, among other things: the risk that we may not realize some or all of the benefits expected to result from the Spin, or that such benefits are delayed; risks and consequences that are a result of the Spin; the impacts of becoming an independent public company; our reliance on Labcorp to provide financial reporting and other financial and accounting information for periods prior to the Spin through the end of the relevant transition agreements, as well as IT, accounting, finance, legal, human resources, and other services critical to our businesses; our dependence on third parties generally to provide services critical to our businesses throughout the transition period and beyond; the risk that establishment of our accounting, enterprise resource planning, and other management systems post the transition period could cost more or take longer than anticipated; our identification of existing material weaknesses in our internal control over financial reporting; the impact of our rebranding; our ability to successfully implement our business strategies and execute our long-term value creation strategy; risks and expenses associated with our international operations and currency fluctuations; our customer or therapeutic area concentrations; any further deterioration in the macroeconomic environment, which could lead to defaults or cancellations by our customers; the risk that our backlog and net new business may not grow to the extent we anticipate or over the time period we anticipate, that such measures may not be indicative of our future revenues and that we might not realize all of the anticipated future revenue reflected in our backlog; our ability to generate sufficient net new business awards, or the risk that net new business awards are delayed, terminated, reduced in scope, or fail to go to contract; the risk that we may underprice our contracts, overrun our cost estimates, or fail to receive approval for, or experience delays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8"/>
          <w:szCs w:val="18"/>
          <w:color w:val="auto"/>
        </w:rPr>
        <w:t>documentation of change orders; our ability to realize the full purchase price and benefits of the disposition of the Endpoint and Patient Access businesses; and other factors described in the Form 10-K and from time to time in documents that we file with the SEC.</w:t>
      </w:r>
    </w:p>
    <w:p>
      <w:pPr>
        <w:spacing w:after="0" w:line="109" w:lineRule="exact"/>
        <w:rPr>
          <w:sz w:val="20"/>
          <w:szCs w:val="20"/>
          <w:color w:val="auto"/>
        </w:rPr>
      </w:pPr>
    </w:p>
    <w:p>
      <w:pPr>
        <w:ind w:firstLine="320"/>
        <w:spacing w:after="0" w:line="257" w:lineRule="auto"/>
        <w:rPr>
          <w:sz w:val="20"/>
          <w:szCs w:val="20"/>
          <w:color w:val="auto"/>
        </w:rPr>
      </w:pPr>
      <w:r>
        <w:rPr>
          <w:rFonts w:ascii="Times New Roman" w:cs="Times New Roman" w:eastAsia="Times New Roman" w:hAnsi="Times New Roman"/>
          <w:sz w:val="18"/>
          <w:szCs w:val="18"/>
          <w:color w:val="auto"/>
        </w:rPr>
        <w:t>All forward-looking statements are made only as of the date of this Form 10-Q, and we do not undertake any obligation, other than as may be required by law, to update or revise any forward-looking statements to reflect future events or developments. Comparisons of results for current and any prior periods are not intended to express any future trends, or indications of future performance, unless expressed as such, and should only be viewed as historical data. For a further discussion of the risks relating to our business, see the “Risk Factors” section of our Annual Report on Form 10-K.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71" w:lineRule="exact"/>
        <w:rPr>
          <w:sz w:val="20"/>
          <w:szCs w:val="20"/>
          <w:color w:val="auto"/>
        </w:rPr>
      </w:pPr>
    </w:p>
    <w:p>
      <w:pPr>
        <w:ind w:right="240" w:firstLine="320"/>
        <w:spacing w:after="0" w:line="269" w:lineRule="auto"/>
        <w:rPr>
          <w:sz w:val="20"/>
          <w:szCs w:val="20"/>
          <w:color w:val="auto"/>
        </w:rPr>
      </w:pPr>
      <w:r>
        <w:rPr>
          <w:rFonts w:ascii="Times New Roman" w:cs="Times New Roman" w:eastAsia="Times New Roman" w:hAnsi="Times New Roman"/>
          <w:sz w:val="17"/>
          <w:szCs w:val="17"/>
          <w:color w:val="auto"/>
        </w:rPr>
        <w:t>Fortrea, a Delaware corporation incorporated on January 31, 2023, is a leading global contract research organization (“CRO”) providing biopharmaceutical product and medical device development services to pharmaceutical, biotechnology and medical device customers. We offer customers highly flexible delivery models that include Full Service, Functional Service Provider (“FSP”), and Hybrid Service structures. We have a rich history of providing clinical development services for over 30 years across more than 20 therapeutic areas, first as Covance and later as Labcorp Drug Development. On June 30, 2023, we completed the Spin from Labcorp. We leverage our global scale, scientific expertise, clinical data insights, technology innovation, industry network and decades of experience as a standalone company and as a business unit prior to the Spin to deliver tailored solutions to our customers. With what we believe is a distinctive market offering, Fortrea meets growing global demand for clinical development services.</w:t>
      </w:r>
    </w:p>
    <w:p>
      <w:pPr>
        <w:spacing w:after="0" w:line="121" w:lineRule="exact"/>
        <w:rPr>
          <w:sz w:val="20"/>
          <w:szCs w:val="20"/>
          <w:color w:val="auto"/>
        </w:rPr>
      </w:pPr>
    </w:p>
    <w:p>
      <w:pPr>
        <w:ind w:right="80" w:firstLine="320"/>
        <w:spacing w:after="0" w:line="262" w:lineRule="auto"/>
        <w:rPr>
          <w:sz w:val="20"/>
          <w:szCs w:val="20"/>
          <w:color w:val="auto"/>
        </w:rPr>
      </w:pPr>
      <w:r>
        <w:rPr>
          <w:rFonts w:ascii="Times New Roman" w:cs="Times New Roman" w:eastAsia="Times New Roman" w:hAnsi="Times New Roman"/>
          <w:sz w:val="18"/>
          <w:szCs w:val="18"/>
          <w:color w:val="auto"/>
        </w:rPr>
        <w:t>Our team of approximately 15,500 employees conducts operations in approximately 100 countries and delivers comprehensive phase I – IV clinical trial management, clinical pharmacology and consulting services for our customers. Our offering is scaled to deliver focused and agile solutions to customers globally, streamlining the biopharmaceutical product and medical device development process.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from Labcorp</w:t>
      </w:r>
    </w:p>
    <w:p>
      <w:pPr>
        <w:spacing w:after="0" w:line="171" w:lineRule="exact"/>
        <w:rPr>
          <w:sz w:val="20"/>
          <w:szCs w:val="20"/>
          <w:color w:val="auto"/>
        </w:rPr>
      </w:pPr>
    </w:p>
    <w:p>
      <w:pPr>
        <w:ind w:right="40" w:firstLine="320"/>
        <w:spacing w:after="0" w:line="262" w:lineRule="auto"/>
        <w:rPr>
          <w:sz w:val="20"/>
          <w:szCs w:val="20"/>
          <w:color w:val="auto"/>
        </w:rPr>
      </w:pPr>
      <w:r>
        <w:rPr>
          <w:rFonts w:ascii="Times New Roman" w:cs="Times New Roman" w:eastAsia="Times New Roman" w:hAnsi="Times New Roman"/>
          <w:sz w:val="18"/>
          <w:szCs w:val="18"/>
          <w:color w:val="auto"/>
        </w:rPr>
        <w:t>On June 30, 2023, we completed the Spin from Labcorp through a pro-rata distribution of one share of Fortrea common stock for every share of Labcorp common stock held at the close of business on the record date of June 20, 2023. Fortrea began to trade as a separate public company (NASDAQ: FTRE) on July 3, 2023.</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Incremental Independent Public Company Expenses</w:t>
      </w:r>
    </w:p>
    <w:p>
      <w:pPr>
        <w:spacing w:after="0" w:line="171" w:lineRule="exact"/>
        <w:rPr>
          <w:sz w:val="20"/>
          <w:szCs w:val="20"/>
          <w:color w:val="auto"/>
        </w:rPr>
      </w:pPr>
    </w:p>
    <w:p>
      <w:pPr>
        <w:ind w:right="260" w:firstLine="320"/>
        <w:spacing w:after="0" w:line="257" w:lineRule="auto"/>
        <w:rPr>
          <w:sz w:val="20"/>
          <w:szCs w:val="20"/>
          <w:color w:val="auto"/>
        </w:rPr>
      </w:pPr>
      <w:r>
        <w:rPr>
          <w:rFonts w:ascii="Times New Roman" w:cs="Times New Roman" w:eastAsia="Times New Roman" w:hAnsi="Times New Roman"/>
          <w:sz w:val="18"/>
          <w:szCs w:val="18"/>
          <w:color w:val="auto"/>
        </w:rPr>
        <w:t>The condensed consolidated and combined statements of operations include costs for certain centralized functions and programs provided and administered by Labcorp that were allocated to us in the periods presented prior to the Spin. These centralized functions and programs include, but are not limited to, legal, tax, treasury, risk management, sales expenses, IT, human resources, finance, supply chain, executive leadership and stock-based compensation.</w:t>
      </w:r>
    </w:p>
    <w:p>
      <w:pPr>
        <w:spacing w:after="0" w:line="127" w:lineRule="exact"/>
        <w:rPr>
          <w:sz w:val="20"/>
          <w:szCs w:val="20"/>
          <w:color w:val="auto"/>
        </w:rPr>
      </w:pPr>
    </w:p>
    <w:p>
      <w:pPr>
        <w:ind w:right="20" w:firstLine="320"/>
        <w:spacing w:after="0" w:line="252" w:lineRule="auto"/>
        <w:rPr>
          <w:sz w:val="20"/>
          <w:szCs w:val="20"/>
          <w:color w:val="auto"/>
        </w:rPr>
      </w:pPr>
      <w:r>
        <w:rPr>
          <w:rFonts w:ascii="Times New Roman" w:cs="Times New Roman" w:eastAsia="Times New Roman" w:hAnsi="Times New Roman"/>
          <w:sz w:val="18"/>
          <w:szCs w:val="18"/>
          <w:color w:val="auto"/>
        </w:rPr>
        <w:t>These expenses were allocated to us based on direct usage when identifiable or, when not directly identifiable, on the basis of proportional net revenues or headcount or another reasonable driver, as applicable. We consider the basis on which the expenses have been allocated to reasonably reflect the utilization of services provided to, or the benefit received by, us during the periods presented. However, the allocations may not reflect the expenses we would have incurred as an independent company for the periods presented and may not be representative of future expenses that may be incurred. Actual costs that may have been incurred if we had been a standalone company would depend on a number of factors, including the organizational structure, whether functions were outsourced or performed by employees, and strategic decisions made in areas such as IT and infrastructure. For a period following the Separation, however, some of these functions are provided by Labcorp under the Transition Services Agreement.</w:t>
      </w:r>
    </w:p>
    <w:p>
      <w:pPr>
        <w:spacing w:after="0" w:line="133" w:lineRule="exact"/>
        <w:rPr>
          <w:sz w:val="20"/>
          <w:szCs w:val="20"/>
          <w:color w:val="auto"/>
        </w:rPr>
      </w:pPr>
    </w:p>
    <w:p>
      <w:pPr>
        <w:ind w:right="440" w:firstLine="320"/>
        <w:spacing w:after="0" w:line="277" w:lineRule="auto"/>
        <w:rPr>
          <w:sz w:val="20"/>
          <w:szCs w:val="20"/>
          <w:color w:val="auto"/>
        </w:rPr>
      </w:pPr>
      <w:r>
        <w:rPr>
          <w:rFonts w:ascii="Times New Roman" w:cs="Times New Roman" w:eastAsia="Times New Roman" w:hAnsi="Times New Roman"/>
          <w:sz w:val="18"/>
          <w:szCs w:val="18"/>
          <w:color w:val="auto"/>
        </w:rPr>
        <w:t>The actual costs of services represented by these allocations may vary significantly from the amounts allocated to us in the accompanying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Assets Relating to the Enabling Services Segment</w:t>
      </w:r>
    </w:p>
    <w:p>
      <w:pPr>
        <w:spacing w:after="0" w:line="171" w:lineRule="exact"/>
        <w:rPr>
          <w:sz w:val="20"/>
          <w:szCs w:val="20"/>
          <w:color w:val="auto"/>
        </w:rPr>
      </w:pPr>
    </w:p>
    <w:p>
      <w:pPr>
        <w:ind w:right="20" w:firstLine="320"/>
        <w:spacing w:after="0" w:line="250" w:lineRule="auto"/>
        <w:rPr>
          <w:sz w:val="20"/>
          <w:szCs w:val="20"/>
          <w:color w:val="auto"/>
        </w:rPr>
      </w:pPr>
      <w:r>
        <w:rPr>
          <w:rFonts w:ascii="Times New Roman" w:cs="Times New Roman" w:eastAsia="Times New Roman" w:hAnsi="Times New Roman"/>
          <w:sz w:val="18"/>
          <w:szCs w:val="18"/>
          <w:color w:val="auto"/>
        </w:rPr>
        <w:t>On March 9, 2024, the Company, together with its wholly-owned subsidiary, Fortrea Inc. (the “Seller”), entered into an Asset Purchase Agreement (the “Purchase Agreement”) with Endeavor Buyer LLC, an affiliate of Arsenal Capital Partners, pursuant to which the Seller agreed to sell, and to cause its affiliates to sell, certain assets relating to its Enabling Services Segment (the “Transaction”), including the sale of equity interests of Fortrea Patient Access Inc. and its subsidiaries and Endpoint Clinical, Inc. and its subsidiaries. The final adjusted purchase price for the Transaction was $340.0, subject to customary purchase price adjustments, with $295.0 paid at closing and $45.0 to be paid upon achievement of certain transition-related milestones, which includes certain services provided through a Transition Services Agreement. The Transaction closed during the second quarter of 2024. The decision to sell such assets relating to the Enabling Services Segment represented a strategic shift that had a significant effect on the Company's results and operations and assets and liabilities for the periods presented. As a result, the Company has classified the assets related to the Enabling Services Segment as assets from discontinued operations and liabilities from discontinued operations on the condensed consolidated balance sheet as of December 31, 2023. The operations of the Enabling Services Segment have been classified as income or loss from discontinued operations on the condensed consolidated and combined statements of operations for all periods presented.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Net New Business</w:t>
      </w:r>
    </w:p>
    <w:p>
      <w:pPr>
        <w:spacing w:after="0" w:line="171" w:lineRule="exact"/>
        <w:rPr>
          <w:sz w:val="20"/>
          <w:szCs w:val="20"/>
          <w:color w:val="auto"/>
        </w:rPr>
      </w:pPr>
    </w:p>
    <w:p>
      <w:pPr>
        <w:ind w:right="80" w:firstLine="320"/>
        <w:spacing w:after="0" w:line="254" w:lineRule="auto"/>
        <w:rPr>
          <w:sz w:val="20"/>
          <w:szCs w:val="20"/>
          <w:color w:val="auto"/>
        </w:rPr>
      </w:pPr>
      <w:r>
        <w:rPr>
          <w:rFonts w:ascii="Times New Roman" w:cs="Times New Roman" w:eastAsia="Times New Roman" w:hAnsi="Times New Roman"/>
          <w:sz w:val="18"/>
          <w:szCs w:val="18"/>
          <w:color w:val="auto"/>
        </w:rPr>
        <w:t>Our backlog consists of anticipated future revenue from business awards that either have not started, or that are in process and have not been completed. Our backlog also reflects any cancellation or adjustment activity related to these awards. The average duration of our contracts will fluctuate from period to period based on the contracts comprising our backlog at any given time. The majority of our contracts contain early termination provisions that typically require notice periods ranging from 30 to 90 days. We adjust backlog for foreign currency fluctuations and exclude from backlog amounts that have been recognized as revenue in our statements of operations. Our backlog was $7.6 billion as of September 30, 2024.</w:t>
      </w:r>
    </w:p>
    <w:p>
      <w:pPr>
        <w:spacing w:after="0" w:line="132" w:lineRule="exact"/>
        <w:rPr>
          <w:sz w:val="20"/>
          <w:szCs w:val="20"/>
          <w:color w:val="auto"/>
        </w:rPr>
      </w:pPr>
    </w:p>
    <w:p>
      <w:pPr>
        <w:ind w:right="40" w:firstLine="320"/>
        <w:spacing w:after="0" w:line="253" w:lineRule="auto"/>
        <w:rPr>
          <w:sz w:val="20"/>
          <w:szCs w:val="20"/>
          <w:color w:val="auto"/>
        </w:rPr>
      </w:pPr>
      <w:r>
        <w:rPr>
          <w:rFonts w:ascii="Times New Roman" w:cs="Times New Roman" w:eastAsia="Times New Roman" w:hAnsi="Times New Roman"/>
          <w:sz w:val="18"/>
          <w:szCs w:val="18"/>
          <w:color w:val="auto"/>
        </w:rPr>
        <w:t>We do not believe that, as a sole measure, our backlog is a consistent indicator of future revenue because it has been, and likely will continue to be, affected by a number of factors, including the variable size and duration of projects, many of which are performed over several years, and changes to the scope of work during the course of projects. Additionally, projects may be canceled or delayed by the customer or regulatory authorities. We generally do not have a contractual right to the full amount of the contract award reflected in our backlog. If a customer cancels a contract, we generally will be reimbursed for the costs we have incurred. For a further discussion of the risks relating to our business, see the “Risk Factors” section of our Annual Report on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September 30, 2024 compared with Three and Nine Months Ended September 30, 2023</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the financial measures that management considers to be the most significant indicators of the Company's performance.</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80" w:type="dxa"/>
            <w:vAlign w:val="bottom"/>
          </w:tcPr>
          <w:p>
            <w:pPr>
              <w:spacing w:after="0"/>
              <w:rPr>
                <w:sz w:val="16"/>
                <w:szCs w:val="16"/>
                <w:color w:val="auto"/>
              </w:rPr>
            </w:pPr>
          </w:p>
        </w:tc>
      </w:tr>
      <w:tr>
        <w:trPr>
          <w:trHeight w:val="25"/>
        </w:trPr>
        <w:tc>
          <w:tcPr>
            <w:tcW w:w="3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7"/>
        </w:trPr>
        <w:tc>
          <w:tcPr>
            <w:tcW w:w="30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54"/>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713.8</w:t>
            </w:r>
          </w:p>
        </w:tc>
        <w:tc>
          <w:tcPr>
            <w:tcW w:w="10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  $</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1,999.4</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2,132.8</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35" w:lineRule="exact"/>
        <w:rPr>
          <w:sz w:val="20"/>
          <w:szCs w:val="20"/>
          <w:color w:val="auto"/>
        </w:rPr>
      </w:pPr>
    </w:p>
    <w:p>
      <w:pPr>
        <w:ind w:right="20" w:firstLine="320"/>
        <w:spacing w:after="0" w:line="254" w:lineRule="auto"/>
        <w:rPr>
          <w:sz w:val="20"/>
          <w:szCs w:val="20"/>
          <w:color w:val="auto"/>
        </w:rPr>
      </w:pPr>
      <w:r>
        <w:rPr>
          <w:rFonts w:ascii="Times New Roman" w:cs="Times New Roman" w:eastAsia="Times New Roman" w:hAnsi="Times New Roman"/>
          <w:sz w:val="18"/>
          <w:szCs w:val="18"/>
          <w:color w:val="auto"/>
        </w:rPr>
        <w:t>The Company’s revenues for the three months ended September 30, 2024 were $674.9, a decrease of 5.4% from revenues of $713.8 in the corresponding period in 2023. The change in revenues was due to a decrease in organic revenues of 5.7%, partially offset by favorable foreign currency translation of 0.2%. The Company defines organic growth as the change in revenues excluding the year over year impact of acquisitions, divestitures and currency. The 5.7% decrease in organic revenues was primarily driven by decreased pass through costs and lower service revenues resulting from the quantity and burn rate of new business wins pre-Spin, along with the mix of later stage and longer duration studies in our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0" w:firstLine="320"/>
        <w:spacing w:after="0" w:line="257" w:lineRule="auto"/>
        <w:rPr>
          <w:sz w:val="20"/>
          <w:szCs w:val="20"/>
          <w:color w:val="auto"/>
        </w:rPr>
      </w:pPr>
      <w:r>
        <w:rPr>
          <w:rFonts w:ascii="Times New Roman" w:cs="Times New Roman" w:eastAsia="Times New Roman" w:hAnsi="Times New Roman"/>
          <w:sz w:val="18"/>
          <w:szCs w:val="18"/>
          <w:color w:val="auto"/>
        </w:rPr>
        <w:t>The Company’s revenues for the nine months ended September 30, 2024 were $1,999.4, a decrease of 6.3% from revenues of $2,132.8 in the corresponding period in 2023. The change in revenues was due to a decrease in organic revenues. The 6.3% decrease in organic revenues was primarily driven by lower service revenues resulting from the quantity and burn rate of new business wins pre-Spin, the mix of later stage and longer duration studies and decreased pass through costs.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Direct Costs, Exclusive of Depreciation and Amortization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00" w:type="dxa"/>
            <w:vAlign w:val="bottom"/>
          </w:tcPr>
          <w:p>
            <w:pPr>
              <w:spacing w:after="0"/>
              <w:rPr>
                <w:sz w:val="16"/>
                <w:szCs w:val="16"/>
                <w:color w:val="auto"/>
              </w:rPr>
            </w:pPr>
          </w:p>
        </w:tc>
      </w:tr>
      <w:tr>
        <w:trPr>
          <w:trHeight w:val="25"/>
        </w:trPr>
        <w:tc>
          <w:tcPr>
            <w:tcW w:w="2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7"/>
        </w:trPr>
        <w:tc>
          <w:tcPr>
            <w:tcW w:w="28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0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54"/>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tcBorders>
              <w:top w:val="single" w:sz="8" w:color="CCEEFF"/>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1,606.1</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1,674.0</w:t>
            </w:r>
          </w:p>
        </w:tc>
        <w:tc>
          <w:tcPr>
            <w:tcW w:w="100" w:type="dxa"/>
            <w:vAlign w:val="bottom"/>
            <w:tcBorders>
              <w:top w:val="single" w:sz="8" w:color="CCEEFF"/>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67"/>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 as a % of revenues</w:t>
            </w: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bl>
    <w:p>
      <w:pPr>
        <w:spacing w:after="0" w:line="221" w:lineRule="exact"/>
        <w:rPr>
          <w:sz w:val="20"/>
          <w:szCs w:val="20"/>
          <w:color w:val="auto"/>
        </w:rPr>
      </w:pPr>
    </w:p>
    <w:p>
      <w:pPr>
        <w:ind w:right="160"/>
        <w:spacing w:after="0" w:line="237" w:lineRule="auto"/>
        <w:rPr>
          <w:sz w:val="20"/>
          <w:szCs w:val="20"/>
          <w:color w:val="auto"/>
        </w:rPr>
      </w:pPr>
      <w:r>
        <w:rPr>
          <w:rFonts w:ascii="Times New Roman" w:cs="Times New Roman" w:eastAsia="Times New Roman" w:hAnsi="Times New Roman"/>
          <w:sz w:val="18"/>
          <w:szCs w:val="18"/>
          <w:color w:val="auto"/>
        </w:rPr>
        <w:t>Direct costs decreased 6.6% during the three months ended September 30, 2024 as compared with the corresponding period in 2023. Direct costs decreased as a percentage of revenues to 78.0% during the three months ended September 30, 2024 as compared to 79.0% in the corresponding period in 2023. The decrease in direct costs was primarily due to lower headcount as well as lower pass through costs, partially offset by an increase in stock compensation and professional fees.</w:t>
      </w:r>
    </w:p>
    <w:p>
      <w:pPr>
        <w:spacing w:after="0" w:line="13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Direct costs decreased 4.1% during the nine months ended September 30, 2024 as compared with the corresponding period in 2023. Direct costs increased as a percentage of revenues to 80.3% during the nine months ended September 30, 2024 as compared to 78.5% in the corresponding period in 2023. The decrease in direct costs was primarily due to lower headcount as well as lower pass through costs, partially offset by an increase in stock compensation and professional fees.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Exclusive of Depreciation and Amortization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246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20" w:type="dxa"/>
            <w:vAlign w:val="bottom"/>
          </w:tcPr>
          <w:p>
            <w:pPr>
              <w:spacing w:after="0"/>
              <w:rPr>
                <w:sz w:val="16"/>
                <w:szCs w:val="16"/>
                <w:color w:val="auto"/>
              </w:rPr>
            </w:pPr>
          </w:p>
        </w:tc>
      </w:tr>
      <w:tr>
        <w:trPr>
          <w:trHeight w:val="25"/>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7"/>
        </w:trPr>
        <w:tc>
          <w:tcPr>
            <w:tcW w:w="30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3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2"/>
        </w:trPr>
        <w:tc>
          <w:tcPr>
            <w:tcW w:w="3040" w:type="dxa"/>
            <w:vAlign w:val="bottom"/>
            <w:tcBorders>
              <w:top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top w:val="single" w:sz="8" w:color="auto"/>
            </w:tcBorders>
            <w:shd w:val="clear" w:color="auto" w:fill="CCEEFF"/>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136.3</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1"/>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106.8</w:t>
            </w:r>
          </w:p>
        </w:tc>
        <w:tc>
          <w:tcPr>
            <w:tcW w:w="8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27.6 %</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412.6</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1"/>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321.4</w:t>
            </w:r>
          </w:p>
        </w:tc>
        <w:tc>
          <w:tcPr>
            <w:tcW w:w="80" w:type="dxa"/>
            <w:vAlign w:val="bottom"/>
            <w:tcBorders>
              <w:top w:val="single" w:sz="8" w:color="CCEEFF"/>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28.4 %</w:t>
            </w:r>
          </w:p>
        </w:tc>
      </w:tr>
      <w:tr>
        <w:trPr>
          <w:trHeight w:val="232"/>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6"/>
        </w:trPr>
        <w:tc>
          <w:tcPr>
            <w:tcW w:w="30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2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administrative payroll and related benefit charges, information technology costs, other facility charges, advertising and promotional expenses, administrative travel and credit loss provisions. Selling, general and administrative expenses increased by 27.6% during the three months ended September 30, 2024 as compared with the corresponding period in 2023. The increase was primarily due to an increase in professional fees and other costs to support the exit of the Transition Services Agreement with Labcorp and personnel and information technology costs as a stand-alone company.</w:t>
      </w:r>
    </w:p>
    <w:p>
      <w:pPr>
        <w:spacing w:after="0" w:line="143"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Selling, general and administrative expenses increased by 28.4% during the nine months ended September 30, 2024 as compared with the corresponding period in 2023. The increase was primarily due to an increase in professional fees and other costs to support the exit of the Transition Services Agreement with Labcorp and personnel and information technology costs as a stand-alone company, partially offset by the removal of Former Parent corporate allocations.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Depreciation Expense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80" w:type="dxa"/>
            <w:vAlign w:val="bottom"/>
          </w:tcPr>
          <w:p>
            <w:pPr>
              <w:spacing w:after="0"/>
              <w:rPr>
                <w:sz w:val="16"/>
                <w:szCs w:val="16"/>
                <w:color w:val="auto"/>
              </w:rPr>
            </w:pPr>
          </w:p>
        </w:tc>
      </w:tr>
      <w:tr>
        <w:trPr>
          <w:trHeight w:val="25"/>
        </w:trPr>
        <w:tc>
          <w:tcPr>
            <w:tcW w:w="2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7"/>
        </w:trPr>
        <w:tc>
          <w:tcPr>
            <w:tcW w:w="28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8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2"/>
        </w:trPr>
        <w:tc>
          <w:tcPr>
            <w:tcW w:w="2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
        </w:trPr>
        <w:tc>
          <w:tcPr>
            <w:tcW w:w="28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r>
    </w:tbl>
    <w:p>
      <w:pPr>
        <w:spacing w:after="0" w:line="235" w:lineRule="exact"/>
        <w:rPr>
          <w:sz w:val="20"/>
          <w:szCs w:val="20"/>
          <w:color w:val="auto"/>
        </w:rPr>
      </w:pPr>
    </w:p>
    <w:p>
      <w:pPr>
        <w:ind w:right="180" w:firstLine="320"/>
        <w:spacing w:after="0" w:line="277" w:lineRule="auto"/>
        <w:rPr>
          <w:sz w:val="20"/>
          <w:szCs w:val="20"/>
          <w:color w:val="auto"/>
        </w:rPr>
      </w:pPr>
      <w:r>
        <w:rPr>
          <w:rFonts w:ascii="Times New Roman" w:cs="Times New Roman" w:eastAsia="Times New Roman" w:hAnsi="Times New Roman"/>
          <w:sz w:val="18"/>
          <w:szCs w:val="18"/>
          <w:color w:val="auto"/>
        </w:rPr>
        <w:t>The decrease in depreciation expense for the three and nine months ended September 30, 2024, as compared to the corresponding periods in 2023, was due to a decrease in depreciable property, plant and equipment, primarily IT assets.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Amortization Expense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40" w:type="dxa"/>
            <w:vAlign w:val="bottom"/>
          </w:tcPr>
          <w:p>
            <w:pPr>
              <w:spacing w:after="0"/>
              <w:rPr>
                <w:sz w:val="16"/>
                <w:szCs w:val="16"/>
                <w:color w:val="auto"/>
              </w:rPr>
            </w:pPr>
          </w:p>
        </w:tc>
      </w:tr>
      <w:tr>
        <w:trPr>
          <w:trHeight w:val="25"/>
        </w:trPr>
        <w:tc>
          <w:tcPr>
            <w:tcW w:w="3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7"/>
        </w:trPr>
        <w:tc>
          <w:tcPr>
            <w:tcW w:w="30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4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2"/>
        </w:trPr>
        <w:tc>
          <w:tcPr>
            <w:tcW w:w="3080" w:type="dxa"/>
            <w:vAlign w:val="bottom"/>
            <w:tcBorders>
              <w:top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Amortization of intangibles and other</w:t>
            </w: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11"/>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ind w:left="98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ind w:right="3"/>
              <w:spacing w:after="0" w:line="182" w:lineRule="exact"/>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91"/>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ind w:left="940"/>
              <w:spacing w:after="0" w:line="182" w:lineRule="exact"/>
              <w:rPr>
                <w:sz w:val="20"/>
                <w:szCs w:val="20"/>
                <w:color w:val="auto"/>
              </w:rPr>
            </w:pPr>
            <w:r>
              <w:rPr>
                <w:rFonts w:ascii="Times New Roman" w:cs="Times New Roman" w:eastAsia="Times New Roman" w:hAnsi="Times New Roman"/>
                <w:sz w:val="18"/>
                <w:szCs w:val="18"/>
                <w:color w:val="auto"/>
              </w:rPr>
              <w:t>— %</w:t>
            </w:r>
          </w:p>
        </w:tc>
      </w:tr>
      <w:tr>
        <w:trPr>
          <w:trHeight w:val="232"/>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26"/>
        </w:trPr>
        <w:tc>
          <w:tcPr>
            <w:tcW w:w="3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22" w:lineRule="exact"/>
        <w:rPr>
          <w:sz w:val="20"/>
          <w:szCs w:val="20"/>
          <w:color w:val="auto"/>
        </w:rPr>
      </w:pPr>
    </w:p>
    <w:p>
      <w:pPr>
        <w:ind w:right="1020" w:firstLine="320"/>
        <w:spacing w:after="0" w:line="277" w:lineRule="auto"/>
        <w:rPr>
          <w:sz w:val="20"/>
          <w:szCs w:val="20"/>
          <w:color w:val="auto"/>
        </w:rPr>
      </w:pPr>
      <w:r>
        <w:rPr>
          <w:rFonts w:ascii="Times New Roman" w:cs="Times New Roman" w:eastAsia="Times New Roman" w:hAnsi="Times New Roman"/>
          <w:sz w:val="18"/>
          <w:szCs w:val="18"/>
          <w:color w:val="auto"/>
        </w:rPr>
        <w:t>The change in amortization of intangibles and other assets during the three and nine months ended September 30, 2024, as compared to the corresponding periods in 2023, was not significant.</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Restructuring and Other Charges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266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80" w:type="dxa"/>
            <w:vAlign w:val="bottom"/>
          </w:tcPr>
          <w:p>
            <w:pPr>
              <w:spacing w:after="0"/>
              <w:rPr>
                <w:sz w:val="16"/>
                <w:szCs w:val="16"/>
                <w:color w:val="auto"/>
              </w:rPr>
            </w:pPr>
          </w:p>
        </w:tc>
      </w:tr>
      <w:tr>
        <w:trPr>
          <w:trHeight w:val="25"/>
        </w:trPr>
        <w:tc>
          <w:tcPr>
            <w:tcW w:w="30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7"/>
        </w:trPr>
        <w:tc>
          <w:tcPr>
            <w:tcW w:w="3040" w:type="dxa"/>
            <w:vAlign w:val="bottom"/>
          </w:tcPr>
          <w:p>
            <w:pPr>
              <w:spacing w:after="0"/>
              <w:rPr>
                <w:sz w:val="16"/>
                <w:szCs w:val="16"/>
                <w:color w:val="auto"/>
              </w:rPr>
            </w:pPr>
          </w:p>
        </w:tc>
        <w:tc>
          <w:tcPr>
            <w:tcW w:w="86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8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2"/>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860" w:type="dxa"/>
            <w:vAlign w:val="bottom"/>
            <w:tcBorders>
              <w:top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57.3 %</w:t>
            </w:r>
          </w:p>
        </w:tc>
      </w:tr>
      <w:tr>
        <w:trPr>
          <w:trHeight w:val="21"/>
        </w:trPr>
        <w:tc>
          <w:tcPr>
            <w:tcW w:w="30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r>
    </w:tbl>
    <w:p>
      <w:pPr>
        <w:spacing w:after="0" w:line="235"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During the three and nine months ended September 30, 2024, the Company recorded net restructuring charges of $8.8 and $22.5, respectively, which are reflected within restructuring and other charges in the condensed consolidated and combined statements of operations. These charges are associated with Company actions to align resources, and restructure certain operations and include eliminating redundant positions and aligning resources and facilities for cost improvements and to meet customer requirements.</w:t>
      </w:r>
    </w:p>
    <w:p>
      <w:pPr>
        <w:spacing w:after="0" w:line="127" w:lineRule="exact"/>
        <w:rPr>
          <w:sz w:val="20"/>
          <w:szCs w:val="20"/>
          <w:color w:val="auto"/>
        </w:rPr>
      </w:pPr>
    </w:p>
    <w:p>
      <w:pPr>
        <w:jc w:val="both"/>
        <w:ind w:right="240" w:firstLine="320"/>
        <w:spacing w:after="0" w:line="262" w:lineRule="auto"/>
        <w:rPr>
          <w:sz w:val="20"/>
          <w:szCs w:val="20"/>
          <w:color w:val="auto"/>
        </w:rPr>
      </w:pPr>
      <w:r>
        <w:rPr>
          <w:rFonts w:ascii="Times New Roman" w:cs="Times New Roman" w:eastAsia="Times New Roman" w:hAnsi="Times New Roman"/>
          <w:sz w:val="18"/>
          <w:szCs w:val="18"/>
          <w:color w:val="auto"/>
        </w:rPr>
        <w:t>During the three and nine months ended September 30, 2023, the Company recorded net restructuring charges of $10.1 and $14.3, respectively. These costs were associated with general cost improvements, eliminating redundant positions and aligning resources and facilities for cost improvements and to meet our customer requirements.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80" w:type="dxa"/>
            <w:vAlign w:val="bottom"/>
          </w:tcPr>
          <w:p>
            <w:pPr>
              <w:spacing w:after="0"/>
              <w:rPr>
                <w:sz w:val="16"/>
                <w:szCs w:val="16"/>
                <w:color w:val="auto"/>
              </w:rPr>
            </w:pPr>
          </w:p>
        </w:tc>
      </w:tr>
      <w:tr>
        <w:trPr>
          <w:trHeight w:val="25"/>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7"/>
        </w:trPr>
        <w:tc>
          <w:tcPr>
            <w:tcW w:w="30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40"/>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20"/>
                <w:szCs w:val="20"/>
                <w:color w:val="auto"/>
              </w:rPr>
            </w:pPr>
          </w:p>
        </w:tc>
        <w:tc>
          <w:tcPr>
            <w:tcW w:w="1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189.5 %</w:t>
            </w:r>
          </w:p>
        </w:tc>
      </w:tr>
    </w:tbl>
    <w:p>
      <w:pPr>
        <w:spacing w:after="0" w:line="235" w:lineRule="exact"/>
        <w:rPr>
          <w:sz w:val="20"/>
          <w:szCs w:val="20"/>
          <w:color w:val="auto"/>
        </w:rPr>
      </w:pPr>
    </w:p>
    <w:p>
      <w:pPr>
        <w:ind w:right="40" w:firstLine="320"/>
        <w:spacing w:after="0" w:line="277"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September 30, 2024, as compared with the corresponding period in 2023, is primarily due to the pay down of $70.2 on term loan A and $412.5 on term loan B in the six months ended June 30, 2024.</w:t>
      </w:r>
    </w:p>
    <w:p>
      <w:pPr>
        <w:spacing w:after="0" w:line="109" w:lineRule="exact"/>
        <w:rPr>
          <w:sz w:val="20"/>
          <w:szCs w:val="20"/>
          <w:color w:val="auto"/>
        </w:rPr>
      </w:pPr>
    </w:p>
    <w:p>
      <w:pPr>
        <w:ind w:right="120" w:firstLine="320"/>
        <w:spacing w:after="0" w:line="277" w:lineRule="auto"/>
        <w:rPr>
          <w:sz w:val="20"/>
          <w:szCs w:val="20"/>
          <w:color w:val="auto"/>
        </w:rPr>
      </w:pPr>
      <w:r>
        <w:rPr>
          <w:rFonts w:ascii="Times New Roman" w:cs="Times New Roman" w:eastAsia="Times New Roman" w:hAnsi="Times New Roman"/>
          <w:sz w:val="18"/>
          <w:szCs w:val="18"/>
          <w:color w:val="auto"/>
        </w:rPr>
        <w:t>The increase in interest expense for the nine months ended September 30, 2024, as compared with the corresponding period in 2023, is primarily due to the incurrence of indebtedness, consisting of borrowings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color w:val="auto"/>
        </w:rPr>
        <w:t>senior secured term loan facilities and senior secured notes, and the write-off of $12.2 of debt issuance costs associated with the pay down of debt in the quarter ended June 30, 2024.</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380" w:type="dxa"/>
            <w:vAlign w:val="bottom"/>
          </w:tcPr>
          <w:p>
            <w:pPr>
              <w:spacing w:after="0"/>
              <w:rPr>
                <w:sz w:val="16"/>
                <w:szCs w:val="16"/>
                <w:color w:val="auto"/>
              </w:rPr>
            </w:pPr>
          </w:p>
        </w:tc>
      </w:tr>
      <w:tr>
        <w:trPr>
          <w:trHeight w:val="25"/>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7"/>
        </w:trPr>
        <w:tc>
          <w:tcPr>
            <w:tcW w:w="30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38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2"/>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483.3 %</w:t>
            </w:r>
          </w:p>
        </w:tc>
      </w:tr>
      <w:tr>
        <w:trPr>
          <w:trHeight w:val="21"/>
        </w:trPr>
        <w:tc>
          <w:tcPr>
            <w:tcW w:w="3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r>
    </w:tbl>
    <w:p>
      <w:pPr>
        <w:spacing w:after="0" w:line="235" w:lineRule="exact"/>
        <w:rPr>
          <w:sz w:val="20"/>
          <w:szCs w:val="20"/>
          <w:color w:val="auto"/>
        </w:rPr>
      </w:pPr>
    </w:p>
    <w:p>
      <w:pPr>
        <w:ind w:right="400" w:firstLine="320"/>
        <w:spacing w:after="0" w:line="277" w:lineRule="auto"/>
        <w:rPr>
          <w:sz w:val="20"/>
          <w:szCs w:val="20"/>
          <w:color w:val="auto"/>
        </w:rPr>
      </w:pPr>
      <w:r>
        <w:rPr>
          <w:rFonts w:ascii="Times New Roman" w:cs="Times New Roman" w:eastAsia="Times New Roman" w:hAnsi="Times New Roman"/>
          <w:sz w:val="18"/>
          <w:szCs w:val="18"/>
          <w:color w:val="auto"/>
        </w:rPr>
        <w:t>The foreign exchange loss for the three and nine months ended September 30, 2024 compared to the foreign exchange gain (loss) for three and nine months ended September 30, 2023 changed primarily due to the relative weakening of the U.S. Dollar against the British Pound and the Euro.</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Other, net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0" w:type="dxa"/>
            <w:vAlign w:val="bottom"/>
          </w:tcPr>
          <w:p>
            <w:pPr>
              <w:spacing w:after="0"/>
              <w:rPr>
                <w:sz w:val="16"/>
                <w:szCs w:val="16"/>
                <w:color w:val="auto"/>
              </w:rPr>
            </w:pPr>
          </w:p>
        </w:tc>
      </w:tr>
      <w:tr>
        <w:trPr>
          <w:trHeight w:val="25"/>
        </w:trPr>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87"/>
        </w:trPr>
        <w:tc>
          <w:tcPr>
            <w:tcW w:w="30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32"/>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20"/>
                <w:szCs w:val="20"/>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228.3 %</w:t>
            </w:r>
          </w:p>
        </w:tc>
      </w:tr>
      <w:tr>
        <w:trPr>
          <w:trHeight w:val="21"/>
        </w:trPr>
        <w:tc>
          <w:tcPr>
            <w:tcW w:w="3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r>
    </w:tbl>
    <w:p>
      <w:pPr>
        <w:spacing w:after="0" w:line="222" w:lineRule="exact"/>
        <w:rPr>
          <w:sz w:val="20"/>
          <w:szCs w:val="20"/>
          <w:color w:val="auto"/>
        </w:rPr>
      </w:pPr>
    </w:p>
    <w:p>
      <w:pPr>
        <w:jc w:val="both"/>
        <w:ind w:right="280" w:firstLine="320"/>
        <w:spacing w:after="0" w:line="262" w:lineRule="auto"/>
        <w:rPr>
          <w:sz w:val="20"/>
          <w:szCs w:val="20"/>
          <w:color w:val="auto"/>
        </w:rPr>
      </w:pPr>
      <w:r>
        <w:rPr>
          <w:rFonts w:ascii="Times New Roman" w:cs="Times New Roman" w:eastAsia="Times New Roman" w:hAnsi="Times New Roman"/>
          <w:sz w:val="18"/>
          <w:szCs w:val="18"/>
          <w:color w:val="auto"/>
        </w:rPr>
        <w:t>The increase in Other, net for the three and nine months ended September 30, 2024, as compared with the corresponding periods in 2023, is primarily related to the recognition of a contingent consideration payment on a sale of a facility to a third party that is no longer in use by the Company and income related to services provided under Transition Services Agreements.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ectPr>
          <w:pgSz w:w="11900" w:h="16838" w:orient="portrait"/>
          <w:cols w:equalWidth="0" w:num="1">
            <w:col w:w="11240"/>
          </w:cols>
          <w:pgMar w:left="320" w:top="121" w:right="339" w:bottom="1440" w:gutter="0" w:footer="0" w:header="0"/>
        </w:sectPr>
      </w:pPr>
    </w:p>
    <w:p>
      <w:pPr>
        <w:spacing w:after="0" w:line="202"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31750</wp:posOffset>
            </wp:positionV>
            <wp:extent cx="17964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spacing w:after="0" w:line="32" w:lineRule="exact"/>
        <w:rPr>
          <w:sz w:val="20"/>
          <w:szCs w:val="20"/>
          <w:color w:val="auto"/>
        </w:rPr>
      </w:pPr>
    </w:p>
    <w:p>
      <w:pPr>
        <w:ind w:left="5600"/>
        <w:spacing w:after="0"/>
        <w:tabs>
          <w:tab w:leader="none" w:pos="70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31750</wp:posOffset>
            </wp:positionV>
            <wp:extent cx="1787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7525" cy="8255"/>
                    </a:xfrm>
                    <a:prstGeom prst="rect">
                      <a:avLst/>
                    </a:prstGeom>
                    <a:noFill/>
                  </pic:spPr>
                </pic:pic>
              </a:graphicData>
            </a:graphic>
          </wp:anchor>
        </w:drawing>
      </w:r>
    </w:p>
    <w:p>
      <w:pPr>
        <w:spacing w:after="0" w:line="32" w:lineRule="exact"/>
        <w:rPr>
          <w:sz w:val="20"/>
          <w:szCs w:val="20"/>
          <w:color w:val="auto"/>
        </w:rPr>
      </w:pPr>
    </w:p>
    <w:p>
      <w:pPr>
        <w:ind w:left="180"/>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30" w:lineRule="exact"/>
        <w:rPr>
          <w:sz w:val="20"/>
          <w:szCs w:val="20"/>
          <w:color w:val="auto"/>
        </w:rPr>
      </w:pPr>
    </w:p>
    <w:p>
      <w:pPr>
        <w:sectPr>
          <w:pgSz w:w="11900" w:h="16838" w:orient="portrait"/>
          <w:cols w:equalWidth="0" w:num="2">
            <w:col w:w="7620" w:space="720"/>
            <w:col w:w="29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40" w:type="dxa"/>
            <w:vAlign w:val="bottom"/>
            <w:tcBorders>
              <w:top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w:t>
            </w:r>
          </w:p>
        </w:tc>
        <w:tc>
          <w:tcPr>
            <w:tcW w:w="50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7.3</w:t>
            </w:r>
          </w:p>
        </w:tc>
      </w:tr>
      <w:tr>
        <w:trPr>
          <w:trHeight w:val="173"/>
        </w:trPr>
        <w:tc>
          <w:tcPr>
            <w:tcW w:w="50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 as a % of income (loss) before tax</w:t>
            </w: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26.5 %</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5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r>
    </w:tbl>
    <w:p>
      <w:pPr>
        <w:spacing w:after="0" w:line="200" w:lineRule="exact"/>
        <w:rPr>
          <w:sz w:val="20"/>
          <w:szCs w:val="20"/>
          <w:color w:val="auto"/>
        </w:rPr>
      </w:pPr>
    </w:p>
    <w:p>
      <w:pPr>
        <w:spacing w:after="0" w:line="221"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For the three months ended September 30, 2024, the Company's effective tax rate was 48.3% compared to the 2023 tax rate of 26.5%. For the nine months ended September 30, 2024, the Company's effective tax rate was 1.2% compared to the 2023 tax rate of 30.2%. The fluctuations in the quarter-to-date and year-to-date periods were primarily due to valuation allowance, employee benefits, and a foreign rate differential impact.</w:t>
      </w:r>
    </w:p>
    <w:p>
      <w:pPr>
        <w:spacing w:after="0" w:line="123" w:lineRule="exact"/>
        <w:rPr>
          <w:sz w:val="20"/>
          <w:szCs w:val="20"/>
          <w:color w:val="auto"/>
        </w:rPr>
      </w:pPr>
    </w:p>
    <w:p>
      <w:pPr>
        <w:ind w:right="20" w:firstLine="320"/>
        <w:spacing w:after="0" w:line="257"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introduced new global minimum tax regulations, known as Pillar Two, that came into effect beginning on January 1, 2024. We are monitoring this development and evaluating its potential impact on our tax rate and eligibility to qualify for the safe harbor provisions. For 2024, we currently anticipate meeting the transitional safe harbors in all jurisdictions and do not expect a material impact to our financial statements.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Financial Position</w:t>
      </w:r>
    </w:p>
    <w:p>
      <w:pPr>
        <w:spacing w:after="0" w:line="171" w:lineRule="exact"/>
        <w:rPr>
          <w:sz w:val="20"/>
          <w:szCs w:val="20"/>
          <w:color w:val="auto"/>
        </w:rPr>
      </w:pPr>
    </w:p>
    <w:p>
      <w:pPr>
        <w:ind w:right="160" w:firstLine="320"/>
        <w:spacing w:after="0" w:line="254" w:lineRule="auto"/>
        <w:rPr>
          <w:sz w:val="20"/>
          <w:szCs w:val="20"/>
          <w:color w:val="auto"/>
        </w:rPr>
      </w:pPr>
      <w:r>
        <w:rPr>
          <w:rFonts w:ascii="Times New Roman" w:cs="Times New Roman" w:eastAsia="Times New Roman" w:hAnsi="Times New Roman"/>
          <w:sz w:val="18"/>
          <w:szCs w:val="18"/>
          <w:color w:val="auto"/>
        </w:rPr>
        <w:t xml:space="preserve">The Company manages cash flow to fund and invest in operational growth, capital expenditures, and credit facility repayments. In connection with the Spin, we incurred indebtedness in an aggregate principal amount of $1,640.0, which consists of borrowings under senior secured term loan facilities and senior secured notes. We have also entered into a senior secured revolving credit facility, which consists of a five-year facility in the principal amount of up to $450.0 as further discussed in </w:t>
      </w:r>
      <w:r>
        <w:rPr>
          <w:rFonts w:ascii="Times New Roman" w:cs="Times New Roman" w:eastAsia="Times New Roman" w:hAnsi="Times New Roman"/>
          <w:sz w:val="18"/>
          <w:szCs w:val="18"/>
          <w:i w:val="1"/>
          <w:iCs w:val="1"/>
          <w:color w:val="auto"/>
        </w:rPr>
        <w:t>Note 6 - Debt</w:t>
      </w:r>
      <w:r>
        <w:rPr>
          <w:rFonts w:ascii="Times New Roman" w:cs="Times New Roman" w:eastAsia="Times New Roman" w:hAnsi="Times New Roman"/>
          <w:sz w:val="18"/>
          <w:szCs w:val="18"/>
          <w:color w:val="auto"/>
        </w:rPr>
        <w:t xml:space="preserve"> to our condensed consolidated and combined financial statements. During the nine months ended September 30, 2024, we paid down $70.2, on term loan A and $412.5, on term loan B,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60" w:firstLine="320"/>
        <w:spacing w:after="0" w:line="262" w:lineRule="auto"/>
        <w:rPr>
          <w:sz w:val="20"/>
          <w:szCs w:val="20"/>
          <w:color w:val="auto"/>
        </w:rPr>
      </w:pPr>
      <w:r>
        <w:rPr>
          <w:rFonts w:ascii="Times New Roman" w:cs="Times New Roman" w:eastAsia="Times New Roman" w:hAnsi="Times New Roman"/>
          <w:sz w:val="18"/>
          <w:szCs w:val="18"/>
          <w:color w:val="auto"/>
        </w:rPr>
        <w:t>On May 6, 2024, we entered into a three-year $300.0 accounts receivable securitization program (the “Receivables Facility”). Under this program, Fortrea Inc. conveys receivable balances to a wholly-owned, bankruptcy-remote special purpose entity, which in turn, may sell receivables to a third-party financial institution in exchange for cash. As of September 30, 2024, we had sold $300.0 of receivables with net proceeds of $297.9.</w:t>
      </w:r>
    </w:p>
    <w:p>
      <w:pPr>
        <w:spacing w:after="0" w:line="123" w:lineRule="exact"/>
        <w:rPr>
          <w:sz w:val="20"/>
          <w:szCs w:val="20"/>
          <w:color w:val="auto"/>
        </w:rPr>
      </w:pPr>
    </w:p>
    <w:p>
      <w:pPr>
        <w:ind w:right="20" w:firstLine="320"/>
        <w:spacing w:after="0" w:line="277" w:lineRule="auto"/>
        <w:rPr>
          <w:sz w:val="20"/>
          <w:szCs w:val="20"/>
          <w:color w:val="auto"/>
        </w:rPr>
      </w:pPr>
      <w:r>
        <w:rPr>
          <w:rFonts w:ascii="Times New Roman" w:cs="Times New Roman" w:eastAsia="Times New Roman" w:hAnsi="Times New Roman"/>
          <w:sz w:val="17"/>
          <w:szCs w:val="17"/>
          <w:color w:val="auto"/>
        </w:rPr>
        <w:t>We believe our existing cash and cash flows generated from operations, plus existing credit facilities, will be sufficient to cover the needs of our current and planned operations for at least the next 12 months. From time to time, we routinely evaluate strategic opportunities, including potential acquisitions, joint ventures or investments in complementary businesses. We may also access capital markets through the issuance of debt or equity, which we may use in connection with the acquisition of complementary businesses or other significant assets, or for other strategic opportunities, or general corporate purposes.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nine months ended September 30, 2024 and 2023</w:t>
      </w:r>
    </w:p>
    <w:p>
      <w:pPr>
        <w:spacing w:after="0" w:line="171" w:lineRule="exact"/>
        <w:rPr>
          <w:sz w:val="20"/>
          <w:szCs w:val="20"/>
          <w:color w:val="auto"/>
        </w:rPr>
      </w:pPr>
    </w:p>
    <w:p>
      <w:pPr>
        <w:ind w:right="120" w:firstLine="320"/>
        <w:spacing w:after="0" w:line="277"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condensed consolidated and combined statements of cash flows and the discussion of the cash flow activity. In summary, the Company’s cash flows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00" w:type="dxa"/>
            <w:vAlign w:val="bottom"/>
          </w:tcPr>
          <w:p>
            <w:pPr>
              <w:spacing w:after="0"/>
              <w:rPr>
                <w:sz w:val="16"/>
                <w:szCs w:val="16"/>
                <w:color w:val="auto"/>
              </w:rPr>
            </w:pPr>
          </w:p>
        </w:tc>
        <w:tc>
          <w:tcPr>
            <w:tcW w:w="27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40" w:type="dxa"/>
            <w:vAlign w:val="bottom"/>
          </w:tcPr>
          <w:p>
            <w:pPr>
              <w:spacing w:after="0"/>
              <w:rPr>
                <w:sz w:val="16"/>
                <w:szCs w:val="16"/>
                <w:color w:val="auto"/>
              </w:rPr>
            </w:pPr>
          </w:p>
        </w:tc>
      </w:tr>
      <w:tr>
        <w:trPr>
          <w:trHeight w:val="25"/>
        </w:trPr>
        <w:tc>
          <w:tcPr>
            <w:tcW w:w="8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87"/>
        </w:trPr>
        <w:tc>
          <w:tcPr>
            <w:tcW w:w="80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Borders>
              <w:bottom w:val="single" w:sz="8" w:color="CCEEFF"/>
            </w:tcBorders>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5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investing activities</w:t>
            </w:r>
          </w:p>
        </w:tc>
        <w:tc>
          <w:tcPr>
            <w:tcW w:w="9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5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(133.1)</w:t>
            </w:r>
          </w:p>
        </w:tc>
      </w:tr>
      <w:tr>
        <w:trPr>
          <w:trHeight w:val="232"/>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
        </w:trPr>
        <w:tc>
          <w:tcPr>
            <w:tcW w:w="80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72"/>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980" w:type="dxa"/>
            <w:vAlign w:val="bottom"/>
            <w:tcBorders>
              <w:bottom w:val="single" w:sz="8" w:color="CCEEFF"/>
            </w:tcBorders>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1" w:lineRule="exact"/>
        <w:rPr>
          <w:sz w:val="20"/>
          <w:szCs w:val="20"/>
          <w:color w:val="auto"/>
        </w:rPr>
      </w:pPr>
    </w:p>
    <w:p>
      <w:pPr>
        <w:jc w:val="both"/>
        <w:ind w:right="220" w:firstLine="320"/>
        <w:spacing w:after="0" w:line="307" w:lineRule="auto"/>
        <w:rPr>
          <w:sz w:val="20"/>
          <w:szCs w:val="20"/>
          <w:color w:val="auto"/>
        </w:rPr>
      </w:pPr>
      <w:r>
        <w:rPr>
          <w:rFonts w:ascii="Times New Roman" w:cs="Times New Roman" w:eastAsia="Times New Roman" w:hAnsi="Times New Roman"/>
          <w:sz w:val="17"/>
          <w:szCs w:val="17"/>
          <w:color w:val="auto"/>
        </w:rPr>
        <w:t>Cash and cash equivalents at September 30, 2024 and 2023 totaled $105.3 and $103.8, respectively. Cash and cash equivalents consist of highly liquid instruments, such as commercial paper, time deposits and other money market instruments, which have maturities when purchased of three months or less.</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1" w:lineRule="exact"/>
        <w:rPr>
          <w:sz w:val="20"/>
          <w:szCs w:val="20"/>
          <w:color w:val="auto"/>
        </w:rPr>
      </w:pPr>
    </w:p>
    <w:p>
      <w:pPr>
        <w:ind w:right="60" w:firstLine="320"/>
        <w:spacing w:after="0" w:line="257" w:lineRule="auto"/>
        <w:rPr>
          <w:sz w:val="20"/>
          <w:szCs w:val="20"/>
          <w:color w:val="auto"/>
        </w:rPr>
      </w:pPr>
      <w:r>
        <w:rPr>
          <w:rFonts w:ascii="Times New Roman" w:cs="Times New Roman" w:eastAsia="Times New Roman" w:hAnsi="Times New Roman"/>
          <w:sz w:val="18"/>
          <w:szCs w:val="18"/>
          <w:color w:val="auto"/>
        </w:rPr>
        <w:t>During the nine months ended September 30, 2024, the Company’s operations provided $245.7 of cash as compared to $150.0 of cash provided by operations during the nine months ended September 30, 2023. The increase of $95.7 for the nine months ended September 30, 2024 was primarily due to cash from accounts receivable, including the sale of receivables under the Receivables Facility, offset by higher use of cash for interest and income taxes and the decrease in net income.</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1" w:lineRule="exact"/>
        <w:rPr>
          <w:sz w:val="20"/>
          <w:szCs w:val="20"/>
          <w:color w:val="auto"/>
        </w:rPr>
      </w:pPr>
    </w:p>
    <w:p>
      <w:pPr>
        <w:ind w:right="40" w:firstLine="320"/>
        <w:spacing w:after="0" w:line="252" w:lineRule="auto"/>
        <w:rPr>
          <w:sz w:val="20"/>
          <w:szCs w:val="20"/>
          <w:color w:val="auto"/>
        </w:rPr>
      </w:pPr>
      <w:r>
        <w:rPr>
          <w:rFonts w:ascii="Times New Roman" w:cs="Times New Roman" w:eastAsia="Times New Roman" w:hAnsi="Times New Roman"/>
          <w:sz w:val="18"/>
          <w:szCs w:val="18"/>
          <w:color w:val="auto"/>
        </w:rPr>
        <w:t>Net cash provided by investing activities for the nine months ended September 30, 2024 was $248.1 as compared to net cash used for investing activities of $22.8 for the nine months ended September 30, 2023. The $270.9 increase in net cash provided by investing activities for the nine months ended September 30, 2024 was primarily due to $276.6 of net proceeds from the sale of the Enabling Services Segment and a year over year decrease in capital expenditures. Capital expenditures were $28.7 and $30.9 for the nine months ended September 30, 2024 and 2023, respectively. Capital expenditures in 2024 were 1.4% of revenues, primarily in connection with projects to support growth in the Company's core businesses. The Company intends to continue to pursue selective investments in key therapeutic areas and geographies to drive growth and to improve efficiency of the Company’s operations. Such expenditures are expected to be funded primarily by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1" w:lineRule="exact"/>
        <w:rPr>
          <w:sz w:val="20"/>
          <w:szCs w:val="20"/>
          <w:color w:val="auto"/>
        </w:rPr>
      </w:pPr>
    </w:p>
    <w:p>
      <w:pPr>
        <w:ind w:firstLine="320"/>
        <w:spacing w:after="0" w:line="262" w:lineRule="auto"/>
        <w:rPr>
          <w:sz w:val="20"/>
          <w:szCs w:val="20"/>
          <w:color w:val="auto"/>
        </w:rPr>
      </w:pPr>
      <w:r>
        <w:rPr>
          <w:rFonts w:ascii="Times New Roman" w:cs="Times New Roman" w:eastAsia="Times New Roman" w:hAnsi="Times New Roman"/>
          <w:sz w:val="18"/>
          <w:szCs w:val="18"/>
          <w:color w:val="auto"/>
        </w:rPr>
        <w:t>Net cash used for financing activities for the nine months ended September 30, 2024 was $496.7 compared to cash used for financing activities of $133.1 for the nine months ended September 30, 2023. Cash used for financing activities for the nine months ended September 30, 2024 was related to principal payments on the term loan A and term loan B.</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does not have any off-balance sheet financing other than normal operating leases and letters of credit.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1" w:lineRule="exact"/>
        <w:rPr>
          <w:sz w:val="20"/>
          <w:szCs w:val="20"/>
          <w:color w:val="auto"/>
        </w:rPr>
      </w:pPr>
    </w:p>
    <w:p>
      <w:pPr>
        <w:ind w:right="160" w:firstLine="240"/>
        <w:spacing w:after="0" w:line="276" w:lineRule="auto"/>
        <w:rPr>
          <w:sz w:val="20"/>
          <w:szCs w:val="20"/>
          <w:color w:val="auto"/>
        </w:rPr>
      </w:pPr>
      <w:r>
        <w:rPr>
          <w:rFonts w:ascii="Times New Roman" w:cs="Times New Roman" w:eastAsia="Times New Roman" w:hAnsi="Times New Roman"/>
          <w:sz w:val="17"/>
          <w:szCs w:val="17"/>
          <w:color w:val="auto"/>
        </w:rPr>
        <w:t xml:space="preserve">We have chosen accounting policies that management believes are appropriate to accurately and fairly report our operating results and financial position in conformity with U.S. GAAP. We apply these accounting policies in a consistent manner. Significant accounting policies are summarized in </w:t>
      </w:r>
      <w:r>
        <w:rPr>
          <w:rFonts w:ascii="Times New Roman" w:cs="Times New Roman" w:eastAsia="Times New Roman" w:hAnsi="Times New Roman"/>
          <w:sz w:val="17"/>
          <w:szCs w:val="17"/>
          <w:i w:val="1"/>
          <w:iCs w:val="1"/>
          <w:color w:val="auto"/>
        </w:rPr>
        <w:t>Note 2 -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Summary of Significant Accounting Policies </w:t>
      </w:r>
      <w:r>
        <w:rPr>
          <w:rFonts w:ascii="Times New Roman" w:cs="Times New Roman" w:eastAsia="Times New Roman" w:hAnsi="Times New Roman"/>
          <w:sz w:val="17"/>
          <w:szCs w:val="17"/>
          <w:color w:val="auto"/>
        </w:rPr>
        <w:t>to the consolidated and combined financial statements included in the Annual Report on Form 10-K.</w:t>
      </w:r>
    </w:p>
    <w:p>
      <w:pPr>
        <w:spacing w:after="0" w:line="99" w:lineRule="exact"/>
        <w:rPr>
          <w:sz w:val="20"/>
          <w:szCs w:val="20"/>
          <w:color w:val="auto"/>
        </w:rPr>
      </w:pPr>
    </w:p>
    <w:p>
      <w:pPr>
        <w:ind w:right="360" w:firstLine="320"/>
        <w:spacing w:after="0" w:line="254" w:lineRule="auto"/>
        <w:rPr>
          <w:sz w:val="20"/>
          <w:szCs w:val="20"/>
          <w:color w:val="auto"/>
        </w:rPr>
      </w:pPr>
      <w:r>
        <w:rPr>
          <w:rFonts w:ascii="Times New Roman" w:cs="Times New Roman" w:eastAsia="Times New Roman" w:hAnsi="Times New Roman"/>
          <w:sz w:val="18"/>
          <w:szCs w:val="18"/>
          <w:color w:val="auto"/>
        </w:rPr>
        <w:t>The application of these accounting policies require that we make estimates and assumptions about future events and apply judgments that affect the reported amounts of assets, liabilities, revenues, expenses, contingent assets and liabilities, and related disclosures. These estimates, assumptions and judgments are based on historical experience, current trends and other factors believed to be reasonable under the circumstances. Management evaluates these estimates and assumptions on an ongoing basis. If actual results ultimately differ from previous estimates, the revisions are included in results of operations when the actual amounts become known.</w:t>
      </w:r>
    </w:p>
    <w:p>
      <w:pPr>
        <w:spacing w:after="0" w:line="132" w:lineRule="exact"/>
        <w:rPr>
          <w:sz w:val="20"/>
          <w:szCs w:val="20"/>
          <w:color w:val="auto"/>
        </w:rPr>
      </w:pPr>
    </w:p>
    <w:p>
      <w:pPr>
        <w:ind w:right="80" w:firstLine="320"/>
        <w:spacing w:after="0" w:line="277" w:lineRule="auto"/>
        <w:rPr>
          <w:sz w:val="20"/>
          <w:szCs w:val="20"/>
          <w:color w:val="auto"/>
        </w:rPr>
      </w:pPr>
      <w:r>
        <w:rPr>
          <w:rFonts w:ascii="Times New Roman" w:cs="Times New Roman" w:eastAsia="Times New Roman" w:hAnsi="Times New Roman"/>
          <w:sz w:val="17"/>
          <w:szCs w:val="17"/>
          <w:color w:val="auto"/>
        </w:rPr>
        <w:t xml:space="preserve">The accounting policies that involve the most significant estimates, assumptions and management judgments used in preparation of the condensed consolidated and combined financial statements, or are the most sensitive to change due to outside factors, are discussed in Management’s Discussion and Analysis in the Form 10-K. Except as disclosed in </w:t>
      </w:r>
      <w:r>
        <w:rPr>
          <w:rFonts w:ascii="Times New Roman" w:cs="Times New Roman" w:eastAsia="Times New Roman" w:hAnsi="Times New Roman"/>
          <w:sz w:val="17"/>
          <w:szCs w:val="17"/>
          <w:i w:val="1"/>
          <w:iCs w:val="1"/>
          <w:color w:val="auto"/>
        </w:rPr>
        <w:t>Note 1 - Basis of Financial Statement Presentation</w:t>
      </w:r>
      <w:r>
        <w:rPr>
          <w:rFonts w:ascii="Times New Roman" w:cs="Times New Roman" w:eastAsia="Times New Roman" w:hAnsi="Times New Roman"/>
          <w:sz w:val="17"/>
          <w:szCs w:val="17"/>
          <w:color w:val="auto"/>
        </w:rPr>
        <w:t xml:space="preserve"> to our condensed consolidated and combined financial statements in this Form 10-Q, pertaining to the adoption of new accounting pronouncements, there have been no material changes in these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 (in millions)</w:t>
      </w:r>
    </w:p>
    <w:p>
      <w:pPr>
        <w:spacing w:after="0" w:line="171" w:lineRule="exact"/>
        <w:rPr>
          <w:sz w:val="20"/>
          <w:szCs w:val="20"/>
          <w:color w:val="auto"/>
        </w:rPr>
      </w:pPr>
    </w:p>
    <w:p>
      <w:pPr>
        <w:ind w:firstLine="240"/>
        <w:spacing w:after="0"/>
        <w:rPr>
          <w:sz w:val="20"/>
          <w:szCs w:val="20"/>
          <w:color w:val="auto"/>
        </w:rPr>
      </w:pPr>
      <w:r>
        <w:rPr>
          <w:rFonts w:ascii="Times New Roman" w:cs="Times New Roman" w:eastAsia="Times New Roman" w:hAnsi="Times New Roman"/>
          <w:sz w:val="18"/>
          <w:szCs w:val="18"/>
          <w:color w:val="auto"/>
        </w:rPr>
        <w:t xml:space="preserve">Market risk is the potential loss arising from adverse changes in market rates and prices, such as foreign currency exchange rates, interest rates and other relevant market rate or price changes. In the ordinary course of business, we are exposed to various market risks, including changes in foreign currency exchange and interest rates, and we regularly evaluate the exposure to such changes. We address our exposure to market risks, principally the market risks associated with changes in foreign currency exchange rates and interest rates, through a controlled program of risk management that may include, from time to time, the use of derivative financial instruments such as foreign currency forward contracts, cross currency swaps and interest rate swap agreements in an effort to manage or hedge some of our risk. We do not hold or issue derivative financial instruments for trading purposes. Refer to </w:t>
      </w:r>
      <w:r>
        <w:rPr>
          <w:rFonts w:ascii="Times New Roman" w:cs="Times New Roman" w:eastAsia="Times New Roman" w:hAnsi="Times New Roman"/>
          <w:sz w:val="18"/>
          <w:szCs w:val="18"/>
          <w:i w:val="1"/>
          <w:iCs w:val="1"/>
          <w:color w:val="auto"/>
        </w:rPr>
        <w:t>Note 7- 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and Hedging Activities </w:t>
      </w:r>
      <w:r>
        <w:rPr>
          <w:rFonts w:ascii="Times New Roman" w:cs="Times New Roman" w:eastAsia="Times New Roman" w:hAnsi="Times New Roman"/>
          <w:sz w:val="18"/>
          <w:szCs w:val="18"/>
          <w:color w:val="auto"/>
        </w:rPr>
        <w:t>to the condensed consolidated and combined financial statements for information on how the Company utilizes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57" w:lineRule="exact"/>
        <w:rPr>
          <w:sz w:val="20"/>
          <w:szCs w:val="20"/>
          <w:color w:val="auto"/>
        </w:rPr>
      </w:pPr>
    </w:p>
    <w:p>
      <w:pPr>
        <w:ind w:firstLine="240"/>
        <w:spacing w:after="0" w:line="249" w:lineRule="auto"/>
        <w:rPr>
          <w:sz w:val="20"/>
          <w:szCs w:val="20"/>
          <w:color w:val="auto"/>
        </w:rPr>
      </w:pPr>
      <w:r>
        <w:rPr>
          <w:rFonts w:ascii="Times New Roman" w:cs="Times New Roman" w:eastAsia="Times New Roman" w:hAnsi="Times New Roman"/>
          <w:sz w:val="17"/>
          <w:szCs w:val="17"/>
          <w:color w:val="auto"/>
        </w:rPr>
        <w:t>Approximately 17.2% and 16.6% of our revenues for the nine months ended September 30, 2024 and 2023, respectively, were denominated in currencies other than the U.S. dollar (“USD”). Our financial statements are reported in USD and, accordingly, fluctuations in exchange rates will affect the translation of revenues and expenses denominated in foreign currencies into USD for purposes of reporting our condensed consolidated and combined financial results. In the nine months ended September 30, 2024 and the year ended December 31, 2023, the most significant currency exchange rate exposure was the Euro. Excluding the impacts from any outstanding or future hedging transactions, a hypothetical change of 10% in average exchange rates used to translate all foreign currencies to USD would have impacted income before income taxes for the nine months ended September 30, 2024 by approximately $1.8. Gross accumulated currency translation adjustments recorded as a separate component of stockholders’ equity were $38.0 and $(6.6) at September 30, 2024 and September 30, 2023, respectively. We do not have significant operations in countries in which the economy is considered to be highly inflationary.</w:t>
      </w:r>
    </w:p>
    <w:p>
      <w:pPr>
        <w:spacing w:after="0" w:line="139" w:lineRule="exact"/>
        <w:rPr>
          <w:sz w:val="20"/>
          <w:szCs w:val="20"/>
          <w:color w:val="auto"/>
        </w:rPr>
      </w:pPr>
    </w:p>
    <w:p>
      <w:pPr>
        <w:ind w:right="120" w:firstLine="240"/>
        <w:spacing w:after="0" w:line="243" w:lineRule="auto"/>
        <w:rPr>
          <w:sz w:val="20"/>
          <w:szCs w:val="20"/>
          <w:color w:val="auto"/>
        </w:rPr>
      </w:pPr>
      <w:r>
        <w:rPr>
          <w:rFonts w:ascii="Times New Roman" w:cs="Times New Roman" w:eastAsia="Times New Roman" w:hAnsi="Times New Roman"/>
          <w:sz w:val="18"/>
          <w:szCs w:val="18"/>
          <w:color w:val="auto"/>
        </w:rPr>
        <w:t>We earn revenue from service contracts over a period of several months to many years. Accordingly, exchange rate fluctuations during this period may affect our profitability with respect to such contracts. We are also subject to foreign currency transaction risk for fluctuations in exchange rates during the period of time between the consummation and cash settlement of transactions. We enter into foreign currency forward contracts with external counterparties to hedge certain foreign currency transactions with exposure predominantly to the Euro and British Pound. These contracts do not qualify for hedge accounting under U.S. GAAP and the changes in fair value are recorded directly to earnings.</w:t>
      </w:r>
    </w:p>
    <w:p>
      <w:pPr>
        <w:spacing w:after="0" w:line="140" w:lineRule="exact"/>
        <w:rPr>
          <w:sz w:val="20"/>
          <w:szCs w:val="20"/>
          <w:color w:val="auto"/>
        </w:rPr>
      </w:pPr>
    </w:p>
    <w:p>
      <w:pPr>
        <w:ind w:right="1560" w:firstLine="240"/>
        <w:spacing w:after="0" w:line="425" w:lineRule="auto"/>
        <w:rPr>
          <w:sz w:val="20"/>
          <w:szCs w:val="20"/>
          <w:color w:val="auto"/>
        </w:rPr>
      </w:pPr>
      <w:r>
        <w:rPr>
          <w:rFonts w:ascii="Times New Roman" w:cs="Times New Roman" w:eastAsia="Times New Roman" w:hAnsi="Times New Roman"/>
          <w:sz w:val="18"/>
          <w:szCs w:val="18"/>
          <w:color w:val="auto"/>
        </w:rPr>
        <w:t xml:space="preserve">Prior to the Spin, these changes in fair value were included in the combined statements of operations as part of corporate allocations. </w:t>
      </w:r>
      <w:r>
        <w:rPr>
          <w:rFonts w:ascii="Times New Roman" w:cs="Times New Roman" w:eastAsia="Times New Roman" w:hAnsi="Times New Roman"/>
          <w:sz w:val="18"/>
          <w:szCs w:val="18"/>
          <w:b w:val="1"/>
          <w:bCs w:val="1"/>
          <w:color w:val="auto"/>
        </w:rPr>
        <w:t>Interest Rate Risk</w:t>
      </w:r>
    </w:p>
    <w:p>
      <w:pPr>
        <w:spacing w:after="0" w:line="1" w:lineRule="exact"/>
        <w:rPr>
          <w:sz w:val="20"/>
          <w:szCs w:val="20"/>
          <w:color w:val="auto"/>
        </w:rPr>
      </w:pPr>
    </w:p>
    <w:p>
      <w:pPr>
        <w:ind w:right="240" w:firstLine="320"/>
        <w:spacing w:after="0" w:line="26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 level of our interest rate risk is dependent on our debt exposure and is sensitive to changes in the general level of interest rates. Historical fluctuations in interest rates have not been significant for us; however, this may vary in the future as we have incurred certain indebtedness concurrent with the Spin and may incur additional indebtedness in the future.</w:t>
      </w:r>
    </w:p>
    <w:p>
      <w:pPr>
        <w:spacing w:after="0" w:line="123" w:lineRule="exact"/>
        <w:rPr>
          <w:sz w:val="20"/>
          <w:szCs w:val="20"/>
          <w:color w:val="auto"/>
        </w:rPr>
      </w:pPr>
    </w:p>
    <w:p>
      <w:pPr>
        <w:ind w:right="40" w:firstLine="320"/>
        <w:spacing w:after="0" w:line="252" w:lineRule="auto"/>
        <w:rPr>
          <w:sz w:val="20"/>
          <w:szCs w:val="20"/>
          <w:color w:val="auto"/>
        </w:rPr>
      </w:pPr>
      <w:r>
        <w:rPr>
          <w:rFonts w:ascii="Times New Roman" w:cs="Times New Roman" w:eastAsia="Times New Roman" w:hAnsi="Times New Roman"/>
          <w:sz w:val="18"/>
          <w:szCs w:val="18"/>
          <w:color w:val="auto"/>
        </w:rPr>
        <w:t xml:space="preserve">In particular, we face the market risks associated with interest rate movements on our variable rate debt. A majority of this debt bears interest at a variable rate, and we entered into a floating-to-fixed interest rate swap with respect to some of our floating rate debt in August 2023. At September 30, 2024, we had $572.0 outstanding related to our variable rate debt. Excluding the impacts from any outstanding or future floating-to-fixed interest rate swap transactions, a hypothetical 1% increase in interest rates would result in increased interest expenses of $5.7. We expect to manage our interest rate risk but expect to be exposed to an element of market risk from changes to interest rates, including on any refinancing of debt. We expect to regularly assess market risks and to establish policies and business practices to protect against the adverse effects of these exposures. See </w:t>
      </w:r>
      <w:r>
        <w:rPr>
          <w:rFonts w:ascii="Times New Roman" w:cs="Times New Roman" w:eastAsia="Times New Roman" w:hAnsi="Times New Roman"/>
          <w:sz w:val="18"/>
          <w:szCs w:val="18"/>
          <w:i w:val="1"/>
          <w:iCs w:val="1"/>
          <w:color w:val="auto"/>
        </w:rPr>
        <w:t>Note 6- Debt</w:t>
      </w:r>
      <w:r>
        <w:rPr>
          <w:rFonts w:ascii="Times New Roman" w:cs="Times New Roman" w:eastAsia="Times New Roman" w:hAnsi="Times New Roman"/>
          <w:sz w:val="18"/>
          <w:szCs w:val="18"/>
          <w:color w:val="auto"/>
        </w:rPr>
        <w:t xml:space="preserve"> to the condensed consolidated and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7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Disclosure controls and procedures (as that term is defined in Rules 13a-15(e) and 15d-15(e) under the Securities Exchange Act of 1934, as amended (the “Exchange Act”)), are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Internal controls over financial reporting, no matter how well designed, have inherent limitations, including the possibility of human error and the override of controls. Therefore, even those systems determined to be effective can provide only “reasonable assurance” with respect to the reliability of financial reporting and financial statement preparation and presentation. Further, because of changes in conditions, the effectiveness of our internal controls may vary over time.</w:t>
      </w:r>
    </w:p>
    <w:p>
      <w:pPr>
        <w:spacing w:after="0" w:line="14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Our management evaluated, with the participation of our chief executive officer and chief financial officer, the effectiveness of our disclosure controls and procedures as of September 30, 2024. Based on this evaluation, our chief executive officer and our chief financial officer have concluded that, as of the end of the period covered by this report, our disclosure controls and procedures were not effective to accomplish their objectives at the reasonable assurance level due to the material weaknesses described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 in Internal Control over Financial Reporting</w:t>
      </w:r>
    </w:p>
    <w:p>
      <w:pPr>
        <w:spacing w:after="0" w:line="15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As reported in our Form 10-Q for the quarter ended March 31, 2024, as filed with the SEC on May 24, 2024, management identified material weaknesses in our internal controls over financial reporting that existed because the company did not have sufficient resources which in turn led to an inability to effectively perform certain control activities and fulfill its internal control and accounting responsibilities. As of September 30, 2024, the previously identified material weaknesses in our internal controls over financial reporting had not been remediated.</w:t>
      </w:r>
    </w:p>
    <w:p>
      <w:pPr>
        <w:spacing w:after="0" w:line="125" w:lineRule="exact"/>
        <w:rPr>
          <w:sz w:val="20"/>
          <w:szCs w:val="20"/>
          <w:color w:val="auto"/>
        </w:rPr>
      </w:pPr>
    </w:p>
    <w:p>
      <w:pPr>
        <w:ind w:right="40"/>
        <w:spacing w:after="0" w:line="307" w:lineRule="auto"/>
        <w:rPr>
          <w:sz w:val="20"/>
          <w:szCs w:val="20"/>
          <w:color w:val="auto"/>
        </w:rPr>
      </w:pPr>
      <w:r>
        <w:rPr>
          <w:rFonts w:ascii="Times New Roman" w:cs="Times New Roman" w:eastAsia="Times New Roman" w:hAnsi="Times New Roman"/>
          <w:sz w:val="17"/>
          <w:szCs w:val="17"/>
          <w:color w:val="auto"/>
        </w:rPr>
        <w:t>Management believes that the condensed consolidated and combined financial statements and related financial information included in this Form 10-Q fairly present, in all material respects, our balance sheets, statements of operations, comprehensive income and cash flows as of and for the periods presented.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Efforts to Address a Material Weaknesses in Internal Control over Financial Reporting</w:t>
      </w:r>
    </w:p>
    <w:p>
      <w:pPr>
        <w:spacing w:after="0" w:line="144"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8"/>
          <w:szCs w:val="18"/>
          <w:color w:val="auto"/>
        </w:rPr>
        <w:t>Remediation of the identified material weaknesses and strengthening our controls and procedures is a priority. In response to the material weaknesses, we are actively implementing a comprehensive remediation plan. We are hiring, developing and working to retain personnel with appropriate accounting and internal controls expertise. Additionally, we have and will continue to review and update (as appropriate) training programs on relevant internal controls over financial reporting matters. We have also engaged experienced third parties to support our remediation efforts.</w:t>
      </w:r>
    </w:p>
    <w:p>
      <w:pPr>
        <w:spacing w:after="0" w:line="14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To further remediate the material weaknesses discussed above, management, including our chief executive officer and chief financial officer, have reaffirmed and re-emphasized the importance of internal controls, control consciousness and a strong control environment. We are committed to maintaining a strong control environment and believe that these remediation efforts represent continued improvement in our control environment. We also expect to continue to review, optimize and enhance our financial reporting controls and procedures.</w:t>
      </w:r>
    </w:p>
    <w:p>
      <w:pPr>
        <w:spacing w:after="0" w:line="12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management completes the remediation plan and keeps it in place for a sufficient period of time. The Company is committed to the improvement of its internal control over financial reporting and, together with its outside consultant(s), will continue to develop, refine and implement its remediation plan for the material weaknesses, including responding as necessary to other internal or external factors that may impact execution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5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is in the process of implementing certain changes in its internal controls to remediate the material weaknesses described above. There has been no change in the Company’s internal control over financial reporting during the quarter ended September 30, 2024 that has materially affected or is reasonably likely to materially affect its internal control over financial reporting (as defined in Rules 13a-15(f) and 15d-15(f) under the Exchange Act).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9"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8 - Commitments and Contingent Liabilities</w:t>
      </w:r>
      <w:r>
        <w:rPr>
          <w:rFonts w:ascii="Times New Roman" w:cs="Times New Roman" w:eastAsia="Times New Roman" w:hAnsi="Times New Roman"/>
          <w:sz w:val="18"/>
          <w:szCs w:val="18"/>
          <w:color w:val="auto"/>
        </w:rPr>
        <w:t xml:space="preserve"> to the condensed consolidated and combined financial statements, which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57" w:lineRule="exact"/>
        <w:rPr>
          <w:sz w:val="20"/>
          <w:szCs w:val="20"/>
          <w:color w:val="auto"/>
        </w:rPr>
      </w:pPr>
    </w:p>
    <w:p>
      <w:pPr>
        <w:ind w:right="360"/>
        <w:spacing w:after="0" w:line="241" w:lineRule="auto"/>
        <w:rPr>
          <w:sz w:val="20"/>
          <w:szCs w:val="20"/>
          <w:color w:val="auto"/>
        </w:rPr>
      </w:pPr>
      <w:r>
        <w:rPr>
          <w:rFonts w:ascii="Times New Roman" w:cs="Times New Roman" w:eastAsia="Times New Roman" w:hAnsi="Times New Roman"/>
          <w:sz w:val="18"/>
          <w:szCs w:val="18"/>
          <w:color w:val="auto"/>
        </w:rPr>
        <w:t>Other than as set forth below, there have been no material changes to the risk factors described in our Annual Report on Form 10-K for the year ended December 31, 2023, as filed with the SEC on March 13, 2024. For a discussion of the risks relating to our business, see the “Risk Factors” section of our Annual Report on Form 10-K, the “Cautionary Statement Concerning Forward-Looking Statements” set forth in Part I, Item 2 of this Form 10-Q, and as updated by following.</w:t>
      </w:r>
    </w:p>
    <w:p>
      <w:pPr>
        <w:spacing w:after="0" w:line="12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Failure to establish and maintain effective internal control over financial reporting in accordance with Section 404 of the Sarbanes-Oxley Act could materially and adversely affect us.</w:t>
      </w:r>
    </w:p>
    <w:p>
      <w:pPr>
        <w:spacing w:after="0" w:line="11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and the Dodd-Frank Wall Street Reform and Consumer Protection Act of 2010 and are required to prepare our financial statements according to the rules and regulations required by the SEC. In addition, the Exchange Act requires that we file annual, quarterly, and current reports. Our failure to prepare and disclose this information in a timely manner or to otherwise comply with applicable law could subject us to penalties under federal securities laws, expose us to lawsuits, and restrict our ability to access financing. In addition, the Sarbanes-Oxley Act requires that, among other things, we establish and maintain effective internal controls and procedures for financial reporting and disclosure purposes. Beginning with our second required Annual Report on Form 10-K, which will be filed in 2025, we intend to comply with the applicable sections of Section 404 of the Sarbanes-Oxley Act, which will require annual management assessments of the effectiveness of our internal control over financial reporting and a report by our independent registered public accounting firm on the effectiveness of internal control over financial reporting. Internal control over financial reporting is complex and may be revised over time to adapt to changes in our business, or changes in applicable accounting rules. We cannot provide assurance that our internal control over financial reporting will be effective in the future or that a material weakness will not be discovered with respect to a prior period for which we had previously believed that internal controls were effective. For example, in connection with preparing the financial statements as of and for the quarter ended March 31, 2024, management identified material weaknesses in our internal controls over financial reporting that existed because we did not have sufficient resources which resulted in an inability to fulfill our internal control and accounting responsibilities. These material weaknesses did not result in any identified material misstatements to our prior annual or interim financial statements. While we are taking actions to remediate the material weaknesses, if we are not able to successfully remediate and test the affected controls and/or we are not able to maintain or document effective internal control over financial reporting, our independent registered public accounting firm will not be able to certify as to the effectiveness of our internal control over financial reporting.</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Matters affecting our internal controls may cause us to be unable to report our financial information on a timely basis or may cause us to restate previously issued financial information. As a result, we may face potential adverse regulatory consequences, including sanctions or investigations by the SEC, or violations of applicable stock exchange listing rules. There could also be a negative reaction in the financial markets due to a loss of investor confidence in us and the reliability of our financial statements. Confidence in the reliability of our financial statements is also likely to suffer if we or our independent registered public accounting firm reports a material weakness in our internal control over financial reporting. This could have a material and adverse effect on us by, for example, leading to a decline in our share price and impairing our ability to raise additional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224"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A portion of the compensation of our directors and officers (as defined in Rule 16a-1(f) under the Exchange Act) is in the form of equity awards and, from time to time, directors and officers may engage in open-market transactions with respect to the securities acquired pursuant to such equity awards or other Company securities, including to satisfy tax withholding obligations when equity awards vest or are exercised and for diversification or other personal reasons.</w:t>
      </w:r>
    </w:p>
    <w:p>
      <w:pPr>
        <w:spacing w:after="0" w:line="127"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Transactions in our securities by directors and officers are required to be made in accordance with our insider trading policy, which requires that the transactions be in accordance with applicable U.S. federal securities laws that prohibit trading while in possession of material nonpublic information. Rule 10b5-1 under the Exchange Act provides an affirmative defense that enables directors and officers to prearrange transactions in our securities in a manner that avoids concerns about initiating transactions while in possession of material nonpublic information.</w:t>
      </w:r>
    </w:p>
    <w:p>
      <w:pPr>
        <w:spacing w:after="0" w:line="127"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During the quarterly period covered by this report, none of our directors or officers entered into or terminated a Rule 10b5-1 trading arrangement or adopted or terminated a non-Rule 10b5-1 trading arrangement (as defined in Item 408(c) of Regulation S-K) except as follows:</w:t>
      </w:r>
    </w:p>
    <w:p>
      <w:pPr>
        <w:spacing w:after="0" w:line="10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September 2024, we adopted a policy for awards that will vest in the year ended December 31, 2025 and beyond (unless and until such policy is subsequently terminated or modified by the Company) pursuant to which any participant in our equity incentive plans is required to sell, upon the vesting or settlement of any restricted stock units (“RSUs”) or performance share awards (“PSAs”), a portion of the shares subject to the award sufficient to cover tax withholding obligations and to remit an amount equal to such tax withholding obligations to the Company. In connection with the adoption of the policy, the Management Development and Compensation Committee of our board of directors (the “MDCC”) approved a new form of Restricted Stock Unit Agreement and Performance Share Award Agreement to institute automatic sell-to-cover, and such forms are filed with this Form 10-Q as Exhibits 10.1 and 10.2. Additionally, the MDCC and Thomas Pike amended his current RSU Agreement to implement automatic sell-to-cover, and such amendment to Thomas Pike’s RSU agreement is filed with this Form 10-Q as Exhibit 10.3.</w:t>
      </w:r>
    </w:p>
    <w:p>
      <w:pPr>
        <w:spacing w:after="0" w:line="13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Additionally, on September [16], 2024, Thomas Pike, our Chairman and Chief Executive Officer, Jill McConnell, our Chief Financial Officer, Mark Morais, our Chief Operations Officer and President, Stillman Hanson, our General Counsel, and Robert Parks, our Chief Accounting Officer, entered into trading instructions intended to satisfy the affirmative defense conditions of Rule 10b5-1(c) of the Exchange Act and to provide for certain sell-to-cover transactions (as described in Rule 10b5-1(c)(1)(ii)(D)(3) of the Exchange Act) with respect to certain RSUs and PSAs (the “Sell-to-Cover Instructions”). The Sell-to-Cover Instructions provide for the pre-arranged sale of shares in amounts necessary to satisfy our tax withholding obligations arising exclusively from the vesting of certain RSUs and PSAs, which will be based on the then fair market value of the shares of our common stock subject to the RSUs or PSAs, as applicable, that are settled on each applicable vesting date. The proceeds of any such sale will be delivered to the Company in satisfaction of such tax withholding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Sell-to-Cover Instructions are subject to applicable “cooling-off periods,” consistent with Rule 10b5-1(c)(1)(ii)(B) of the Exchange Act. Each of the relevant officer’s Sell-to-Cover Instructions apply with respect to the first award of RSUs or PSAs granted by us after the Separation (including any converted equity grants from Former Parent) or the officer’s hire date (if later), and any RSUs or PSAs that may be granted to them by us from time to time following such date, other than any future granted RSUs or PSAs which by the terms of the applicable award agreements or by a policy of the Company then in effect require us to withhold shares to satisfy tax withholding obligations in connection with the vesting and settlement of such RSUs or PSAs or that do not permit sell-to-cover transactions. The amount of shares to be sold to satisfy our tax withholding obligations under these arrangements is dependent on future events which cannot be known at this time, including the future trading price of our shares. The expiration date relating to an officer’s Sell-to-Cover Instructions is dependent on future events which cannot be known at this time, including the final vesting date of certain RSUs and PSAs and such officer’s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4"/>
        </w:trPr>
        <w:tc>
          <w:tcPr>
            <w:tcW w:w="770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The exhibits below are filed or furnished as a part of this report and are incorporated herein by reference.</w:t>
            </w: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EXHIBIT NO.</w:t>
            </w:r>
          </w:p>
        </w:tc>
        <w:tc>
          <w:tcPr>
            <w:tcW w:w="40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c>
          <w:tcPr>
            <w:tcW w:w="32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4060" w:type="dxa"/>
            <w:vAlign w:val="bottom"/>
            <w:gridSpan w:val="16"/>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w:t>
            </w:r>
          </w:p>
        </w:tc>
        <w:tc>
          <w:tcPr>
            <w:tcW w:w="1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File No.</w:t>
            </w:r>
          </w:p>
        </w:tc>
        <w:tc>
          <w:tcPr>
            <w:tcW w:w="1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Exhibit</w:t>
            </w:r>
          </w:p>
        </w:tc>
        <w:tc>
          <w:tcPr>
            <w:tcW w:w="1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Filing Date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 w:type="dxa"/>
            <w:vAlign w:val="bottom"/>
          </w:tcPr>
          <w:p>
            <w:pPr>
              <w:spacing w:after="0" w:line="192" w:lineRule="exact"/>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920" w:type="dxa"/>
            <w:vAlign w:val="bottom"/>
          </w:tcPr>
          <w:p>
            <w:pPr>
              <w:spacing w:after="0"/>
              <w:rPr>
                <w:sz w:val="16"/>
                <w:szCs w:val="16"/>
                <w:color w:val="auto"/>
              </w:rPr>
            </w:pPr>
          </w:p>
        </w:tc>
        <w:tc>
          <w:tcPr>
            <w:tcW w:w="4060" w:type="dxa"/>
            <w:vAlign w:val="bottom"/>
            <w:gridSpan w:val="16"/>
          </w:tcPr>
          <w:p>
            <w:pPr>
              <w:spacing w:after="0" w:line="192" w:lineRule="exact"/>
              <w:rPr>
                <w:sz w:val="20"/>
                <w:szCs w:val="20"/>
                <w:color w:val="auto"/>
              </w:rPr>
            </w:pPr>
            <w:r>
              <w:rPr>
                <w:rFonts w:ascii="Times New Roman" w:cs="Times New Roman" w:eastAsia="Times New Roman" w:hAnsi="Times New Roman"/>
                <w:sz w:val="18"/>
                <w:szCs w:val="18"/>
                <w:color w:val="0000FF"/>
              </w:rPr>
              <w:t>Form of Restricted Stock Unit Award.</w:t>
            </w:r>
          </w:p>
        </w:tc>
        <w:tc>
          <w:tcPr>
            <w:tcW w:w="2380" w:type="dxa"/>
            <w:vAlign w:val="bottom"/>
            <w:gridSpan w:val="2"/>
          </w:tcPr>
          <w:p>
            <w:pPr>
              <w:jc w:val="center"/>
              <w:ind w:right="971"/>
              <w:spacing w:after="0" w:line="192" w:lineRule="exact"/>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920" w:type="dxa"/>
            <w:vAlign w:val="bottom"/>
          </w:tcPr>
          <w:p>
            <w:pPr>
              <w:spacing w:after="0"/>
              <w:rPr>
                <w:sz w:val="17"/>
                <w:szCs w:val="17"/>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Form of Performance Share Award Agreement.</w:t>
            </w:r>
          </w:p>
        </w:tc>
        <w:tc>
          <w:tcPr>
            <w:tcW w:w="2380" w:type="dxa"/>
            <w:vAlign w:val="bottom"/>
            <w:gridSpan w:val="2"/>
          </w:tcPr>
          <w:p>
            <w:pPr>
              <w:jc w:val="center"/>
              <w:ind w:right="971"/>
              <w:spacing w:after="0"/>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p>
        </w:tc>
        <w:tc>
          <w:tcPr>
            <w:tcW w:w="920" w:type="dxa"/>
            <w:vAlign w:val="bottom"/>
          </w:tcPr>
          <w:p>
            <w:pPr>
              <w:spacing w:after="0"/>
              <w:rPr>
                <w:sz w:val="17"/>
                <w:szCs w:val="17"/>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First Amendment dated September 13, 2024 to the</w:t>
            </w:r>
          </w:p>
        </w:tc>
        <w:tc>
          <w:tcPr>
            <w:tcW w:w="2380" w:type="dxa"/>
            <w:vAlign w:val="bottom"/>
            <w:gridSpan w:val="2"/>
          </w:tcPr>
          <w:p>
            <w:pPr>
              <w:jc w:val="center"/>
              <w:ind w:right="971"/>
              <w:spacing w:after="0"/>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60" w:type="dxa"/>
            <w:vAlign w:val="bottom"/>
            <w:gridSpan w:val="16"/>
          </w:tcPr>
          <w:p>
            <w:pPr>
              <w:spacing w:after="0" w:line="154" w:lineRule="exact"/>
              <w:rPr>
                <w:sz w:val="20"/>
                <w:szCs w:val="20"/>
                <w:color w:val="auto"/>
              </w:rPr>
            </w:pPr>
            <w:r>
              <w:rPr>
                <w:rFonts w:ascii="Times New Roman" w:cs="Times New Roman" w:eastAsia="Times New Roman" w:hAnsi="Times New Roman"/>
                <w:sz w:val="17"/>
                <w:szCs w:val="17"/>
                <w:color w:val="0000FF"/>
              </w:rPr>
              <w:t>Restricted Stock Unit Award Agreement dated August</w:t>
            </w:r>
          </w:p>
        </w:tc>
        <w:tc>
          <w:tcPr>
            <w:tcW w:w="1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60" w:type="dxa"/>
            <w:vAlign w:val="bottom"/>
            <w:tcBorders>
              <w:top w:val="single" w:sz="8" w:color="0000FF"/>
            </w:tcBorders>
            <w:gridSpan w:val="13"/>
          </w:tcPr>
          <w:p>
            <w:pPr>
              <w:spacing w:after="0" w:line="167" w:lineRule="exact"/>
              <w:rPr>
                <w:sz w:val="20"/>
                <w:szCs w:val="20"/>
                <w:color w:val="auto"/>
              </w:rPr>
            </w:pPr>
            <w:r>
              <w:rPr>
                <w:rFonts w:ascii="Times New Roman" w:cs="Times New Roman" w:eastAsia="Times New Roman" w:hAnsi="Times New Roman"/>
                <w:sz w:val="18"/>
                <w:szCs w:val="18"/>
                <w:color w:val="0000FF"/>
              </w:rPr>
              <w:t>17, 2023 between Fortrea Holdings Inc. and Thomas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4" w:lineRule="exact"/>
              <w:rPr>
                <w:sz w:val="20"/>
                <w:szCs w:val="20"/>
                <w:color w:val="auto"/>
              </w:rPr>
            </w:pPr>
            <w:r>
              <w:rPr>
                <w:rFonts w:ascii="Times New Roman" w:cs="Times New Roman" w:eastAsia="Times New Roman" w:hAnsi="Times New Roman"/>
                <w:sz w:val="17"/>
                <w:szCs w:val="17"/>
                <w:color w:val="0000FF"/>
                <w:w w:val="98"/>
              </w:rPr>
              <w:t>Pike.</w:t>
            </w:r>
          </w:p>
        </w:tc>
        <w:tc>
          <w:tcPr>
            <w:tcW w:w="3380" w:type="dxa"/>
            <w:vAlign w:val="bottom"/>
            <w:tcBorders>
              <w:top w:val="single" w:sz="8" w:color="0000FF"/>
            </w:tcBorders>
            <w:gridSpan w:val="10"/>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20" w:type="dxa"/>
            <w:vAlign w:val="bottom"/>
          </w:tcPr>
          <w:p>
            <w:pPr>
              <w:spacing w:after="0"/>
              <w:rPr>
                <w:sz w:val="17"/>
                <w:szCs w:val="17"/>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w:t>
            </w:r>
          </w:p>
        </w:tc>
        <w:tc>
          <w:tcPr>
            <w:tcW w:w="2380" w:type="dxa"/>
            <w:vAlign w:val="bottom"/>
            <w:gridSpan w:val="2"/>
          </w:tcPr>
          <w:p>
            <w:pPr>
              <w:jc w:val="center"/>
              <w:ind w:right="971"/>
              <w:spacing w:after="0"/>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20" w:type="dxa"/>
            <w:vAlign w:val="bottom"/>
          </w:tcPr>
          <w:p>
            <w:pPr>
              <w:spacing w:after="0"/>
              <w:rPr>
                <w:sz w:val="13"/>
                <w:szCs w:val="13"/>
                <w:color w:val="auto"/>
              </w:rPr>
            </w:pPr>
          </w:p>
        </w:tc>
        <w:tc>
          <w:tcPr>
            <w:tcW w:w="3680" w:type="dxa"/>
            <w:vAlign w:val="bottom"/>
            <w:tcBorders>
              <w:top w:val="single" w:sz="8" w:color="0000FF"/>
            </w:tcBorders>
            <w:gridSpan w:val="9"/>
          </w:tcPr>
          <w:p>
            <w:pPr>
              <w:spacing w:after="0" w:line="154" w:lineRule="exact"/>
              <w:rPr>
                <w:sz w:val="20"/>
                <w:szCs w:val="20"/>
                <w:color w:val="auto"/>
              </w:rPr>
            </w:pPr>
            <w:r>
              <w:rPr>
                <w:rFonts w:ascii="Times New Roman" w:cs="Times New Roman" w:eastAsia="Times New Roman" w:hAnsi="Times New Roman"/>
                <w:sz w:val="17"/>
                <w:szCs w:val="17"/>
                <w:color w:val="0000FF"/>
              </w:rPr>
              <w:t>Exchange Act Rules 13a-14(a) and 15d-14(a), as</w:t>
            </w:r>
          </w:p>
        </w:tc>
        <w:tc>
          <w:tcPr>
            <w:tcW w:w="4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60" w:type="dxa"/>
            <w:vAlign w:val="bottom"/>
            <w:gridSpan w:val="16"/>
          </w:tcPr>
          <w:p>
            <w:pPr>
              <w:spacing w:after="0" w:line="167" w:lineRule="exact"/>
              <w:rPr>
                <w:sz w:val="20"/>
                <w:szCs w:val="20"/>
                <w:color w:val="auto"/>
              </w:rPr>
            </w:pPr>
            <w:r>
              <w:rPr>
                <w:rFonts w:ascii="Times New Roman" w:cs="Times New Roman" w:eastAsia="Times New Roman" w:hAnsi="Times New Roman"/>
                <w:sz w:val="18"/>
                <w:szCs w:val="18"/>
                <w:color w:val="0000FF"/>
              </w:rPr>
              <w:t>adopted pursuant to Section 302 of the Sarbanes-Oxley</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920" w:type="dxa"/>
            <w:vAlign w:val="bottom"/>
            <w:tcBorders>
              <w:top w:val="single" w:sz="8" w:color="0000FF"/>
            </w:tcBorders>
            <w:gridSpan w:val="15"/>
          </w:tcPr>
          <w:p>
            <w:pPr>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20" w:type="dxa"/>
            <w:vAlign w:val="bottom"/>
          </w:tcPr>
          <w:p>
            <w:pPr>
              <w:spacing w:after="0"/>
              <w:rPr>
                <w:sz w:val="17"/>
                <w:szCs w:val="17"/>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w:t>
            </w:r>
          </w:p>
        </w:tc>
        <w:tc>
          <w:tcPr>
            <w:tcW w:w="2380" w:type="dxa"/>
            <w:vAlign w:val="bottom"/>
            <w:gridSpan w:val="2"/>
          </w:tcPr>
          <w:p>
            <w:pPr>
              <w:jc w:val="center"/>
              <w:ind w:right="971"/>
              <w:spacing w:after="0"/>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20" w:type="dxa"/>
            <w:vAlign w:val="bottom"/>
          </w:tcPr>
          <w:p>
            <w:pPr>
              <w:spacing w:after="0"/>
              <w:rPr>
                <w:sz w:val="13"/>
                <w:szCs w:val="13"/>
                <w:color w:val="auto"/>
              </w:rPr>
            </w:pPr>
          </w:p>
        </w:tc>
        <w:tc>
          <w:tcPr>
            <w:tcW w:w="3620" w:type="dxa"/>
            <w:vAlign w:val="bottom"/>
            <w:tcBorders>
              <w:top w:val="single" w:sz="8" w:color="0000FF"/>
            </w:tcBorders>
            <w:gridSpan w:val="8"/>
          </w:tcPr>
          <w:p>
            <w:pPr>
              <w:spacing w:after="0" w:line="154" w:lineRule="exact"/>
              <w:rPr>
                <w:sz w:val="20"/>
                <w:szCs w:val="20"/>
                <w:color w:val="auto"/>
              </w:rPr>
            </w:pPr>
            <w:r>
              <w:rPr>
                <w:rFonts w:ascii="Times New Roman" w:cs="Times New Roman" w:eastAsia="Times New Roman" w:hAnsi="Times New Roman"/>
                <w:sz w:val="17"/>
                <w:szCs w:val="17"/>
                <w:color w:val="0000FF"/>
              </w:rPr>
              <w:t>Exchange Act Rules 13a-14(a) and 15d-14(a), as</w:t>
            </w:r>
          </w:p>
        </w:tc>
        <w:tc>
          <w:tcPr>
            <w:tcW w:w="10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6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gridSpan w:val="4"/>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60" w:type="dxa"/>
            <w:vAlign w:val="bottom"/>
            <w:gridSpan w:val="16"/>
          </w:tcPr>
          <w:p>
            <w:pPr>
              <w:spacing w:after="0" w:line="167" w:lineRule="exact"/>
              <w:rPr>
                <w:sz w:val="20"/>
                <w:szCs w:val="20"/>
                <w:color w:val="auto"/>
              </w:rPr>
            </w:pPr>
            <w:r>
              <w:rPr>
                <w:rFonts w:ascii="Times New Roman" w:cs="Times New Roman" w:eastAsia="Times New Roman" w:hAnsi="Times New Roman"/>
                <w:sz w:val="18"/>
                <w:szCs w:val="18"/>
                <w:color w:val="0000FF"/>
              </w:rPr>
              <w:t>adopted pursuant to Section 302 of the Sarbanes-Oxley</w:t>
            </w: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920" w:type="dxa"/>
            <w:vAlign w:val="bottom"/>
            <w:tcBorders>
              <w:top w:val="single" w:sz="8" w:color="0000FF"/>
            </w:tcBorders>
            <w:gridSpan w:val="15"/>
          </w:tcPr>
          <w:p>
            <w:pPr>
              <w:spacing w:after="0" w:line="154" w:lineRule="exact"/>
              <w:rPr>
                <w:sz w:val="20"/>
                <w:szCs w:val="20"/>
                <w:color w:val="auto"/>
              </w:rPr>
            </w:pPr>
            <w:r>
              <w:rPr>
                <w:rFonts w:ascii="Times New Roman" w:cs="Times New Roman" w:eastAsia="Times New Roman" w:hAnsi="Times New Roman"/>
                <w:sz w:val="17"/>
                <w:szCs w:val="17"/>
                <w:color w:val="0000FF"/>
              </w:rPr>
              <w:t>Act of 2002.</w:t>
            </w: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20" w:type="dxa"/>
            <w:vAlign w:val="bottom"/>
          </w:tcPr>
          <w:p>
            <w:pPr>
              <w:spacing w:after="0"/>
              <w:rPr>
                <w:sz w:val="17"/>
                <w:szCs w:val="17"/>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w:t>
            </w:r>
          </w:p>
        </w:tc>
        <w:tc>
          <w:tcPr>
            <w:tcW w:w="2380" w:type="dxa"/>
            <w:vAlign w:val="bottom"/>
            <w:gridSpan w:val="2"/>
          </w:tcPr>
          <w:p>
            <w:pPr>
              <w:jc w:val="center"/>
              <w:ind w:right="971"/>
              <w:spacing w:after="0"/>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920" w:type="dxa"/>
            <w:vAlign w:val="bottom"/>
          </w:tcPr>
          <w:p>
            <w:pPr>
              <w:spacing w:after="0"/>
              <w:rPr>
                <w:sz w:val="13"/>
                <w:szCs w:val="13"/>
                <w:color w:val="auto"/>
              </w:rPr>
            </w:pPr>
          </w:p>
        </w:tc>
        <w:tc>
          <w:tcPr>
            <w:tcW w:w="3900" w:type="dxa"/>
            <w:vAlign w:val="bottom"/>
            <w:tcBorders>
              <w:top w:val="single" w:sz="8" w:color="0000FF"/>
            </w:tcBorders>
            <w:gridSpan w:val="14"/>
          </w:tcPr>
          <w:p>
            <w:pPr>
              <w:spacing w:after="0" w:line="154" w:lineRule="exact"/>
              <w:rPr>
                <w:sz w:val="20"/>
                <w:szCs w:val="20"/>
                <w:color w:val="auto"/>
              </w:rPr>
            </w:pPr>
            <w:r>
              <w:rPr>
                <w:rFonts w:ascii="Times New Roman" w:cs="Times New Roman" w:eastAsia="Times New Roman" w:hAnsi="Times New Roman"/>
                <w:sz w:val="17"/>
                <w:szCs w:val="17"/>
                <w:color w:val="0000FF"/>
              </w:rPr>
              <w:t>U.S.C. Section 1350, as adopted pursuant to Section</w:t>
            </w:r>
          </w:p>
        </w:tc>
        <w:tc>
          <w:tcPr>
            <w:tcW w:w="160" w:type="dxa"/>
            <w:vAlign w:val="bottom"/>
            <w:gridSpan w:val="2"/>
          </w:tcPr>
          <w:p>
            <w:pPr>
              <w:spacing w:after="0"/>
              <w:rPr>
                <w:sz w:val="13"/>
                <w:szCs w:val="13"/>
                <w:color w:val="auto"/>
              </w:rPr>
            </w:pPr>
          </w:p>
        </w:tc>
        <w:tc>
          <w:tcPr>
            <w:tcW w:w="1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4"/>
          </w:tcPr>
          <w:p>
            <w:pPr>
              <w:spacing w:after="0" w:line="167" w:lineRule="exact"/>
              <w:rPr>
                <w:sz w:val="20"/>
                <w:szCs w:val="20"/>
                <w:color w:val="auto"/>
              </w:rPr>
            </w:pPr>
            <w:r>
              <w:rPr>
                <w:rFonts w:ascii="Times New Roman" w:cs="Times New Roman" w:eastAsia="Times New Roman" w:hAnsi="Times New Roman"/>
                <w:sz w:val="18"/>
                <w:szCs w:val="18"/>
                <w:color w:val="0000FF"/>
                <w:w w:val="98"/>
              </w:rPr>
              <w:t>906 of the Sarbanes-Oxley Act of 2002.</w:t>
            </w:r>
          </w:p>
        </w:tc>
        <w:tc>
          <w:tcPr>
            <w:tcW w:w="880" w:type="dxa"/>
            <w:vAlign w:val="bottom"/>
            <w:tcBorders>
              <w:top w:val="single" w:sz="8" w:color="0000FF"/>
            </w:tcBorders>
            <w:gridSpan w:val="6"/>
          </w:tcPr>
          <w:p>
            <w:pPr>
              <w:spacing w:after="0"/>
              <w:rPr>
                <w:sz w:val="14"/>
                <w:szCs w:val="14"/>
                <w:color w:val="auto"/>
              </w:rPr>
            </w:pPr>
          </w:p>
        </w:tc>
        <w:tc>
          <w:tcPr>
            <w:tcW w:w="120" w:type="dxa"/>
            <w:vAlign w:val="bottom"/>
            <w:gridSpan w:val="2"/>
          </w:tcPr>
          <w:p>
            <w:pPr>
              <w:spacing w:after="0"/>
              <w:rPr>
                <w:sz w:val="14"/>
                <w:szCs w:val="14"/>
                <w:color w:val="auto"/>
              </w:rPr>
            </w:pPr>
          </w:p>
        </w:tc>
        <w:tc>
          <w:tcPr>
            <w:tcW w:w="220" w:type="dxa"/>
            <w:vAlign w:val="bottom"/>
            <w:gridSpan w:val="4"/>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920" w:type="dxa"/>
            <w:vAlign w:val="bottom"/>
          </w:tcPr>
          <w:p>
            <w:pPr>
              <w:spacing w:after="0"/>
              <w:rPr>
                <w:sz w:val="19"/>
                <w:szCs w:val="19"/>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w:t>
            </w:r>
          </w:p>
        </w:tc>
        <w:tc>
          <w:tcPr>
            <w:tcW w:w="2380" w:type="dxa"/>
            <w:vAlign w:val="bottom"/>
            <w:gridSpan w:val="2"/>
          </w:tcPr>
          <w:p>
            <w:pPr>
              <w:jc w:val="center"/>
              <w:ind w:right="971"/>
              <w:spacing w:after="0"/>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920" w:type="dxa"/>
            <w:vAlign w:val="bottom"/>
          </w:tcPr>
          <w:p>
            <w:pPr>
              <w:spacing w:after="0"/>
              <w:rPr>
                <w:sz w:val="11"/>
                <w:szCs w:val="11"/>
                <w:color w:val="auto"/>
              </w:rPr>
            </w:pPr>
          </w:p>
        </w:tc>
        <w:tc>
          <w:tcPr>
            <w:tcW w:w="3840" w:type="dxa"/>
            <w:vAlign w:val="bottom"/>
            <w:tcBorders>
              <w:top w:val="single" w:sz="8" w:color="0000FF"/>
            </w:tcBorders>
            <w:gridSpan w:val="12"/>
          </w:tcPr>
          <w:p>
            <w:pPr>
              <w:spacing w:after="0" w:line="133" w:lineRule="exact"/>
              <w:rPr>
                <w:sz w:val="20"/>
                <w:szCs w:val="20"/>
                <w:color w:val="auto"/>
              </w:rPr>
            </w:pPr>
            <w:r>
              <w:rPr>
                <w:rFonts w:ascii="Times New Roman" w:cs="Times New Roman" w:eastAsia="Times New Roman" w:hAnsi="Times New Roman"/>
                <w:sz w:val="14"/>
                <w:szCs w:val="14"/>
                <w:color w:val="0000FF"/>
              </w:rPr>
              <w:t>U.S.C. Section 1350, as adopted pursuant to Section</w:t>
            </w:r>
          </w:p>
        </w:tc>
        <w:tc>
          <w:tcPr>
            <w:tcW w:w="220" w:type="dxa"/>
            <w:vAlign w:val="bottom"/>
            <w:gridSpan w:val="4"/>
          </w:tcPr>
          <w:p>
            <w:pPr>
              <w:spacing w:after="0"/>
              <w:rPr>
                <w:sz w:val="11"/>
                <w:szCs w:val="11"/>
                <w:color w:val="auto"/>
              </w:rPr>
            </w:pPr>
          </w:p>
        </w:tc>
        <w:tc>
          <w:tcPr>
            <w:tcW w:w="1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40" w:type="dxa"/>
            <w:vAlign w:val="bottom"/>
            <w:tcBorders>
              <w:top w:val="single" w:sz="8" w:color="0000FF"/>
              <w:bottom w:val="single" w:sz="8" w:color="0000FF"/>
            </w:tcBorders>
            <w:gridSpan w:val="4"/>
          </w:tcPr>
          <w:p>
            <w:pPr>
              <w:spacing w:after="0" w:line="167" w:lineRule="exact"/>
              <w:rPr>
                <w:sz w:val="20"/>
                <w:szCs w:val="20"/>
                <w:color w:val="auto"/>
              </w:rPr>
            </w:pPr>
            <w:r>
              <w:rPr>
                <w:rFonts w:ascii="Times New Roman" w:cs="Times New Roman" w:eastAsia="Times New Roman" w:hAnsi="Times New Roman"/>
                <w:sz w:val="18"/>
                <w:szCs w:val="18"/>
                <w:color w:val="0000FF"/>
                <w:w w:val="98"/>
              </w:rPr>
              <w:t>906 of the Sarbanes-Oxley Act of 2002.</w:t>
            </w:r>
          </w:p>
        </w:tc>
        <w:tc>
          <w:tcPr>
            <w:tcW w:w="880" w:type="dxa"/>
            <w:vAlign w:val="bottom"/>
            <w:tcBorders>
              <w:top w:val="single" w:sz="8" w:color="0000FF"/>
            </w:tcBorders>
            <w:gridSpan w:val="6"/>
          </w:tcPr>
          <w:p>
            <w:pPr>
              <w:spacing w:after="0"/>
              <w:rPr>
                <w:sz w:val="14"/>
                <w:szCs w:val="14"/>
                <w:color w:val="auto"/>
              </w:rPr>
            </w:pPr>
          </w:p>
        </w:tc>
        <w:tc>
          <w:tcPr>
            <w:tcW w:w="340" w:type="dxa"/>
            <w:vAlign w:val="bottom"/>
            <w:gridSpan w:val="6"/>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101.INS</w:t>
            </w:r>
          </w:p>
        </w:tc>
        <w:tc>
          <w:tcPr>
            <w:tcW w:w="40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2380" w:type="dxa"/>
            <w:vAlign w:val="bottom"/>
            <w:gridSpan w:val="2"/>
          </w:tcPr>
          <w:p>
            <w:pPr>
              <w:jc w:val="center"/>
              <w:ind w:right="971"/>
              <w:spacing w:after="0" w:line="194" w:lineRule="exact"/>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60" w:type="dxa"/>
            <w:vAlign w:val="bottom"/>
            <w:gridSpan w:val="16"/>
          </w:tcPr>
          <w:p>
            <w:pPr>
              <w:spacing w:after="0" w:line="178" w:lineRule="exact"/>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1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380" w:type="dxa"/>
            <w:vAlign w:val="bottom"/>
            <w:gridSpan w:val="2"/>
          </w:tcPr>
          <w:p>
            <w:pPr>
              <w:jc w:val="center"/>
              <w:ind w:right="971"/>
              <w:spacing w:after="0"/>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40" w:type="dxa"/>
            <w:vAlign w:val="bottom"/>
            <w:gridSpan w:val="2"/>
          </w:tcPr>
          <w:p>
            <w:pPr>
              <w:spacing w:after="0" w:line="178" w:lineRule="exact"/>
              <w:rPr>
                <w:sz w:val="20"/>
                <w:szCs w:val="20"/>
                <w:color w:val="auto"/>
              </w:rPr>
            </w:pPr>
            <w:r>
              <w:rPr>
                <w:rFonts w:ascii="Times New Roman" w:cs="Times New Roman" w:eastAsia="Times New Roman" w:hAnsi="Times New Roman"/>
                <w:sz w:val="18"/>
                <w:szCs w:val="18"/>
                <w:color w:val="auto"/>
              </w:rPr>
              <w:t>101.CAL</w:t>
            </w:r>
          </w:p>
        </w:tc>
        <w:tc>
          <w:tcPr>
            <w:tcW w:w="4060" w:type="dxa"/>
            <w:vAlign w:val="bottom"/>
            <w:gridSpan w:val="16"/>
          </w:tcPr>
          <w:p>
            <w:pPr>
              <w:spacing w:after="0" w:line="178" w:lineRule="exact"/>
              <w:rPr>
                <w:sz w:val="20"/>
                <w:szCs w:val="20"/>
                <w:color w:val="auto"/>
              </w:rPr>
            </w:pPr>
            <w:r>
              <w:rPr>
                <w:rFonts w:ascii="Times New Roman" w:cs="Times New Roman" w:eastAsia="Times New Roman" w:hAnsi="Times New Roman"/>
                <w:sz w:val="18"/>
                <w:szCs w:val="18"/>
                <w:color w:val="auto"/>
              </w:rPr>
              <w:t>Inline XBRL Taxonomy Extension Calculation</w:t>
            </w:r>
          </w:p>
        </w:tc>
        <w:tc>
          <w:tcPr>
            <w:tcW w:w="2380" w:type="dxa"/>
            <w:vAlign w:val="bottom"/>
            <w:gridSpan w:val="2"/>
          </w:tcPr>
          <w:p>
            <w:pPr>
              <w:jc w:val="center"/>
              <w:ind w:right="971"/>
              <w:spacing w:after="0" w:line="178" w:lineRule="exact"/>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101.DEF</w:t>
            </w:r>
          </w:p>
        </w:tc>
        <w:tc>
          <w:tcPr>
            <w:tcW w:w="40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auto"/>
              </w:rPr>
              <w:t>Inline XBRL Taxonomy Extension Definition</w:t>
            </w:r>
          </w:p>
        </w:tc>
        <w:tc>
          <w:tcPr>
            <w:tcW w:w="2380" w:type="dxa"/>
            <w:vAlign w:val="bottom"/>
            <w:gridSpan w:val="2"/>
          </w:tcPr>
          <w:p>
            <w:pPr>
              <w:jc w:val="center"/>
              <w:ind w:right="971"/>
              <w:spacing w:after="0" w:line="182" w:lineRule="exact"/>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101.LAB</w:t>
            </w:r>
          </w:p>
        </w:tc>
        <w:tc>
          <w:tcPr>
            <w:tcW w:w="40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380" w:type="dxa"/>
            <w:vAlign w:val="bottom"/>
            <w:gridSpan w:val="2"/>
          </w:tcPr>
          <w:p>
            <w:pPr>
              <w:jc w:val="center"/>
              <w:ind w:right="971"/>
              <w:spacing w:after="0" w:line="182" w:lineRule="exact"/>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101.PRE</w:t>
            </w:r>
          </w:p>
        </w:tc>
        <w:tc>
          <w:tcPr>
            <w:tcW w:w="40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2380" w:type="dxa"/>
            <w:vAlign w:val="bottom"/>
            <w:gridSpan w:val="2"/>
          </w:tcPr>
          <w:p>
            <w:pPr>
              <w:jc w:val="center"/>
              <w:ind w:right="971"/>
              <w:spacing w:after="0" w:line="182" w:lineRule="exact"/>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15"/>
                <w:szCs w:val="15"/>
                <w:color w:val="auto"/>
              </w:rPr>
            </w:pPr>
          </w:p>
        </w:tc>
        <w:tc>
          <w:tcPr>
            <w:tcW w:w="40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auto"/>
              </w:rPr>
              <w:t>Cover Page Interactive Data File - the cover page</w:t>
            </w:r>
          </w:p>
        </w:tc>
        <w:tc>
          <w:tcPr>
            <w:tcW w:w="2380" w:type="dxa"/>
            <w:vAlign w:val="bottom"/>
            <w:gridSpan w:val="2"/>
          </w:tcPr>
          <w:p>
            <w:pPr>
              <w:jc w:val="center"/>
              <w:ind w:right="971"/>
              <w:spacing w:after="0" w:line="182" w:lineRule="exact"/>
              <w:rPr>
                <w:sz w:val="20"/>
                <w:szCs w:val="20"/>
                <w:color w:val="auto"/>
              </w:rPr>
            </w:pPr>
            <w:r>
              <w:rPr>
                <w:rFonts w:ascii="Times New Roman" w:cs="Times New Roman" w:eastAsia="Times New Roman" w:hAnsi="Times New Roman"/>
                <w:sz w:val="18"/>
                <w:szCs w:val="18"/>
                <w:color w:val="auto"/>
                <w:w w:val="91"/>
              </w:rPr>
              <w:t>X</w:t>
            </w:r>
          </w:p>
        </w:tc>
        <w:tc>
          <w:tcPr>
            <w:tcW w:w="1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60" w:type="dxa"/>
            <w:vAlign w:val="bottom"/>
            <w:gridSpan w:val="16"/>
          </w:tcPr>
          <w:p>
            <w:pPr>
              <w:spacing w:after="0" w:line="201" w:lineRule="exact"/>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260"/>
        <w:spacing w:after="0"/>
        <w:rPr>
          <w:sz w:val="20"/>
          <w:szCs w:val="20"/>
          <w:color w:val="auto"/>
        </w:rPr>
      </w:pPr>
      <w:r>
        <w:rPr>
          <w:rFonts w:ascii="Times New Roman" w:cs="Times New Roman" w:eastAsia="Times New Roman" w:hAnsi="Times New Roman"/>
          <w:sz w:val="18"/>
          <w:szCs w:val="18"/>
          <w:color w:val="auto"/>
        </w:rPr>
        <w:t>Instance document included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9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Fortrea Holdings Inc.</w:t>
      </w:r>
    </w:p>
    <w:p>
      <w:pPr>
        <w:spacing w:after="0" w:line="205"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34290</wp:posOffset>
            </wp:positionV>
            <wp:extent cx="23806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4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Name: Jill McConnell</w:t>
      </w:r>
    </w:p>
    <w:p>
      <w:pPr>
        <w:spacing w:after="0" w:line="5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4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(On behalf of the Registrant and as Principal</w:t>
      </w:r>
    </w:p>
    <w:p>
      <w:pPr>
        <w:spacing w:after="0" w:line="8"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8,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FORTREA HOLDINGS INC.</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2023 OMNIBUS INCENTIVE PLAN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GRANT OF RESTRICTED STOCK UNIT AWARD</w:t>
      </w:r>
    </w:p>
    <w:p>
      <w:pPr>
        <w:spacing w:after="0" w:line="27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21"/>
          <w:szCs w:val="21"/>
          <w:color w:val="auto"/>
        </w:rPr>
        <w:t>This Notice of Grant hereby evidences a grant of restricted stock units (the “Restricted Stock Units”) relating to shares of common stock, par value $0.001 per share, of Fortrea Holdings Inc., a Delaware corporation (the “Company”), to the Grantee named below, subject to the vesting and other conditions set forth below in this Notice of Grant. Additional terms and conditions of the grant are set forth in the attached Restricted Stock Unit Agreement (the “Agreement”) and in the Company’s 2023 Omnibus Incentive Plan (as may be amended or amended and restated from time to time) (the “Plan”).</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1120" w:type="dxa"/>
            <w:vAlign w:val="bottom"/>
          </w:tcPr>
          <w:p>
            <w:pPr>
              <w:spacing w:after="0"/>
              <w:rPr>
                <w:sz w:val="20"/>
                <w:szCs w:val="20"/>
                <w:color w:val="auto"/>
              </w:rPr>
            </w:pPr>
            <w:r>
              <w:rPr>
                <w:rFonts w:ascii="Times New Roman" w:cs="Times New Roman" w:eastAsia="Times New Roman" w:hAnsi="Times New Roman"/>
                <w:sz w:val="21"/>
                <w:szCs w:val="21"/>
                <w:color w:val="auto"/>
              </w:rPr>
              <w:t>Grant Date:</w:t>
            </w:r>
          </w:p>
        </w:tc>
        <w:tc>
          <w:tcPr>
            <w:tcW w:w="4580" w:type="dxa"/>
            <w:vAlign w:val="bottom"/>
            <w:tcBorders>
              <w:bottom w:val="single" w:sz="8" w:color="auto"/>
            </w:tcBorders>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-7620</wp:posOffset>
            </wp:positionV>
            <wp:extent cx="1024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4890" cy="8255"/>
                    </a:xfrm>
                    <a:prstGeom prst="rect">
                      <a:avLst/>
                    </a:prstGeom>
                    <a:noFill/>
                  </pic:spPr>
                </pic:pic>
              </a:graphicData>
            </a:graphic>
          </wp:anchor>
        </w:drawing>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24765</wp:posOffset>
            </wp:positionV>
            <wp:extent cx="38976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97630" cy="8255"/>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Number of shares of Stock underlying the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3630295</wp:posOffset>
            </wp:positionH>
            <wp:positionV relativeFrom="paragraph">
              <wp:posOffset>24765</wp:posOffset>
            </wp:positionV>
            <wp:extent cx="133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Purchase Price per share of Stock:  $[___]</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Vesting Schedule: Subject to alternative vesting terms in the Agreement, one-third (</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21"/>
          <w:szCs w:val="21"/>
          <w:color w:val="auto"/>
        </w:rPr>
        <w:t>/</w:t>
      </w:r>
      <w:r>
        <w:rPr>
          <w:rFonts w:ascii="Times New Roman" w:cs="Times New Roman" w:eastAsia="Times New Roman" w:hAnsi="Times New Roman"/>
          <w:sz w:val="27"/>
          <w:szCs w:val="27"/>
          <w:color w:val="auto"/>
          <w:vertAlign w:val="subscript"/>
        </w:rPr>
        <w:t>3</w:t>
      </w:r>
      <w:r>
        <w:rPr>
          <w:rFonts w:ascii="Times New Roman" w:cs="Times New Roman" w:eastAsia="Times New Roman" w:hAnsi="Times New Roman"/>
          <w:sz w:val="21"/>
          <w:szCs w:val="21"/>
          <w:color w:val="auto"/>
        </w:rPr>
        <w:t xml:space="preserve">) of the Restricted Stock Units will vest on each of the first 3 anniversaries of the Grant Date (each, a “Vesting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Grantee has not had a Separation from Service prior to each such Vesting Date. The number of Restricted Stock Units that vest on each Vesting Date will be rounded to the nearest whole number, and Grantee cannot vest in more than the number of Restricted Stock Units set forth above.</w:t>
      </w:r>
    </w:p>
    <w:p>
      <w:pPr>
        <w:spacing w:after="0" w:line="1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b w:val="1"/>
          <w:bCs w:val="1"/>
          <w:i w:val="1"/>
          <w:iCs w:val="1"/>
          <w:color w:val="auto"/>
        </w:rPr>
        <w:t>This grant of Restricted Stock Units is subject to all of the terms and conditions described in this Notice of Grant, the Agreement and the Plan, a copy of which has been provided to you. You acknowledge that you have carefully reviewed the Agreement and the Plan, and agree that the Plan will control in the event any provision of this Notice of Grant or the Agreement should appear inconsistent. Certain capitalized terms used in this Notice of Grant that are not defined herein are defined in the Agreement or the Plan, and have the meanings set forth in the Agreement or the Plan, as applicable.</w:t>
      </w:r>
    </w:p>
    <w:p>
      <w:pPr>
        <w:spacing w:after="0" w:line="141" w:lineRule="exact"/>
        <w:rPr>
          <w:sz w:val="20"/>
          <w:szCs w:val="20"/>
          <w:color w:val="auto"/>
        </w:rPr>
      </w:pPr>
    </w:p>
    <w:p>
      <w:pPr>
        <w:ind w:left="20"/>
        <w:spacing w:after="0"/>
        <w:tabs>
          <w:tab w:leader="none" w:pos="3020" w:val="left"/>
        </w:tabs>
        <w:rPr>
          <w:sz w:val="20"/>
          <w:szCs w:val="20"/>
          <w:color w:val="auto"/>
        </w:rPr>
      </w:pPr>
      <w:r>
        <w:rPr>
          <w:rFonts w:ascii="Times New Roman" w:cs="Times New Roman" w:eastAsia="Times New Roman" w:hAnsi="Times New Roman"/>
          <w:sz w:val="21"/>
          <w:szCs w:val="21"/>
          <w:color w:val="auto"/>
        </w:rPr>
        <w:t>Grantee:</w:t>
      </w:r>
      <w:r>
        <w:rPr>
          <w:sz w:val="20"/>
          <w:szCs w:val="20"/>
          <w:color w:val="auto"/>
        </w:rPr>
        <w:tab/>
      </w:r>
      <w:r>
        <w:rPr>
          <w:rFonts w:ascii="Times New Roman" w:cs="Times New Roman" w:eastAsia="Times New Roman" w:hAnsi="Times New Roman"/>
          <w:sz w:val="21"/>
          <w:szCs w:val="21"/>
          <w:color w:val="auto"/>
        </w:rPr>
        <w:t>Date:</w:t>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-151130</wp:posOffset>
            </wp:positionV>
            <wp:extent cx="267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77160" cy="8255"/>
                    </a:xfrm>
                    <a:prstGeom prst="rect">
                      <a:avLst/>
                    </a:prstGeom>
                    <a:noFill/>
                  </pic:spPr>
                </pic:pic>
              </a:graphicData>
            </a:graphic>
          </wp:anchor>
        </w:drawing>
      </w:r>
    </w:p>
    <w:p>
      <w:pPr>
        <w:spacing w:after="0" w:line="261" w:lineRule="exact"/>
        <w:rPr>
          <w:sz w:val="20"/>
          <w:szCs w:val="20"/>
          <w:color w:val="auto"/>
        </w:rPr>
      </w:pPr>
    </w:p>
    <w:p>
      <w:pPr>
        <w:ind w:left="20" w:right="5400"/>
        <w:spacing w:after="0" w:line="270" w:lineRule="auto"/>
        <w:rPr>
          <w:sz w:val="20"/>
          <w:szCs w:val="20"/>
          <w:color w:val="auto"/>
        </w:rPr>
      </w:pPr>
      <w:r>
        <w:rPr>
          <w:rFonts w:ascii="Times New Roman" w:cs="Times New Roman" w:eastAsia="Times New Roman" w:hAnsi="Times New Roman"/>
          <w:sz w:val="21"/>
          <w:szCs w:val="21"/>
          <w:color w:val="auto"/>
        </w:rPr>
        <w:t>Company: Date: , 20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5715</wp:posOffset>
            </wp:positionV>
            <wp:extent cx="409257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092575"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24765</wp:posOffset>
            </wp:positionV>
            <wp:extent cx="1092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Learn more at fortrea.com. ©2024 Fortrea Inc. All rights</w:t>
      </w:r>
    </w:p>
    <w:p>
      <w:pPr>
        <w:ind w:left="20"/>
        <w:spacing w:after="0" w:line="220" w:lineRule="auto"/>
        <w:tabs>
          <w:tab w:leader="none" w:pos="5440" w:val="left"/>
        </w:tabs>
        <w:rPr>
          <w:sz w:val="20"/>
          <w:szCs w:val="20"/>
          <w:color w:val="auto"/>
        </w:rPr>
      </w:pPr>
      <w:r>
        <w:rPr>
          <w:rFonts w:ascii="Times New Roman" w:cs="Times New Roman" w:eastAsia="Times New Roman" w:hAnsi="Times New Roman"/>
          <w:sz w:val="21"/>
          <w:szCs w:val="21"/>
          <w:color w:val="auto"/>
        </w:rPr>
        <w:t>reserved.</w:t>
      </w:r>
      <w:r>
        <w:rPr>
          <w:sz w:val="20"/>
          <w:szCs w:val="20"/>
          <w:color w:val="auto"/>
        </w:rPr>
        <w:tab/>
      </w: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17" w:right="339"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282"/>
        </w:trPr>
        <w:tc>
          <w:tcPr>
            <w:tcW w:w="2560" w:type="dxa"/>
            <w:vAlign w:val="bottom"/>
          </w:tcPr>
          <w:p>
            <w:pPr>
              <w:spacing w:after="0"/>
              <w:rPr>
                <w:sz w:val="24"/>
                <w:szCs w:val="24"/>
                <w:color w:val="auto"/>
              </w:rPr>
            </w:pPr>
          </w:p>
        </w:tc>
        <w:tc>
          <w:tcPr>
            <w:tcW w:w="8700" w:type="dxa"/>
            <w:vAlign w:val="bottom"/>
          </w:tcPr>
          <w:p>
            <w:pPr>
              <w:jc w:val="center"/>
              <w:ind w:right="2453"/>
              <w:spacing w:after="0"/>
              <w:rPr>
                <w:sz w:val="20"/>
                <w:szCs w:val="20"/>
                <w:color w:val="auto"/>
              </w:rPr>
            </w:pPr>
            <w:r>
              <w:rPr>
                <w:rFonts w:ascii="Times New Roman" w:cs="Times New Roman" w:eastAsia="Times New Roman" w:hAnsi="Times New Roman"/>
                <w:sz w:val="21"/>
                <w:szCs w:val="21"/>
                <w:b w:val="1"/>
                <w:bCs w:val="1"/>
                <w:color w:val="auto"/>
              </w:rPr>
              <w:t>FORTREA HOLDINGS INC.</w:t>
            </w:r>
          </w:p>
        </w:tc>
        <w:tc>
          <w:tcPr>
            <w:tcW w:w="0" w:type="dxa"/>
            <w:vAlign w:val="bottom"/>
          </w:tcPr>
          <w:p>
            <w:pPr>
              <w:spacing w:after="0"/>
              <w:rPr>
                <w:sz w:val="1"/>
                <w:szCs w:val="1"/>
                <w:color w:val="auto"/>
              </w:rPr>
            </w:pPr>
          </w:p>
        </w:tc>
      </w:tr>
      <w:tr>
        <w:trPr>
          <w:trHeight w:val="494"/>
        </w:trPr>
        <w:tc>
          <w:tcPr>
            <w:tcW w:w="2560" w:type="dxa"/>
            <w:vAlign w:val="bottom"/>
          </w:tcPr>
          <w:p>
            <w:pPr>
              <w:spacing w:after="0"/>
              <w:rPr>
                <w:sz w:val="24"/>
                <w:szCs w:val="24"/>
                <w:color w:val="auto"/>
              </w:rPr>
            </w:pPr>
          </w:p>
        </w:tc>
        <w:tc>
          <w:tcPr>
            <w:tcW w:w="8700" w:type="dxa"/>
            <w:vAlign w:val="bottom"/>
          </w:tcPr>
          <w:p>
            <w:pPr>
              <w:jc w:val="center"/>
              <w:ind w:right="2473"/>
              <w:spacing w:after="0"/>
              <w:rPr>
                <w:sz w:val="20"/>
                <w:szCs w:val="20"/>
                <w:color w:val="auto"/>
              </w:rPr>
            </w:pPr>
            <w:r>
              <w:rPr>
                <w:rFonts w:ascii="Times New Roman" w:cs="Times New Roman" w:eastAsia="Times New Roman" w:hAnsi="Times New Roman"/>
                <w:sz w:val="21"/>
                <w:szCs w:val="21"/>
                <w:b w:val="1"/>
                <w:bCs w:val="1"/>
                <w:color w:val="auto"/>
              </w:rPr>
              <w:t>2023 OMNIBUS INCENTIVE PLAN</w:t>
            </w:r>
          </w:p>
        </w:tc>
        <w:tc>
          <w:tcPr>
            <w:tcW w:w="0" w:type="dxa"/>
            <w:vAlign w:val="bottom"/>
          </w:tcPr>
          <w:p>
            <w:pPr>
              <w:spacing w:after="0"/>
              <w:rPr>
                <w:sz w:val="1"/>
                <w:szCs w:val="1"/>
                <w:color w:val="auto"/>
              </w:rPr>
            </w:pPr>
          </w:p>
        </w:tc>
      </w:tr>
      <w:tr>
        <w:trPr>
          <w:trHeight w:val="494"/>
        </w:trPr>
        <w:tc>
          <w:tcPr>
            <w:tcW w:w="2560" w:type="dxa"/>
            <w:vAlign w:val="bottom"/>
          </w:tcPr>
          <w:p>
            <w:pPr>
              <w:spacing w:after="0"/>
              <w:rPr>
                <w:sz w:val="24"/>
                <w:szCs w:val="24"/>
                <w:color w:val="auto"/>
              </w:rPr>
            </w:pPr>
          </w:p>
        </w:tc>
        <w:tc>
          <w:tcPr>
            <w:tcW w:w="8700" w:type="dxa"/>
            <w:vAlign w:val="bottom"/>
          </w:tcPr>
          <w:p>
            <w:pPr>
              <w:jc w:val="center"/>
              <w:ind w:right="2453"/>
              <w:spacing w:after="0"/>
              <w:rPr>
                <w:sz w:val="20"/>
                <w:szCs w:val="20"/>
                <w:color w:val="auto"/>
              </w:rPr>
            </w:pPr>
            <w:r>
              <w:rPr>
                <w:rFonts w:ascii="Times New Roman" w:cs="Times New Roman" w:eastAsia="Times New Roman" w:hAnsi="Times New Roman"/>
                <w:sz w:val="21"/>
                <w:szCs w:val="21"/>
                <w:b w:val="1"/>
                <w:bCs w:val="1"/>
                <w:color w:val="auto"/>
              </w:rPr>
              <w:t>RESTRICTED STOCK UNIT AGREEMENT</w:t>
            </w:r>
          </w:p>
        </w:tc>
        <w:tc>
          <w:tcPr>
            <w:tcW w:w="0" w:type="dxa"/>
            <w:vAlign w:val="bottom"/>
          </w:tcPr>
          <w:p>
            <w:pPr>
              <w:spacing w:after="0"/>
              <w:rPr>
                <w:sz w:val="1"/>
                <w:szCs w:val="1"/>
                <w:color w:val="auto"/>
              </w:rPr>
            </w:pPr>
          </w:p>
        </w:tc>
      </w:tr>
      <w:tr>
        <w:trPr>
          <w:trHeight w:val="510"/>
        </w:trPr>
        <w:tc>
          <w:tcPr>
            <w:tcW w:w="25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Restricted Stock Units</w:t>
            </w: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This Agreement and the Notice of Grant evidence an award of Restricted Stock Units in the number</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of shares of Stock set forth on the Notice of Grant, and subject to the vesting and other conditions</w:t>
            </w:r>
          </w:p>
        </w:tc>
        <w:tc>
          <w:tcPr>
            <w:tcW w:w="0" w:type="dxa"/>
            <w:vAlign w:val="bottom"/>
          </w:tcPr>
          <w:p>
            <w:pPr>
              <w:spacing w:after="0"/>
              <w:rPr>
                <w:sz w:val="1"/>
                <w:szCs w:val="1"/>
                <w:color w:val="auto"/>
              </w:rPr>
            </w:pP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described below, in the Plan and on the Notice of Grant (the “Restricted Stock Units”).</w:t>
            </w:r>
          </w:p>
        </w:tc>
        <w:tc>
          <w:tcPr>
            <w:tcW w:w="0" w:type="dxa"/>
            <w:vAlign w:val="bottom"/>
          </w:tcPr>
          <w:p>
            <w:pPr>
              <w:spacing w:after="0"/>
              <w:rPr>
                <w:sz w:val="1"/>
                <w:szCs w:val="1"/>
                <w:color w:val="auto"/>
              </w:rPr>
            </w:pP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The Purchase Price for the shares of Stock underlying the Restricted Stock Units is deemed paid by</w:t>
            </w:r>
          </w:p>
        </w:tc>
        <w:tc>
          <w:tcPr>
            <w:tcW w:w="0" w:type="dxa"/>
            <w:vAlign w:val="bottom"/>
          </w:tcPr>
          <w:p>
            <w:pPr>
              <w:spacing w:after="0"/>
              <w:rPr>
                <w:sz w:val="1"/>
                <w:szCs w:val="1"/>
                <w:color w:val="auto"/>
              </w:rPr>
            </w:pP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your prior services to the Company.</w:t>
            </w:r>
          </w:p>
        </w:tc>
        <w:tc>
          <w:tcPr>
            <w:tcW w:w="0" w:type="dxa"/>
            <w:vAlign w:val="bottom"/>
          </w:tcPr>
          <w:p>
            <w:pPr>
              <w:spacing w:after="0"/>
              <w:rPr>
                <w:sz w:val="1"/>
                <w:szCs w:val="1"/>
                <w:color w:val="auto"/>
              </w:rPr>
            </w:pPr>
          </w:p>
        </w:tc>
      </w:tr>
      <w:tr>
        <w:trPr>
          <w:trHeight w:val="243"/>
        </w:trPr>
        <w:tc>
          <w:tcPr>
            <w:tcW w:w="2560" w:type="dxa"/>
            <w:vAlign w:val="bottom"/>
            <w:tcBorders>
              <w:left w:val="single" w:sz="8" w:color="auto"/>
              <w:bottom w:val="single" w:sz="8" w:color="auto"/>
              <w:right w:val="single" w:sz="8" w:color="auto"/>
            </w:tcBorders>
          </w:tcPr>
          <w:p>
            <w:pPr>
              <w:spacing w:after="0"/>
              <w:rPr>
                <w:sz w:val="21"/>
                <w:szCs w:val="21"/>
                <w:color w:val="auto"/>
              </w:rPr>
            </w:pPr>
          </w:p>
        </w:tc>
        <w:tc>
          <w:tcPr>
            <w:tcW w:w="8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60" w:type="dxa"/>
            <w:vAlign w:val="bottom"/>
            <w:tcBorders>
              <w:left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1"/>
                <w:szCs w:val="21"/>
                <w:b w:val="1"/>
                <w:bCs w:val="1"/>
                <w:color w:val="auto"/>
              </w:rPr>
              <w:t>Transfer of Restricted</w:t>
            </w:r>
          </w:p>
        </w:tc>
        <w:tc>
          <w:tcPr>
            <w:tcW w:w="8700" w:type="dxa"/>
            <w:vAlign w:val="bottom"/>
            <w:tcBorders>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1"/>
                <w:szCs w:val="21"/>
                <w:color w:val="auto"/>
              </w:rPr>
              <w:t>To the extent not yet vested, your Restricted Stock Units may not be sold, assigned, transferred,</w:t>
            </w:r>
          </w:p>
        </w:tc>
        <w:tc>
          <w:tcPr>
            <w:tcW w:w="0" w:type="dxa"/>
            <w:vAlign w:val="bottom"/>
          </w:tcPr>
          <w:p>
            <w:pPr>
              <w:spacing w:after="0"/>
              <w:rPr>
                <w:sz w:val="1"/>
                <w:szCs w:val="1"/>
                <w:color w:val="auto"/>
              </w:rPr>
            </w:pPr>
          </w:p>
        </w:tc>
      </w:tr>
      <w:tr>
        <w:trPr>
          <w:trHeight w:val="293"/>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Stock Units</w:t>
            </w: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pledged or otherwise encumbered or disposed of, whether by operation of law or otherwise, nor</w:t>
            </w:r>
          </w:p>
        </w:tc>
        <w:tc>
          <w:tcPr>
            <w:tcW w:w="0" w:type="dxa"/>
            <w:vAlign w:val="bottom"/>
          </w:tcPr>
          <w:p>
            <w:pPr>
              <w:spacing w:after="0"/>
              <w:rPr>
                <w:sz w:val="1"/>
                <w:szCs w:val="1"/>
                <w:color w:val="auto"/>
              </w:rPr>
            </w:pP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may your Restricted Stock Units be made subject to execution, attachment or similar process.</w:t>
            </w:r>
          </w:p>
        </w:tc>
        <w:tc>
          <w:tcPr>
            <w:tcW w:w="0" w:type="dxa"/>
            <w:vAlign w:val="bottom"/>
          </w:tcPr>
          <w:p>
            <w:pPr>
              <w:spacing w:after="0"/>
              <w:rPr>
                <w:sz w:val="1"/>
                <w:szCs w:val="1"/>
                <w:color w:val="auto"/>
              </w:rPr>
            </w:pPr>
          </w:p>
        </w:tc>
      </w:tr>
      <w:tr>
        <w:trPr>
          <w:trHeight w:val="243"/>
        </w:trPr>
        <w:tc>
          <w:tcPr>
            <w:tcW w:w="2560" w:type="dxa"/>
            <w:vAlign w:val="bottom"/>
            <w:tcBorders>
              <w:left w:val="single" w:sz="8" w:color="auto"/>
              <w:bottom w:val="single" w:sz="8" w:color="auto"/>
              <w:right w:val="single" w:sz="8" w:color="auto"/>
            </w:tcBorders>
          </w:tcPr>
          <w:p>
            <w:pPr>
              <w:spacing w:after="0"/>
              <w:rPr>
                <w:sz w:val="21"/>
                <w:szCs w:val="21"/>
                <w:color w:val="auto"/>
              </w:rPr>
            </w:pPr>
          </w:p>
        </w:tc>
        <w:tc>
          <w:tcPr>
            <w:tcW w:w="8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60" w:type="dxa"/>
            <w:vAlign w:val="bottom"/>
            <w:tcBorders>
              <w:left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1"/>
                <w:szCs w:val="21"/>
                <w:b w:val="1"/>
                <w:bCs w:val="1"/>
                <w:color w:val="auto"/>
              </w:rPr>
              <w:t>Standard Vesting</w:t>
            </w:r>
          </w:p>
        </w:tc>
        <w:tc>
          <w:tcPr>
            <w:tcW w:w="8700" w:type="dxa"/>
            <w:vAlign w:val="bottom"/>
            <w:tcBorders>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1"/>
                <w:szCs w:val="21"/>
                <w:color w:val="auto"/>
              </w:rPr>
              <w:t>Your Restricted Stock Units shall vest in accordance with the vesting schedule shown on the Notice</w:t>
            </w:r>
          </w:p>
        </w:tc>
        <w:tc>
          <w:tcPr>
            <w:tcW w:w="0" w:type="dxa"/>
            <w:vAlign w:val="bottom"/>
          </w:tcPr>
          <w:p>
            <w:pPr>
              <w:spacing w:after="0"/>
              <w:rPr>
                <w:sz w:val="1"/>
                <w:szCs w:val="1"/>
                <w:color w:val="auto"/>
              </w:rPr>
            </w:pPr>
          </w:p>
        </w:tc>
      </w:tr>
      <w:tr>
        <w:trPr>
          <w:trHeight w:val="293"/>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Schedule</w:t>
            </w: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of Grant so long as you have not had a Separation from Service prior to the Vesting Dates set forth</w:t>
            </w:r>
          </w:p>
        </w:tc>
        <w:tc>
          <w:tcPr>
            <w:tcW w:w="0" w:type="dxa"/>
            <w:vAlign w:val="bottom"/>
          </w:tcPr>
          <w:p>
            <w:pPr>
              <w:spacing w:after="0"/>
              <w:rPr>
                <w:sz w:val="1"/>
                <w:szCs w:val="1"/>
                <w:color w:val="auto"/>
              </w:rPr>
            </w:pP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on the Notice of Grant.</w:t>
            </w:r>
          </w:p>
        </w:tc>
        <w:tc>
          <w:tcPr>
            <w:tcW w:w="0" w:type="dxa"/>
            <w:vAlign w:val="bottom"/>
          </w:tcPr>
          <w:p>
            <w:pPr>
              <w:spacing w:after="0"/>
              <w:rPr>
                <w:sz w:val="1"/>
                <w:szCs w:val="1"/>
                <w:color w:val="auto"/>
              </w:rPr>
            </w:pP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No additional Restricted Stock Units will vest after your Separation from Service for any reason</w:t>
            </w:r>
          </w:p>
        </w:tc>
        <w:tc>
          <w:tcPr>
            <w:tcW w:w="0" w:type="dxa"/>
            <w:vAlign w:val="bottom"/>
          </w:tcPr>
          <w:p>
            <w:pPr>
              <w:spacing w:after="0"/>
              <w:rPr>
                <w:sz w:val="1"/>
                <w:szCs w:val="1"/>
                <w:color w:val="auto"/>
              </w:rPr>
            </w:pP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except as set forth in this Agreement.</w:t>
            </w:r>
          </w:p>
        </w:tc>
        <w:tc>
          <w:tcPr>
            <w:tcW w:w="0" w:type="dxa"/>
            <w:vAlign w:val="bottom"/>
          </w:tcPr>
          <w:p>
            <w:pPr>
              <w:spacing w:after="0"/>
              <w:rPr>
                <w:sz w:val="1"/>
                <w:szCs w:val="1"/>
                <w:color w:val="auto"/>
              </w:rPr>
            </w:pPr>
          </w:p>
        </w:tc>
      </w:tr>
      <w:tr>
        <w:trPr>
          <w:trHeight w:val="243"/>
        </w:trPr>
        <w:tc>
          <w:tcPr>
            <w:tcW w:w="2560" w:type="dxa"/>
            <w:vAlign w:val="bottom"/>
            <w:tcBorders>
              <w:left w:val="single" w:sz="8" w:color="auto"/>
              <w:bottom w:val="single" w:sz="8" w:color="auto"/>
              <w:right w:val="single" w:sz="8" w:color="auto"/>
            </w:tcBorders>
          </w:tcPr>
          <w:p>
            <w:pPr>
              <w:spacing w:after="0"/>
              <w:rPr>
                <w:sz w:val="21"/>
                <w:szCs w:val="21"/>
                <w:color w:val="auto"/>
              </w:rPr>
            </w:pPr>
          </w:p>
        </w:tc>
        <w:tc>
          <w:tcPr>
            <w:tcW w:w="87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560" w:type="dxa"/>
            <w:vAlign w:val="bottom"/>
            <w:tcBorders>
              <w:left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1"/>
                <w:szCs w:val="21"/>
                <w:b w:val="1"/>
                <w:bCs w:val="1"/>
                <w:color w:val="auto"/>
              </w:rPr>
              <w:t>Death, Disability, or</w:t>
            </w:r>
          </w:p>
        </w:tc>
        <w:tc>
          <w:tcPr>
            <w:tcW w:w="8700" w:type="dxa"/>
            <w:vAlign w:val="bottom"/>
            <w:tcBorders>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1"/>
                <w:szCs w:val="21"/>
                <w:color w:val="auto"/>
              </w:rPr>
              <w:t>Notwithstanding the vesting schedule set forth under “Standard Vesting Schedule” above, if you</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Specified Terminations</w:t>
            </w: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have (a) a Separation from Service as a result of your (i) death or (ii) Disability, or (b) a Separation</w:t>
            </w:r>
          </w:p>
        </w:tc>
        <w:tc>
          <w:tcPr>
            <w:tcW w:w="0" w:type="dxa"/>
            <w:vAlign w:val="bottom"/>
          </w:tcPr>
          <w:p>
            <w:pPr>
              <w:spacing w:after="0"/>
              <w:rPr>
                <w:sz w:val="1"/>
                <w:szCs w:val="1"/>
                <w:color w:val="auto"/>
              </w:rPr>
            </w:pPr>
          </w:p>
        </w:tc>
      </w:tr>
      <w:tr>
        <w:trPr>
          <w:trHeight w:val="147"/>
        </w:trPr>
        <w:tc>
          <w:tcPr>
            <w:tcW w:w="2560" w:type="dxa"/>
            <w:vAlign w:val="bottom"/>
            <w:tcBorders>
              <w:left w:val="single" w:sz="8" w:color="auto"/>
              <w:right w:val="single" w:sz="8" w:color="auto"/>
            </w:tcBorders>
          </w:tcPr>
          <w:p>
            <w:pPr>
              <w:ind w:left="100"/>
              <w:spacing w:after="0" w:line="147" w:lineRule="exact"/>
              <w:rPr>
                <w:sz w:val="20"/>
                <w:szCs w:val="20"/>
                <w:color w:val="auto"/>
              </w:rPr>
            </w:pPr>
            <w:r>
              <w:rPr>
                <w:rFonts w:ascii="Times New Roman" w:cs="Times New Roman" w:eastAsia="Times New Roman" w:hAnsi="Times New Roman"/>
                <w:sz w:val="17"/>
                <w:szCs w:val="17"/>
                <w:b w:val="1"/>
                <w:bCs w:val="1"/>
                <w:color w:val="auto"/>
              </w:rPr>
              <w:t>Following a Change in</w:t>
            </w:r>
          </w:p>
        </w:tc>
        <w:tc>
          <w:tcPr>
            <w:tcW w:w="87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1"/>
                <w:szCs w:val="21"/>
                <w:color w:val="auto"/>
              </w:rPr>
              <w:t>from Service for Good Reason (as defined below) or by the Company without Cause (as defined</w:t>
            </w:r>
          </w:p>
        </w:tc>
        <w:tc>
          <w:tcPr>
            <w:tcW w:w="0" w:type="dxa"/>
            <w:vAlign w:val="bottom"/>
          </w:tcPr>
          <w:p>
            <w:pPr>
              <w:spacing w:after="0"/>
              <w:rPr>
                <w:sz w:val="1"/>
                <w:szCs w:val="1"/>
                <w:color w:val="auto"/>
              </w:rPr>
            </w:pPr>
          </w:p>
        </w:tc>
      </w:tr>
      <w:tr>
        <w:trPr>
          <w:trHeight w:val="146"/>
        </w:trPr>
        <w:tc>
          <w:tcPr>
            <w:tcW w:w="256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b w:val="1"/>
                <w:bCs w:val="1"/>
                <w:color w:val="auto"/>
              </w:rPr>
              <w:t>Control</w:t>
            </w:r>
          </w:p>
        </w:tc>
        <w:tc>
          <w:tcPr>
            <w:tcW w:w="87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560" w:type="dxa"/>
            <w:vAlign w:val="bottom"/>
            <w:tcBorders>
              <w:left w:val="single" w:sz="8" w:color="auto"/>
              <w:right w:val="single" w:sz="8" w:color="auto"/>
            </w:tcBorders>
            <w:vMerge w:val="continue"/>
          </w:tcPr>
          <w:p>
            <w:pPr>
              <w:spacing w:after="0"/>
              <w:rPr>
                <w:sz w:val="11"/>
                <w:szCs w:val="11"/>
                <w:color w:val="auto"/>
              </w:rPr>
            </w:pPr>
          </w:p>
        </w:tc>
        <w:tc>
          <w:tcPr>
            <w:tcW w:w="87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1"/>
                <w:szCs w:val="21"/>
                <w:color w:val="auto"/>
              </w:rPr>
              <w:t>below), in each case within 24 months after the consummation of a Change in Control, 100% of the</w:t>
            </w:r>
          </w:p>
        </w:tc>
        <w:tc>
          <w:tcPr>
            <w:tcW w:w="0" w:type="dxa"/>
            <w:vAlign w:val="bottom"/>
          </w:tcPr>
          <w:p>
            <w:pPr>
              <w:spacing w:after="0"/>
              <w:rPr>
                <w:sz w:val="1"/>
                <w:szCs w:val="1"/>
                <w:color w:val="auto"/>
              </w:rPr>
            </w:pPr>
          </w:p>
        </w:tc>
      </w:tr>
      <w:tr>
        <w:trPr>
          <w:trHeight w:val="117"/>
        </w:trPr>
        <w:tc>
          <w:tcPr>
            <w:tcW w:w="2560" w:type="dxa"/>
            <w:vAlign w:val="bottom"/>
            <w:tcBorders>
              <w:left w:val="single" w:sz="8" w:color="auto"/>
              <w:right w:val="single" w:sz="8" w:color="auto"/>
            </w:tcBorders>
          </w:tcPr>
          <w:p>
            <w:pPr>
              <w:spacing w:after="0"/>
              <w:rPr>
                <w:sz w:val="10"/>
                <w:szCs w:val="10"/>
                <w:color w:val="auto"/>
              </w:rPr>
            </w:pPr>
          </w:p>
        </w:tc>
        <w:tc>
          <w:tcPr>
            <w:tcW w:w="87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Restricted Stock Units that remain unvested on such separation date will vest on the date of your</w:t>
            </w:r>
          </w:p>
        </w:tc>
        <w:tc>
          <w:tcPr>
            <w:tcW w:w="0" w:type="dxa"/>
            <w:vAlign w:val="bottom"/>
          </w:tcPr>
          <w:p>
            <w:pPr>
              <w:spacing w:after="0"/>
              <w:rPr>
                <w:sz w:val="1"/>
                <w:szCs w:val="1"/>
                <w:color w:val="auto"/>
              </w:rPr>
            </w:pP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Separation from Service.</w:t>
            </w:r>
          </w:p>
        </w:tc>
        <w:tc>
          <w:tcPr>
            <w:tcW w:w="0" w:type="dxa"/>
            <w:vAlign w:val="bottom"/>
          </w:tcPr>
          <w:p>
            <w:pPr>
              <w:spacing w:after="0"/>
              <w:rPr>
                <w:sz w:val="1"/>
                <w:szCs w:val="1"/>
                <w:color w:val="auto"/>
              </w:rPr>
            </w:pP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8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Learn more at fortrea.com. ©2024 Fortrea Inc. All rights</w:t>
      </w:r>
    </w:p>
    <w:p>
      <w:pPr>
        <w:ind w:left="20"/>
        <w:spacing w:after="0" w:line="220" w:lineRule="auto"/>
        <w:tabs>
          <w:tab w:leader="none" w:pos="5440" w:val="left"/>
        </w:tabs>
        <w:rPr>
          <w:sz w:val="20"/>
          <w:szCs w:val="20"/>
          <w:color w:val="auto"/>
        </w:rPr>
      </w:pPr>
      <w:r>
        <w:rPr>
          <w:rFonts w:ascii="Times New Roman" w:cs="Times New Roman" w:eastAsia="Times New Roman" w:hAnsi="Times New Roman"/>
          <w:sz w:val="21"/>
          <w:szCs w:val="21"/>
          <w:color w:val="auto"/>
        </w:rPr>
        <w:t>reserved.</w:t>
      </w:r>
      <w:r>
        <w:rPr>
          <w:sz w:val="20"/>
          <w:szCs w:val="20"/>
          <w:color w:val="auto"/>
        </w:rPr>
        <w:tab/>
      </w:r>
      <w:r>
        <w:rPr>
          <w:rFonts w:ascii="Times New Roman" w:cs="Times New Roman" w:eastAsia="Times New Roman" w:hAnsi="Times New Roman"/>
          <w:sz w:val="21"/>
          <w:szCs w:val="21"/>
          <w:color w:val="auto"/>
        </w:rPr>
        <w:t>-2-</w:t>
      </w:r>
    </w:p>
    <w:p>
      <w:pPr>
        <w:sectPr>
          <w:pgSz w:w="11900" w:h="16838" w:orient="portrait"/>
          <w:cols w:equalWidth="0" w:num="1">
            <w:col w:w="11260"/>
          </w:cols>
          <w:pgMar w:left="320" w:top="1296" w:right="319" w:bottom="1440" w:gutter="0" w:footer="0" w:header="0"/>
        </w:sectPr>
      </w:pPr>
    </w:p>
    <w:bookmarkStart w:id="52" w:name="page53"/>
    <w:bookmarkEnd w:id="52"/>
    <w:p>
      <w:pPr>
        <w:ind w:left="80"/>
        <w:spacing w:after="0" w:line="229" w:lineRule="auto"/>
        <w:rPr>
          <w:sz w:val="20"/>
          <w:szCs w:val="20"/>
          <w:color w:val="auto"/>
        </w:rPr>
      </w:pPr>
      <w:r>
        <w:rPr>
          <w:rFonts w:ascii="Times New Roman" w:cs="Times New Roman" w:eastAsia="Times New Roman" w:hAnsi="Times New Roman"/>
          <w:sz w:val="21"/>
          <w:szCs w:val="21"/>
          <w:b w:val="1"/>
          <w:bCs w:val="1"/>
          <w:color w:val="auto"/>
        </w:rPr>
        <w:t>Separation Without Cause or for Good Reason not Related to a Change in Control</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both"/>
        <w:ind w:hanging="15"/>
        <w:spacing w:after="0" w:line="259" w:lineRule="auto"/>
        <w:rPr>
          <w:sz w:val="20"/>
          <w:szCs w:val="20"/>
          <w:color w:val="auto"/>
        </w:rPr>
      </w:pPr>
      <w:r>
        <w:rPr>
          <w:rFonts w:ascii="Times New Roman" w:cs="Times New Roman" w:eastAsia="Times New Roman" w:hAnsi="Times New Roman"/>
          <w:sz w:val="21"/>
          <w:szCs w:val="21"/>
          <w:color w:val="auto"/>
        </w:rPr>
        <w:t>Notwithstanding the vesting schedules set forth under “Standard Vesting Schedule” and “Death, Disability, or Specified Terminations Following a Change in Control” above, if you have an involuntary Separation from Service without Cause (as defined below), or you have incurred a voluntary Separation from Service for Good Reason (as defined below), in each case, on or after 6 months following the Grant Date but not within 24 months after a Change in Control, the Restricted Stock Units that were scheduled to vest in accordance with the Standard Vesting Schedule within 12 months immediately following said Separation from Service will vest upon the occurrence of such Separation from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-1658620</wp:posOffset>
            </wp:positionH>
            <wp:positionV relativeFrom="paragraph">
              <wp:posOffset>-1339850</wp:posOffset>
            </wp:positionV>
            <wp:extent cx="7142480" cy="6151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2480" cy="615124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this Agreement:</w:t>
      </w:r>
    </w:p>
    <w:p>
      <w:pPr>
        <w:spacing w:after="0" w:line="226" w:lineRule="exact"/>
        <w:rPr>
          <w:sz w:val="20"/>
          <w:szCs w:val="20"/>
          <w:color w:val="auto"/>
        </w:rPr>
      </w:pPr>
    </w:p>
    <w:p>
      <w:pPr>
        <w:jc w:val="both"/>
        <w:ind w:left="320" w:firstLine="9"/>
        <w:spacing w:after="0" w:line="256" w:lineRule="auto"/>
        <w:tabs>
          <w:tab w:leader="none" w:pos="553"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“Cause” means the following events: (i) an intentional act of fraud, embezzlement, theft, or any other material violation of law in connection with your duties or in the course of your employment with the Company; (ii) your conviction of or entering of a plea of nolo contendere to a felony; (iii) your alcohol intoxication on the job or current illegal drug use; (iv) your intentional wrongful damage to tangible assets of the Company; (v) your intentional wrongful disclosure of material confidential information of the Company and/or material breach of the provisions of the Company’s Confidentiality/Non-Competition/Non-Solicitation Agreement or any other noncompetition or confidentiality provisions covering your activities; (vi) your knowing and intentional breach of any employment policy of the Company, including but not limited to the Code of Conduct and Ethics; (vii) gross neglect or gross misconduct, disloyalty, dishonesty, or breach of trust, or failure in the performance of your duties that is not corrected to the Company’s satisfaction within 30 days of your receiving notice thereof,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period to cure any issues is reasonable and/or feasible; or (viii) your misconduct that causes reputational harm to the Company.</w:t>
      </w:r>
    </w:p>
    <w:p>
      <w:pPr>
        <w:spacing w:after="0" w:line="76" w:lineRule="exact"/>
        <w:rPr>
          <w:rFonts w:ascii="Times New Roman" w:cs="Times New Roman" w:eastAsia="Times New Roman" w:hAnsi="Times New Roman"/>
          <w:sz w:val="21"/>
          <w:szCs w:val="21"/>
          <w:color w:val="auto"/>
        </w:rPr>
      </w:pPr>
    </w:p>
    <w:p>
      <w:pPr>
        <w:jc w:val="both"/>
        <w:ind w:left="320" w:firstLine="9"/>
        <w:spacing w:after="0" w:line="258" w:lineRule="auto"/>
        <w:tabs>
          <w:tab w:leader="none" w:pos="563"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“Good Reason” means, without your consent, (i) a material reduction in your base salary or target bonus as a percentage of your base salary; (ii) relocation to an office location more than 50 miles from your current office; or (iii) a material reduction in job responsibilities and duties or transfer to another job;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Good Reason shall only be deemed to have occurred if (x) no later than 30 days after you learn of the circumstances constituting Good Reason, you provide written notice to the Company detailing the events that constitute Good Reason and your decision to terminate your employment with the Company, (y) the Company fails to cure such circumstances within 30 days after receipt of said notice (“Cure Period”), and</w:t>
      </w:r>
    </w:p>
    <w:p>
      <w:pPr>
        <w:spacing w:after="0" w:line="2" w:lineRule="exact"/>
        <w:rPr>
          <w:rFonts w:ascii="Times New Roman" w:cs="Times New Roman" w:eastAsia="Times New Roman" w:hAnsi="Times New Roman"/>
          <w:sz w:val="21"/>
          <w:szCs w:val="21"/>
          <w:color w:val="auto"/>
        </w:rPr>
      </w:pPr>
    </w:p>
    <w:p>
      <w:pPr>
        <w:jc w:val="both"/>
        <w:ind w:left="320"/>
        <w:spacing w:after="0" w:line="25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(z) you actually have a Separation from Service within 30 days after the end of said Cure Period. Notwithstanding the foregoing, “Good Reason” shall not include a reduction in your base salary or target bonus where such reduction is pursuant to a Company-wide reduction of base salaries and/or target bonuses.</w:t>
      </w:r>
    </w:p>
    <w:p>
      <w:pPr>
        <w:spacing w:after="0" w:line="200" w:lineRule="exact"/>
        <w:rPr>
          <w:sz w:val="20"/>
          <w:szCs w:val="20"/>
          <w:color w:val="auto"/>
        </w:rPr>
      </w:pPr>
    </w:p>
    <w:p>
      <w:pPr>
        <w:sectPr>
          <w:pgSz w:w="11900" w:h="16838" w:orient="portrait"/>
          <w:cols w:equalWidth="0" w:num="2">
            <w:col w:w="2480" w:space="120"/>
            <w:col w:w="8540"/>
          </w:cols>
          <w:pgMar w:left="340" w:top="1336" w:right="419" w:bottom="1440" w:gutter="0" w:footer="0" w:header="0"/>
        </w:sect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Learn more at fortrea.com. ©2024 Fortrea Inc. All rights</w:t>
      </w:r>
    </w:p>
    <w:p>
      <w:pPr>
        <w:spacing w:after="0" w:line="231" w:lineRule="auto"/>
        <w:tabs>
          <w:tab w:leader="none" w:pos="5420" w:val="left"/>
        </w:tabs>
        <w:rPr>
          <w:sz w:val="20"/>
          <w:szCs w:val="20"/>
          <w:color w:val="auto"/>
        </w:rPr>
      </w:pPr>
      <w:r>
        <w:rPr>
          <w:rFonts w:ascii="Times New Roman" w:cs="Times New Roman" w:eastAsia="Times New Roman" w:hAnsi="Times New Roman"/>
          <w:sz w:val="20"/>
          <w:szCs w:val="20"/>
          <w:color w:val="auto"/>
        </w:rPr>
        <w:t>reserved.</w:t>
      </w:r>
      <w:r>
        <w:rPr>
          <w:sz w:val="20"/>
          <w:szCs w:val="20"/>
          <w:color w:val="auto"/>
        </w:rPr>
        <w:tab/>
      </w:r>
      <w:r>
        <w:rPr>
          <w:rFonts w:ascii="Times New Roman" w:cs="Times New Roman" w:eastAsia="Times New Roman" w:hAnsi="Times New Roman"/>
          <w:sz w:val="20"/>
          <w:szCs w:val="20"/>
          <w:color w:val="auto"/>
        </w:rPr>
        <w:t>-3-</w:t>
      </w:r>
    </w:p>
    <w:p>
      <w:pPr>
        <w:sectPr>
          <w:pgSz w:w="11900" w:h="16838" w:orient="portrait"/>
          <w:cols w:equalWidth="0" w:num="1">
            <w:col w:w="11140"/>
          </w:cols>
          <w:pgMar w:left="340" w:top="1336" w:right="419" w:bottom="1440" w:gutter="0" w:footer="0" w:header="0"/>
          <w:type w:val="continuous"/>
        </w:sectPr>
      </w:pPr>
    </w:p>
    <w:bookmarkStart w:id="53" w:name="page54"/>
    <w:bookmarkEnd w:id="53"/>
    <w:tbl>
      <w:tblPr>
        <w:tblLayout w:type="fixed"/>
        <w:tblInd w:w="10" w:type="dxa"/>
        <w:tblCellMar>
          <w:top w:w="0" w:type="dxa"/>
          <w:left w:w="0" w:type="dxa"/>
          <w:bottom w:w="0" w:type="dxa"/>
          <w:right w:w="0" w:type="dxa"/>
        </w:tblCellMar>
      </w:tblPr>
      <w:tr>
        <w:trPr>
          <w:trHeight w:val="240"/>
        </w:trPr>
        <w:tc>
          <w:tcPr>
            <w:tcW w:w="2560" w:type="dxa"/>
            <w:vAlign w:val="bottom"/>
            <w:tcBorders>
              <w:top w:val="single" w:sz="8" w:color="auto"/>
              <w:left w:val="single" w:sz="8" w:color="auto"/>
              <w:right w:val="single" w:sz="8" w:color="auto"/>
            </w:tcBorders>
          </w:tcPr>
          <w:p>
            <w:pPr>
              <w:ind w:left="100"/>
              <w:spacing w:after="0" w:line="240" w:lineRule="exact"/>
              <w:rPr>
                <w:sz w:val="20"/>
                <w:szCs w:val="20"/>
                <w:color w:val="auto"/>
              </w:rPr>
            </w:pPr>
            <w:r>
              <w:rPr>
                <w:rFonts w:ascii="Times New Roman" w:cs="Times New Roman" w:eastAsia="Times New Roman" w:hAnsi="Times New Roman"/>
                <w:sz w:val="21"/>
                <w:szCs w:val="21"/>
                <w:b w:val="1"/>
                <w:bCs w:val="1"/>
                <w:color w:val="auto"/>
              </w:rPr>
              <w:t>Retirement at Age 65 Plus</w:t>
            </w:r>
          </w:p>
        </w:tc>
        <w:tc>
          <w:tcPr>
            <w:tcW w:w="60" w:type="dxa"/>
            <w:vAlign w:val="bottom"/>
            <w:tcBorders>
              <w:top w:val="single" w:sz="8" w:color="auto"/>
            </w:tcBorders>
          </w:tcPr>
          <w:p>
            <w:pPr>
              <w:spacing w:after="0"/>
              <w:rPr>
                <w:sz w:val="20"/>
                <w:szCs w:val="20"/>
                <w:color w:val="auto"/>
              </w:rPr>
            </w:pPr>
          </w:p>
        </w:tc>
        <w:tc>
          <w:tcPr>
            <w:tcW w:w="8640" w:type="dxa"/>
            <w:vAlign w:val="bottom"/>
            <w:tcBorders>
              <w:top w:val="single" w:sz="8" w:color="auto"/>
              <w:right w:val="single" w:sz="8" w:color="auto"/>
            </w:tcBorders>
            <w:gridSpan w:val="5"/>
          </w:tcPr>
          <w:p>
            <w:pPr>
              <w:jc w:val="right"/>
              <w:ind w:right="100"/>
              <w:spacing w:after="0" w:line="240" w:lineRule="exact"/>
              <w:rPr>
                <w:sz w:val="20"/>
                <w:szCs w:val="20"/>
                <w:color w:val="auto"/>
              </w:rPr>
            </w:pPr>
            <w:r>
              <w:rPr>
                <w:rFonts w:ascii="Times New Roman" w:cs="Times New Roman" w:eastAsia="Times New Roman" w:hAnsi="Times New Roman"/>
                <w:sz w:val="21"/>
                <w:szCs w:val="21"/>
                <w:color w:val="auto"/>
              </w:rPr>
              <w:t>Notwithstanding the vesting schedule set forth under “Standard Vesting Schedule” above, if you</w:t>
            </w:r>
          </w:p>
        </w:tc>
      </w:tr>
      <w:tr>
        <w:trPr>
          <w:trHeight w:val="293"/>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5 for U.S. Employees</w:t>
            </w:r>
          </w:p>
        </w:tc>
        <w:tc>
          <w:tcPr>
            <w:tcW w:w="60" w:type="dxa"/>
            <w:vAlign w:val="bottom"/>
          </w:tcPr>
          <w:p>
            <w:pPr>
              <w:spacing w:after="0"/>
              <w:rPr>
                <w:sz w:val="24"/>
                <w:szCs w:val="24"/>
                <w:color w:val="auto"/>
              </w:rPr>
            </w:pPr>
          </w:p>
        </w:tc>
        <w:tc>
          <w:tcPr>
            <w:tcW w:w="8640" w:type="dxa"/>
            <w:vAlign w:val="bottom"/>
            <w:tcBorders>
              <w:right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work in the United States and you have a Separation from Service, other than a Separation from</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40" w:type="dxa"/>
            <w:vAlign w:val="bottom"/>
            <w:tcBorders>
              <w:right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Service by the Company for Cause, at a time when you have attained age 65 and completed 5 full</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21"/>
                <w:szCs w:val="21"/>
                <w:color w:val="auto"/>
              </w:rPr>
              <w:t>years of Service (“Retirement at Age 65 Plus 5”) and</w:t>
            </w: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a)</w:t>
            </w:r>
          </w:p>
        </w:tc>
        <w:tc>
          <w:tcPr>
            <w:tcW w:w="758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1"/>
                <w:szCs w:val="21"/>
                <w:color w:val="auto"/>
              </w:rPr>
              <w:t>Your Separation from Service occurs on or after 6 months following the Grant Date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58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1"/>
                <w:szCs w:val="21"/>
                <w:color w:val="auto"/>
              </w:rPr>
              <w:t>but before 9 months following the Grant Date, the Restricted Stock Units that were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58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1"/>
                <w:szCs w:val="21"/>
                <w:color w:val="auto"/>
              </w:rPr>
              <w:t>scheduled to vest in accordance with the Standard Vesting Schedule within 12</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58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1"/>
                <w:szCs w:val="21"/>
                <w:color w:val="auto"/>
              </w:rPr>
              <w:t>months immediately following such Separation from Service will vest upon your</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8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21"/>
                <w:szCs w:val="21"/>
                <w:color w:val="auto"/>
              </w:rPr>
              <w:t>Separation from Service; or</w:t>
            </w: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21"/>
                <w:szCs w:val="21"/>
                <w:color w:val="auto"/>
              </w:rPr>
              <w:t>b)</w:t>
            </w:r>
          </w:p>
        </w:tc>
        <w:tc>
          <w:tcPr>
            <w:tcW w:w="758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1"/>
                <w:szCs w:val="21"/>
                <w:color w:val="auto"/>
              </w:rPr>
              <w:t>Your Separation from Service occurs on or after 9 months following the Grant Date,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580" w:type="dxa"/>
            <w:vAlign w:val="bottom"/>
            <w:tcBorders>
              <w:right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21"/>
                <w:szCs w:val="21"/>
                <w:color w:val="auto"/>
              </w:rPr>
              <w:t>100% of the Restricted Stock Units that remain unvested on such separation date</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580" w:type="dxa"/>
            <w:vAlign w:val="bottom"/>
            <w:tcBorders>
              <w:right w:val="single" w:sz="8" w:color="auto"/>
            </w:tcBorders>
            <w:gridSpan w:val="3"/>
          </w:tcPr>
          <w:p>
            <w:pPr>
              <w:ind w:left="220"/>
              <w:spacing w:after="0"/>
              <w:rPr>
                <w:sz w:val="20"/>
                <w:szCs w:val="20"/>
                <w:color w:val="auto"/>
              </w:rPr>
            </w:pPr>
            <w:r>
              <w:rPr>
                <w:rFonts w:ascii="Times New Roman" w:cs="Times New Roman" w:eastAsia="Times New Roman" w:hAnsi="Times New Roman"/>
                <w:sz w:val="21"/>
                <w:szCs w:val="21"/>
                <w:color w:val="auto"/>
              </w:rPr>
              <w:t>will vest on the date of your Separation from Service.</w:t>
            </w: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gridSpan w:val="6"/>
          </w:tcPr>
          <w:p>
            <w:pPr>
              <w:ind w:left="60"/>
              <w:spacing w:after="0"/>
              <w:rPr>
                <w:sz w:val="20"/>
                <w:szCs w:val="20"/>
                <w:color w:val="auto"/>
              </w:rPr>
            </w:pPr>
            <w:r>
              <w:rPr>
                <w:rFonts w:ascii="Times New Roman" w:cs="Times New Roman" w:eastAsia="Times New Roman" w:hAnsi="Times New Roman"/>
                <w:sz w:val="21"/>
                <w:szCs w:val="21"/>
                <w:color w:val="auto"/>
              </w:rPr>
              <w:t>For purposes of determining eligibility for Retirement at Age 65 Plus 5, Service means the</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40" w:type="dxa"/>
            <w:vAlign w:val="bottom"/>
            <w:tcBorders>
              <w:right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aggregate of (i) the number of full years during which you are employed by the Company and/or an</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Affiliate of the Company (but only while the Affiliate is owned, controlled or under common</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control by or with the Company) and (ii) if applicable, the number of full years during which you</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were  employed  by  Laboratory  Corporation  of  America  Holdings,  a  Delaware  corporation</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(“Labcorp”), and/or an Affiliate of Labcorp immediately prior to the spin-off of the Company from</w:t>
            </w:r>
          </w:p>
        </w:tc>
      </w:tr>
      <w:tr>
        <w:trPr>
          <w:trHeight w:val="228"/>
        </w:trPr>
        <w:tc>
          <w:tcPr>
            <w:tcW w:w="256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40" w:type="dxa"/>
            <w:vAlign w:val="bottom"/>
            <w:tcBorders>
              <w:right w:val="single" w:sz="8" w:color="auto"/>
            </w:tcBorders>
            <w:gridSpan w:val="5"/>
          </w:tcPr>
          <w:p>
            <w:pPr>
              <w:jc w:val="right"/>
              <w:ind w:right="100"/>
              <w:spacing w:after="0" w:line="228" w:lineRule="exact"/>
              <w:rPr>
                <w:sz w:val="20"/>
                <w:szCs w:val="20"/>
                <w:color w:val="auto"/>
              </w:rPr>
            </w:pPr>
            <w:r>
              <w:rPr>
                <w:rFonts w:ascii="Times New Roman" w:cs="Times New Roman" w:eastAsia="Times New Roman" w:hAnsi="Times New Roman"/>
                <w:sz w:val="21"/>
                <w:szCs w:val="21"/>
                <w:color w:val="auto"/>
              </w:rPr>
              <w:t>Labcorp (the “Spinoff”), provided that the number of years credited for Labcorp service shall not</w:t>
            </w:r>
          </w:p>
        </w:tc>
      </w:tr>
      <w:tr>
        <w:trPr>
          <w:trHeight w:val="29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exceed 5 years.</w:t>
            </w:r>
          </w:p>
        </w:tc>
        <w:tc>
          <w:tcPr>
            <w:tcW w:w="760" w:type="dxa"/>
            <w:vAlign w:val="bottom"/>
            <w:tcBorders>
              <w:top w:val="single" w:sz="8" w:color="auto"/>
            </w:tcBorders>
          </w:tcPr>
          <w:p>
            <w:pPr>
              <w:spacing w:after="0"/>
              <w:rPr>
                <w:sz w:val="24"/>
                <w:szCs w:val="24"/>
                <w:color w:val="auto"/>
              </w:rPr>
            </w:pPr>
          </w:p>
        </w:tc>
        <w:tc>
          <w:tcPr>
            <w:tcW w:w="5660" w:type="dxa"/>
            <w:vAlign w:val="bottom"/>
            <w:tcBorders>
              <w:right w:val="single" w:sz="8" w:color="auto"/>
            </w:tcBorders>
          </w:tcPr>
          <w:p>
            <w:pPr>
              <w:spacing w:after="0"/>
              <w:rPr>
                <w:sz w:val="24"/>
                <w:szCs w:val="24"/>
                <w:color w:val="auto"/>
              </w:rPr>
            </w:pP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5660" w:type="dxa"/>
            <w:vAlign w:val="bottom"/>
            <w:tcBorders>
              <w:bottom w:val="single" w:sz="8" w:color="auto"/>
              <w:right w:val="single" w:sz="8" w:color="auto"/>
            </w:tcBorders>
          </w:tcPr>
          <w:p>
            <w:pPr>
              <w:spacing w:after="0"/>
              <w:rPr>
                <w:sz w:val="19"/>
                <w:szCs w:val="19"/>
                <w:color w:val="auto"/>
              </w:rPr>
            </w:pPr>
          </w:p>
        </w:tc>
      </w:tr>
      <w:tr>
        <w:trPr>
          <w:trHeight w:val="255"/>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Separation due to</w:t>
            </w:r>
          </w:p>
        </w:tc>
        <w:tc>
          <w:tcPr>
            <w:tcW w:w="8700" w:type="dxa"/>
            <w:vAlign w:val="bottom"/>
            <w:tcBorders>
              <w:right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21"/>
                <w:szCs w:val="21"/>
                <w:color w:val="auto"/>
              </w:rPr>
              <w:t>Notwithstanding the vesting schedules under “Standard Vesting Schedule”, other than a Separation</w:t>
            </w:r>
          </w:p>
        </w:tc>
      </w:tr>
      <w:tr>
        <w:trPr>
          <w:trHeight w:val="254"/>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Retirement at Age 55</w:t>
            </w:r>
          </w:p>
        </w:tc>
        <w:tc>
          <w:tcPr>
            <w:tcW w:w="8700" w:type="dxa"/>
            <w:vAlign w:val="bottom"/>
            <w:tcBorders>
              <w:right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21"/>
                <w:szCs w:val="21"/>
                <w:color w:val="auto"/>
              </w:rPr>
              <w:t>from Service by the Company for Cause and other than a Retirement at Age 65 Plus 5, if you work</w:t>
            </w:r>
          </w:p>
        </w:tc>
      </w:tr>
      <w:tr>
        <w:trPr>
          <w:trHeight w:val="267"/>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(Rule of 70) for U.S.</w:t>
            </w:r>
          </w:p>
        </w:tc>
        <w:tc>
          <w:tcPr>
            <w:tcW w:w="8700" w:type="dxa"/>
            <w:vAlign w:val="bottom"/>
            <w:tcBorders>
              <w:right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21"/>
                <w:szCs w:val="21"/>
                <w:color w:val="auto"/>
              </w:rPr>
              <w:t>in the United States and you have a Separation from Service on or after 6 months following the</w:t>
            </w:r>
          </w:p>
        </w:tc>
      </w:tr>
      <w:tr>
        <w:trPr>
          <w:trHeight w:val="258"/>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Employees</w:t>
            </w:r>
          </w:p>
        </w:tc>
        <w:tc>
          <w:tcPr>
            <w:tcW w:w="8700" w:type="dxa"/>
            <w:vAlign w:val="bottom"/>
            <w:tcBorders>
              <w:right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21"/>
                <w:szCs w:val="21"/>
                <w:color w:val="auto"/>
              </w:rPr>
              <w:t>Grant Date at a time when you have attained age 55 and the sum of your age and full years of</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21"/>
                <w:szCs w:val="21"/>
                <w:color w:val="auto"/>
              </w:rPr>
              <w:t>Service equals or exceeds 70 (“Retirement at Age 55 (Rule of 70)”), the Restricted Stock Units that</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21"/>
                <w:szCs w:val="21"/>
                <w:color w:val="auto"/>
              </w:rPr>
              <w:t>were scheduled to vest in accordance with the Standard Vesting Schedule within 12 months</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21"/>
                <w:szCs w:val="21"/>
                <w:color w:val="auto"/>
              </w:rPr>
              <w:t>immediately following said Separation from Service will vest upon your Separation from Service.</w:t>
            </w:r>
          </w:p>
        </w:tc>
      </w:tr>
      <w:tr>
        <w:trPr>
          <w:trHeight w:val="456"/>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For purposes of determining eligibility for Retirement at Age 55 (Rule of 70), Service means the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aggregate of (i) the number of full years during which you are employed by the Company and/or an</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Affiliate of the Company (but only while the Affiliate is owned, controlled or under common</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control by or with the Company) and (ii) if applicable, the number of full years during which you</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21"/>
                <w:szCs w:val="21"/>
                <w:color w:val="auto"/>
              </w:rPr>
              <w:t>were employed by Labcorp and/or an Affiliate of Labcorp immediately prior to the Spinoff,</w:t>
            </w:r>
          </w:p>
        </w:tc>
      </w:tr>
      <w:tr>
        <w:trPr>
          <w:trHeight w:val="228"/>
        </w:trPr>
        <w:tc>
          <w:tcPr>
            <w:tcW w:w="256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640" w:type="dxa"/>
            <w:vAlign w:val="bottom"/>
            <w:tcBorders>
              <w:right w:val="single" w:sz="8" w:color="auto"/>
            </w:tcBorders>
            <w:gridSpan w:val="5"/>
          </w:tcPr>
          <w:p>
            <w:pPr>
              <w:spacing w:after="0" w:line="228" w:lineRule="exact"/>
              <w:rPr>
                <w:sz w:val="20"/>
                <w:szCs w:val="20"/>
                <w:color w:val="auto"/>
              </w:rPr>
            </w:pPr>
            <w:r>
              <w:rPr>
                <w:rFonts w:ascii="Times New Roman" w:cs="Times New Roman" w:eastAsia="Times New Roman" w:hAnsi="Times New Roman"/>
                <w:sz w:val="21"/>
                <w:szCs w:val="21"/>
                <w:color w:val="auto"/>
              </w:rPr>
              <w:t>provided that the number of years credited for Labcorp service shall not exceed 5 years.</w:t>
            </w:r>
          </w:p>
        </w:tc>
      </w:tr>
      <w:tr>
        <w:trPr>
          <w:trHeight w:val="260"/>
        </w:trPr>
        <w:tc>
          <w:tcPr>
            <w:tcW w:w="2560" w:type="dxa"/>
            <w:vAlign w:val="bottom"/>
            <w:tcBorders>
              <w:left w:val="single" w:sz="8" w:color="auto"/>
              <w:bottom w:val="single" w:sz="8" w:color="auto"/>
              <w:right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5660" w:type="dxa"/>
            <w:vAlign w:val="bottom"/>
            <w:tcBorders>
              <w:bottom w:val="single" w:sz="8" w:color="auto"/>
              <w:right w:val="single" w:sz="8" w:color="auto"/>
            </w:tcBorders>
          </w:tcPr>
          <w:p>
            <w:pPr>
              <w:spacing w:after="0"/>
              <w:rPr>
                <w:sz w:val="22"/>
                <w:szCs w:val="22"/>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Learn more at fortrea.com. ©2024 Fortrea Inc. All rights</w:t>
      </w:r>
    </w:p>
    <w:p>
      <w:pPr>
        <w:ind w:left="20"/>
        <w:spacing w:after="0" w:line="220" w:lineRule="auto"/>
        <w:tabs>
          <w:tab w:leader="none" w:pos="5440" w:val="left"/>
        </w:tabs>
        <w:rPr>
          <w:sz w:val="20"/>
          <w:szCs w:val="20"/>
          <w:color w:val="auto"/>
        </w:rPr>
      </w:pPr>
      <w:r>
        <w:rPr>
          <w:rFonts w:ascii="Times New Roman" w:cs="Times New Roman" w:eastAsia="Times New Roman" w:hAnsi="Times New Roman"/>
          <w:sz w:val="21"/>
          <w:szCs w:val="21"/>
          <w:color w:val="auto"/>
        </w:rPr>
        <w:t>reserved.</w:t>
      </w:r>
      <w:r>
        <w:rPr>
          <w:sz w:val="20"/>
          <w:szCs w:val="20"/>
          <w:color w:val="auto"/>
        </w:rPr>
        <w:tab/>
      </w:r>
      <w:r>
        <w:rPr>
          <w:rFonts w:ascii="Times New Roman" w:cs="Times New Roman" w:eastAsia="Times New Roman" w:hAnsi="Times New Roman"/>
          <w:sz w:val="21"/>
          <w:szCs w:val="21"/>
          <w:color w:val="auto"/>
        </w:rPr>
        <w:t>-4-</w:t>
      </w:r>
    </w:p>
    <w:p>
      <w:pPr>
        <w:sectPr>
          <w:pgSz w:w="11900" w:h="16838" w:orient="portrait"/>
          <w:cols w:equalWidth="0" w:num="1">
            <w:col w:w="11260"/>
          </w:cols>
          <w:pgMar w:left="320" w:top="1320" w:right="319" w:bottom="1440" w:gutter="0" w:footer="0" w:header="0"/>
        </w:sectPr>
      </w:pPr>
    </w:p>
    <w:bookmarkStart w:id="54" w:name="page55"/>
    <w:bookmarkEnd w:id="54"/>
    <w:tbl>
      <w:tblPr>
        <w:tblLayout w:type="fixed"/>
        <w:tblInd w:w="10" w:type="dxa"/>
        <w:tblCellMar>
          <w:top w:w="0" w:type="dxa"/>
          <w:left w:w="0" w:type="dxa"/>
          <w:bottom w:w="0" w:type="dxa"/>
          <w:right w:w="0" w:type="dxa"/>
        </w:tblCellMar>
      </w:tblPr>
      <w:tr>
        <w:trPr>
          <w:trHeight w:val="240"/>
        </w:trPr>
        <w:tc>
          <w:tcPr>
            <w:tcW w:w="2560" w:type="dxa"/>
            <w:vAlign w:val="bottom"/>
            <w:tcBorders>
              <w:top w:val="single" w:sz="8" w:color="auto"/>
              <w:left w:val="single" w:sz="8" w:color="auto"/>
              <w:right w:val="single" w:sz="8" w:color="auto"/>
            </w:tcBorders>
          </w:tcPr>
          <w:p>
            <w:pPr>
              <w:ind w:left="100"/>
              <w:spacing w:after="0" w:line="240" w:lineRule="exact"/>
              <w:rPr>
                <w:sz w:val="20"/>
                <w:szCs w:val="20"/>
                <w:color w:val="auto"/>
              </w:rPr>
            </w:pPr>
            <w:r>
              <w:rPr>
                <w:rFonts w:ascii="Times New Roman" w:cs="Times New Roman" w:eastAsia="Times New Roman" w:hAnsi="Times New Roman"/>
                <w:sz w:val="21"/>
                <w:szCs w:val="21"/>
                <w:b w:val="1"/>
                <w:bCs w:val="1"/>
                <w:color w:val="auto"/>
              </w:rPr>
              <w:t>Forfeiture of Unvested</w:t>
            </w:r>
          </w:p>
        </w:tc>
        <w:tc>
          <w:tcPr>
            <w:tcW w:w="8700" w:type="dxa"/>
            <w:vAlign w:val="bottom"/>
            <w:tcBorders>
              <w:top w:val="single" w:sz="8" w:color="auto"/>
              <w:right w:val="single" w:sz="8" w:color="auto"/>
            </w:tcBorders>
          </w:tcPr>
          <w:p>
            <w:pPr>
              <w:ind w:left="60"/>
              <w:spacing w:after="0" w:line="240" w:lineRule="exact"/>
              <w:rPr>
                <w:sz w:val="20"/>
                <w:szCs w:val="20"/>
                <w:color w:val="auto"/>
              </w:rPr>
            </w:pPr>
            <w:r>
              <w:rPr>
                <w:rFonts w:ascii="Times New Roman" w:cs="Times New Roman" w:eastAsia="Times New Roman" w:hAnsi="Times New Roman"/>
                <w:sz w:val="21"/>
                <w:szCs w:val="21"/>
                <w:color w:val="auto"/>
              </w:rPr>
              <w:t>Unless your Separation from Service triggers accelerated vesting or other treatment of your</w:t>
            </w:r>
          </w:p>
        </w:tc>
      </w:tr>
      <w:tr>
        <w:trPr>
          <w:trHeight w:val="293"/>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Restricted Stock Units</w:t>
            </w: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Restricted Stock Units pursuant to the terms of this Agreement, the Plan, or any other written</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agreement between the Company or an Affiliate and you, you will automatically forfeit to the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Company all of the Restricted Stock Units that have not yet vested as of your Separation from</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Service.</w:t>
            </w: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8700" w:type="dxa"/>
            <w:vAlign w:val="bottom"/>
            <w:tcBorders>
              <w:bottom w:val="single" w:sz="8" w:color="auto"/>
              <w:right w:val="single" w:sz="8" w:color="auto"/>
            </w:tcBorders>
          </w:tcPr>
          <w:p>
            <w:pPr>
              <w:spacing w:after="0"/>
              <w:rPr>
                <w:sz w:val="19"/>
                <w:szCs w:val="19"/>
                <w:color w:val="auto"/>
              </w:rPr>
            </w:pPr>
          </w:p>
        </w:tc>
      </w:tr>
      <w:tr>
        <w:trPr>
          <w:trHeight w:val="259"/>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Forfeiture of Rights</w:t>
            </w: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If you (a) should take actions in violation or breach of or in conflict with any (i) employment</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agreement, (ii) non-competition agreement, (iii) agreement prohibiting solicitation of employees or</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clients of the Company or any Affiliate, (iv) confidentiality obligation with respect to the Company</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or any Affiliate, (v) Company policy or procedure, including but not limited to the Code of</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Conduct and Ethics, or (vi) other agreement, or (b) if you incur a Separation from Service for</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Cause, or you otherwise engage in conduct that would constitute Cause, the Company has the right</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to cause an immediate forfeiture of (A) your rights to any outstanding Restricted Stock Units, and</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(B) with respect to the period commencing 36 months prior to your Separation from Service and</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ending 36 months following such Separation from Service (1) a forfeiture of any gain recognized</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by you upon the sale of any shares of Stock received as a result of the vesting of any Restricted</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Stock Units, and (2) a forfeiture of any vested shares of Stock held by you as a result of the vesting</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of  any  Restricted  Stock  Units.  For  the  avoidance  of  doubt,  any  Confidentiality/Non-</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Competition/Non-Solicitation Agreement entered into before or concurrently with this Agreement</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is covered by this provision as are any other applicable agreements whether executed before or</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after this Agreement.</w:t>
            </w: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Moreover, nothing in this Agreement or the Plan shall prohibit you from (a) disclosing any</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confidential information to a government agency if you are required to produce the information</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pursuant to a subpoena, court order, administrative order or other legal process, (b) discussing</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terms and conditions of employment or engaging in other activities protected by the National Labor</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Relations Act, (c) communicating with the Securities and Exchange Commission about securities</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law violations, or (d) communicating with any other government entity or agency if such</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communication is to report a violation of applicable law.</w:t>
            </w: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8700" w:type="dxa"/>
            <w:vAlign w:val="bottom"/>
            <w:tcBorders>
              <w:bottom w:val="single" w:sz="8" w:color="auto"/>
              <w:right w:val="single" w:sz="8" w:color="auto"/>
            </w:tcBorders>
          </w:tcPr>
          <w:p>
            <w:pPr>
              <w:spacing w:after="0"/>
              <w:rPr>
                <w:sz w:val="19"/>
                <w:szCs w:val="19"/>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Learn more at fortrea.com. ©2024 Fortrea Inc. All rights</w:t>
      </w:r>
    </w:p>
    <w:p>
      <w:pPr>
        <w:ind w:left="20"/>
        <w:spacing w:after="0" w:line="220" w:lineRule="auto"/>
        <w:tabs>
          <w:tab w:leader="none" w:pos="5440" w:val="left"/>
        </w:tabs>
        <w:rPr>
          <w:sz w:val="20"/>
          <w:szCs w:val="20"/>
          <w:color w:val="auto"/>
        </w:rPr>
      </w:pPr>
      <w:r>
        <w:rPr>
          <w:rFonts w:ascii="Times New Roman" w:cs="Times New Roman" w:eastAsia="Times New Roman" w:hAnsi="Times New Roman"/>
          <w:sz w:val="21"/>
          <w:szCs w:val="21"/>
          <w:color w:val="auto"/>
        </w:rPr>
        <w:t>reserved.</w:t>
      </w:r>
      <w:r>
        <w:rPr>
          <w:sz w:val="20"/>
          <w:szCs w:val="20"/>
          <w:color w:val="auto"/>
        </w:rPr>
        <w:tab/>
      </w:r>
      <w:r>
        <w:rPr>
          <w:rFonts w:ascii="Times New Roman" w:cs="Times New Roman" w:eastAsia="Times New Roman" w:hAnsi="Times New Roman"/>
          <w:sz w:val="21"/>
          <w:szCs w:val="21"/>
          <w:color w:val="auto"/>
        </w:rPr>
        <w:t>-5-</w:t>
      </w:r>
    </w:p>
    <w:p>
      <w:pPr>
        <w:sectPr>
          <w:pgSz w:w="11900" w:h="16838" w:orient="portrait"/>
          <w:cols w:equalWidth="0" w:num="1">
            <w:col w:w="11260"/>
          </w:cols>
          <w:pgMar w:left="320" w:top="1320" w:right="319" w:bottom="1440" w:gutter="0" w:footer="0" w:header="0"/>
        </w:sectPr>
      </w:pPr>
    </w:p>
    <w:bookmarkStart w:id="55" w:name="page56"/>
    <w:bookmarkEnd w:id="55"/>
    <w:tbl>
      <w:tblPr>
        <w:tblLayout w:type="fixed"/>
        <w:tblInd w:w="10" w:type="dxa"/>
        <w:tblCellMar>
          <w:top w:w="0" w:type="dxa"/>
          <w:left w:w="0" w:type="dxa"/>
          <w:bottom w:w="0" w:type="dxa"/>
          <w:right w:w="0" w:type="dxa"/>
        </w:tblCellMar>
      </w:tblPr>
      <w:tr>
        <w:trPr>
          <w:trHeight w:val="275"/>
        </w:trPr>
        <w:tc>
          <w:tcPr>
            <w:tcW w:w="2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Leaves of Absence</w:t>
            </w:r>
          </w:p>
        </w:tc>
        <w:tc>
          <w:tcPr>
            <w:tcW w:w="8700" w:type="dxa"/>
            <w:vAlign w:val="bottom"/>
            <w:tcBorders>
              <w:top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 xml:space="preserve">For purposes of this Agreement, you do not have a Separation from Service when you go on a </w:t>
            </w:r>
            <w:r>
              <w:rPr>
                <w:rFonts w:ascii="Times New Roman" w:cs="Times New Roman" w:eastAsia="Times New Roman" w:hAnsi="Times New Roman"/>
                <w:sz w:val="21"/>
                <w:szCs w:val="21"/>
                <w:i w:val="1"/>
                <w:iCs w:val="1"/>
                <w:color w:val="auto"/>
              </w:rPr>
              <w:t>bona</w:t>
            </w:r>
          </w:p>
        </w:tc>
      </w:tr>
      <w:tr>
        <w:trPr>
          <w:trHeight w:val="258"/>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i w:val="1"/>
                <w:iCs w:val="1"/>
                <w:color w:val="auto"/>
              </w:rPr>
              <w:t xml:space="preserve">fide </w:t>
            </w:r>
            <w:r>
              <w:rPr>
                <w:rFonts w:ascii="Times New Roman" w:cs="Times New Roman" w:eastAsia="Times New Roman" w:hAnsi="Times New Roman"/>
                <w:sz w:val="21"/>
                <w:szCs w:val="21"/>
                <w:color w:val="auto"/>
              </w:rPr>
              <w:t>employee leave of absence that was approved by your employer in writing, if the terms of the</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leave provide for continued Service crediting, or when continued Service crediting is required by</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applicable law. However, you will be treated as having a Separation from Service 90 days after you</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went on employee leave, unless your right to return to active work is guaranteed by law or by a</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contract. You will incur a Separation from Service in any event when the approved leave ends</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unless you immediately return to active employee work.</w:t>
            </w:r>
          </w:p>
        </w:tc>
      </w:tr>
      <w:tr>
        <w:trPr>
          <w:trHeight w:val="456"/>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Your employer determines, in its sole discretion, which leaves count for this purpose, and when you</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have a Separation from Service for all purposes under the Plan, subject to applicable law.</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Notwithstanding the foregoing, the Company may determine, in its discretion, that a leave counts</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for this purpose even if your employer does not agree.</w:t>
            </w: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360" w:type="dxa"/>
            <w:vAlign w:val="bottom"/>
            <w:tcBorders>
              <w:bottom w:val="single" w:sz="8" w:color="auto"/>
              <w:right w:val="single" w:sz="8" w:color="auto"/>
            </w:tcBorders>
          </w:tcPr>
          <w:p>
            <w:pPr>
              <w:spacing w:after="0"/>
              <w:rPr>
                <w:sz w:val="19"/>
                <w:szCs w:val="19"/>
                <w:color w:val="auto"/>
              </w:rPr>
            </w:pPr>
          </w:p>
        </w:tc>
      </w:tr>
      <w:tr>
        <w:trPr>
          <w:trHeight w:val="259"/>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Issuance of Stock</w:t>
            </w: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The shares of Stock underlying your vested Restricted Stock Units will be issued within 60 days</w:t>
            </w:r>
          </w:p>
        </w:tc>
      </w:tr>
      <w:tr>
        <w:trPr>
          <w:trHeight w:val="228"/>
        </w:trPr>
        <w:tc>
          <w:tcPr>
            <w:tcW w:w="2560" w:type="dxa"/>
            <w:vAlign w:val="bottom"/>
            <w:tcBorders>
              <w:left w:val="single" w:sz="8" w:color="auto"/>
              <w:right w:val="single" w:sz="8" w:color="auto"/>
            </w:tcBorders>
          </w:tcPr>
          <w:p>
            <w:pPr>
              <w:spacing w:after="0"/>
              <w:rPr>
                <w:sz w:val="19"/>
                <w:szCs w:val="19"/>
                <w:color w:val="auto"/>
              </w:rPr>
            </w:pPr>
          </w:p>
        </w:tc>
        <w:tc>
          <w:tcPr>
            <w:tcW w:w="8700" w:type="dxa"/>
            <w:vAlign w:val="bottom"/>
            <w:tcBorders>
              <w:right w:val="single" w:sz="8" w:color="auto"/>
            </w:tcBorders>
            <w:gridSpan w:val="5"/>
          </w:tcPr>
          <w:p>
            <w:pPr>
              <w:ind w:left="60"/>
              <w:spacing w:after="0" w:line="228" w:lineRule="exact"/>
              <w:rPr>
                <w:sz w:val="20"/>
                <w:szCs w:val="20"/>
                <w:color w:val="auto"/>
              </w:rPr>
            </w:pPr>
            <w:r>
              <w:rPr>
                <w:rFonts w:ascii="Times New Roman" w:cs="Times New Roman" w:eastAsia="Times New Roman" w:hAnsi="Times New Roman"/>
                <w:sz w:val="21"/>
                <w:szCs w:val="21"/>
                <w:color w:val="auto"/>
              </w:rPr>
              <w:t>following each Vesting Date; provided, however, that if you incur a Separation from Service on</w:t>
            </w:r>
          </w:p>
        </w:tc>
      </w:tr>
      <w:tr>
        <w:trPr>
          <w:trHeight w:val="20"/>
        </w:trPr>
        <w:tc>
          <w:tcPr>
            <w:tcW w:w="2560" w:type="dxa"/>
            <w:vAlign w:val="bottom"/>
            <w:tcBorders>
              <w:left w:val="single" w:sz="8" w:color="auto"/>
              <w:right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360" w:type="dxa"/>
            <w:vAlign w:val="bottom"/>
            <w:tcBorders>
              <w:right w:val="single" w:sz="8" w:color="auto"/>
            </w:tcBorders>
          </w:tcPr>
          <w:p>
            <w:pPr>
              <w:spacing w:after="0" w:line="20" w:lineRule="exact"/>
              <w:rPr>
                <w:sz w:val="1"/>
                <w:szCs w:val="1"/>
                <w:color w:val="auto"/>
              </w:rPr>
            </w:pPr>
          </w:p>
        </w:tc>
      </w:tr>
      <w:tr>
        <w:trPr>
          <w:trHeight w:val="273"/>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which all or some of your unvested Restricted Stock Units vest as provided in this Agreement, the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shares of Stock underlying such vested Restricted Stock Units shall be issued within 60 days of the</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date of your Separation from Service.</w:t>
            </w: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360" w:type="dxa"/>
            <w:vAlign w:val="bottom"/>
            <w:tcBorders>
              <w:bottom w:val="single" w:sz="8" w:color="auto"/>
              <w:right w:val="single" w:sz="8" w:color="auto"/>
            </w:tcBorders>
          </w:tcPr>
          <w:p>
            <w:pPr>
              <w:spacing w:after="0"/>
              <w:rPr>
                <w:sz w:val="19"/>
                <w:szCs w:val="19"/>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Learn more at fortrea.com. ©2024 Fortrea Inc. All rights</w:t>
      </w:r>
    </w:p>
    <w:p>
      <w:pPr>
        <w:ind w:left="20"/>
        <w:spacing w:after="0" w:line="220" w:lineRule="auto"/>
        <w:tabs>
          <w:tab w:leader="none" w:pos="5440" w:val="left"/>
        </w:tabs>
        <w:rPr>
          <w:sz w:val="20"/>
          <w:szCs w:val="20"/>
          <w:color w:val="auto"/>
        </w:rPr>
      </w:pPr>
      <w:r>
        <w:rPr>
          <w:rFonts w:ascii="Times New Roman" w:cs="Times New Roman" w:eastAsia="Times New Roman" w:hAnsi="Times New Roman"/>
          <w:sz w:val="21"/>
          <w:szCs w:val="21"/>
          <w:color w:val="auto"/>
        </w:rPr>
        <w:t>reserved.</w:t>
      </w:r>
      <w:r>
        <w:rPr>
          <w:sz w:val="20"/>
          <w:szCs w:val="20"/>
          <w:color w:val="auto"/>
        </w:rPr>
        <w:tab/>
      </w:r>
      <w:r>
        <w:rPr>
          <w:rFonts w:ascii="Times New Roman" w:cs="Times New Roman" w:eastAsia="Times New Roman" w:hAnsi="Times New Roman"/>
          <w:sz w:val="21"/>
          <w:szCs w:val="21"/>
          <w:color w:val="auto"/>
        </w:rPr>
        <w:t>-6-</w:t>
      </w:r>
    </w:p>
    <w:p>
      <w:pPr>
        <w:sectPr>
          <w:pgSz w:w="11900" w:h="16838" w:orient="portrait"/>
          <w:cols w:equalWidth="0" w:num="1">
            <w:col w:w="11260"/>
          </w:cols>
          <w:pgMar w:left="320" w:top="1320" w:right="31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279"/>
        </w:trPr>
        <w:tc>
          <w:tcPr>
            <w:tcW w:w="2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Taxes</w:t>
            </w:r>
          </w:p>
        </w:tc>
        <w:tc>
          <w:tcPr>
            <w:tcW w:w="8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You agree, as a condition of this grant, that you will make acceptable arrangements to pay any</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applicable income taxes, employment taxes, social insurance, social contributions, national</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insurance contributions, other contributions, payroll taxes, levies, payment on account obligations</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and any other tax-related items (“Applicable Taxes”), that may be due as a result of grant or vesting</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of the Restricted Stock Units or the issuance of shares of Stock acquired under this grant. In the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event that the Company or any Affiliate determines that any Applicable Taxes are required to be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collected, withheld or accounted for relating to the grant or vesting of the Restricted Stock Units or</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the issuance of shares of Stock acquired from this grant, unless the Company provides notice of an</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alternate procedure in its discretion, you agree to facilitate the Company’s satisfaction of its</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withholding obligation by instructing a registered broker selected by the Company to sell the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number of shares of Stock necessary to satisfy the Company’s withholding obligation, after</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deduction of the broker’s commission, and to remit the proceeds of such sale to the Company. Such</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sales shall be made pursuant to a mandatory “sell-to-cover” program instituted by the Company</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with no discretion on your part with respect to any sale. If the proceeds of such a sale exceed the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Company’s withholding obligation, the Company will pay the excess to you as soon as practicable.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If the proceeds of such a sale are less than the Company’s withholding obligation, you agree to pay</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any shortfall to the Company as soon as practicable, including through payroll withholding. You</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acknowledge that the Company and the broker are under no obligation to arrange for such sale at</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any particular price. In connection with the “sell-to-cover” program, you agree to execute any</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documents the broker may request to effectuate the sale of shares of Stock and satisfaction of the</w:t>
            </w:r>
          </w:p>
        </w:tc>
      </w:tr>
      <w:tr>
        <w:trPr>
          <w:trHeight w:val="288"/>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8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Stock and satisfaction of the Company’s withholding obligation.</w:t>
            </w:r>
          </w:p>
        </w:tc>
      </w:tr>
      <w:tr>
        <w:trPr>
          <w:trHeight w:val="266"/>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Retention Rights</w:t>
            </w: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This Agreement and the Restricted Stock Units do not give you the right to be retained by the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Company or any Affiliate in any capacity. The Company or any Affiliate reserves the right to</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terminate your Service at any time and for any reason, subject to applicable law.</w:t>
            </w:r>
          </w:p>
        </w:tc>
      </w:tr>
      <w:tr>
        <w:trPr>
          <w:trHeight w:val="243"/>
        </w:trPr>
        <w:tc>
          <w:tcPr>
            <w:tcW w:w="2560" w:type="dxa"/>
            <w:vAlign w:val="bottom"/>
            <w:tcBorders>
              <w:left w:val="single" w:sz="8" w:color="auto"/>
              <w:bottom w:val="single" w:sz="8" w:color="auto"/>
              <w:right w:val="single" w:sz="8" w:color="auto"/>
            </w:tcBorders>
          </w:tcPr>
          <w:p>
            <w:pPr>
              <w:spacing w:after="0"/>
              <w:rPr>
                <w:sz w:val="21"/>
                <w:szCs w:val="21"/>
                <w:color w:val="auto"/>
              </w:rPr>
            </w:pPr>
          </w:p>
        </w:tc>
        <w:tc>
          <w:tcPr>
            <w:tcW w:w="8700" w:type="dxa"/>
            <w:vAlign w:val="bottom"/>
            <w:tcBorders>
              <w:bottom w:val="single" w:sz="8" w:color="auto"/>
              <w:right w:val="single" w:sz="8" w:color="auto"/>
            </w:tcBorders>
          </w:tcPr>
          <w:p>
            <w:pPr>
              <w:spacing w:after="0"/>
              <w:rPr>
                <w:sz w:val="21"/>
                <w:szCs w:val="21"/>
                <w:color w:val="auto"/>
              </w:rPr>
            </w:pPr>
          </w:p>
        </w:tc>
      </w:tr>
      <w:tr>
        <w:trPr>
          <w:trHeight w:val="259"/>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Stockholder Rights</w:t>
            </w: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You, or your estate or heirs, have no rights as a stockholder of the Company until the shares of</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Stock have been issued upon vesting of your Restricted Stock Units and either a certificate</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evidencing your shares of Stock has been issued or an appropriate entry has been made on the</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Company’s books.</w:t>
            </w: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8700" w:type="dxa"/>
            <w:vAlign w:val="bottom"/>
            <w:tcBorders>
              <w:bottom w:val="single" w:sz="8" w:color="auto"/>
              <w:right w:val="single" w:sz="8" w:color="auto"/>
            </w:tcBorders>
          </w:tcPr>
          <w:p>
            <w:pPr>
              <w:spacing w:after="0"/>
              <w:rPr>
                <w:sz w:val="19"/>
                <w:szCs w:val="19"/>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Learn more at fortrea.com. ©2024 Fortrea Inc. All rights</w:t>
      </w:r>
    </w:p>
    <w:p>
      <w:pPr>
        <w:ind w:left="20"/>
        <w:spacing w:after="0" w:line="220" w:lineRule="auto"/>
        <w:tabs>
          <w:tab w:leader="none" w:pos="5440" w:val="left"/>
        </w:tabs>
        <w:rPr>
          <w:sz w:val="20"/>
          <w:szCs w:val="20"/>
          <w:color w:val="auto"/>
        </w:rPr>
      </w:pPr>
      <w:r>
        <w:rPr>
          <w:rFonts w:ascii="Times New Roman" w:cs="Times New Roman" w:eastAsia="Times New Roman" w:hAnsi="Times New Roman"/>
          <w:sz w:val="21"/>
          <w:szCs w:val="21"/>
          <w:color w:val="auto"/>
        </w:rPr>
        <w:t>reserved.</w:t>
      </w:r>
      <w:r>
        <w:rPr>
          <w:sz w:val="20"/>
          <w:szCs w:val="20"/>
          <w:color w:val="auto"/>
        </w:rPr>
        <w:tab/>
      </w:r>
      <w:r>
        <w:rPr>
          <w:rFonts w:ascii="Times New Roman" w:cs="Times New Roman" w:eastAsia="Times New Roman" w:hAnsi="Times New Roman"/>
          <w:sz w:val="21"/>
          <w:szCs w:val="21"/>
          <w:color w:val="auto"/>
        </w:rPr>
        <w:t>-7-</w:t>
      </w:r>
    </w:p>
    <w:p>
      <w:pPr>
        <w:sectPr>
          <w:pgSz w:w="11900" w:h="16838" w:orient="portrait"/>
          <w:cols w:equalWidth="0" w:num="1">
            <w:col w:w="11260"/>
          </w:cols>
          <w:pgMar w:left="320" w:top="1320" w:right="319" w:bottom="1440" w:gutter="0" w:footer="0" w:header="0"/>
        </w:sectPr>
      </w:pPr>
    </w:p>
    <w:bookmarkStart w:id="57" w:name="page58"/>
    <w:bookmarkEnd w:id="57"/>
    <w:tbl>
      <w:tblPr>
        <w:tblLayout w:type="fixed"/>
        <w:tblInd w:w="10" w:type="dxa"/>
        <w:tblCellMar>
          <w:top w:w="0" w:type="dxa"/>
          <w:left w:w="0" w:type="dxa"/>
          <w:bottom w:w="0" w:type="dxa"/>
          <w:right w:w="0" w:type="dxa"/>
        </w:tblCellMar>
      </w:tblPr>
      <w:tr>
        <w:trPr>
          <w:trHeight w:val="279"/>
        </w:trPr>
        <w:tc>
          <w:tcPr>
            <w:tcW w:w="2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Insider Trading Policy</w:t>
            </w:r>
          </w:p>
        </w:tc>
        <w:tc>
          <w:tcPr>
            <w:tcW w:w="8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You acknowledge receipt of the Company’s Insider Trading Policy (the “Policy”), a copy of which</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has been provided to you. You agree to comply fully with the standards contained in the Policy (and</w:t>
            </w:r>
          </w:p>
        </w:tc>
        <w:tc>
          <w:tcPr>
            <w:tcW w:w="0" w:type="dxa"/>
            <w:vAlign w:val="bottom"/>
          </w:tcPr>
          <w:p>
            <w:pPr>
              <w:spacing w:after="0"/>
              <w:rPr>
                <w:sz w:val="1"/>
                <w:szCs w:val="1"/>
                <w:color w:val="auto"/>
              </w:rPr>
            </w:pP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related policies and procedures adopted by the company). You further understand that compliance</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with these standards, policies, and procedures is a condition of continued employment or</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association with the Company or any of its subsidiaries and that the Policy is only a statement of</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principles for individual and business conduct and does not, in any way, constitute an employment</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contract, an assurance of continued employment, or employment other than at-will. By acceptance</w:t>
            </w:r>
          </w:p>
        </w:tc>
        <w:tc>
          <w:tcPr>
            <w:tcW w:w="0" w:type="dxa"/>
            <w:vAlign w:val="bottom"/>
          </w:tcPr>
          <w:p>
            <w:pPr>
              <w:spacing w:after="0"/>
              <w:rPr>
                <w:sz w:val="1"/>
                <w:szCs w:val="1"/>
                <w:color w:val="auto"/>
              </w:rPr>
            </w:pP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of the Restricted Stock Units granted hereunder, you certify to your understanding of and intent to</w:t>
            </w:r>
          </w:p>
        </w:tc>
        <w:tc>
          <w:tcPr>
            <w:tcW w:w="0" w:type="dxa"/>
            <w:vAlign w:val="bottom"/>
          </w:tcPr>
          <w:p>
            <w:pPr>
              <w:spacing w:after="0"/>
              <w:rPr>
                <w:sz w:val="1"/>
                <w:szCs w:val="1"/>
                <w:color w:val="auto"/>
              </w:rPr>
            </w:pP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comply with the Policy.</w:t>
            </w:r>
          </w:p>
        </w:tc>
        <w:tc>
          <w:tcPr>
            <w:tcW w:w="0" w:type="dxa"/>
            <w:vAlign w:val="bottom"/>
          </w:tcPr>
          <w:p>
            <w:pPr>
              <w:spacing w:after="0"/>
              <w:rPr>
                <w:sz w:val="1"/>
                <w:szCs w:val="1"/>
                <w:color w:val="auto"/>
              </w:rPr>
            </w:pP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87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560" w:type="dxa"/>
            <w:vAlign w:val="bottom"/>
            <w:tcBorders>
              <w:left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1"/>
                <w:szCs w:val="21"/>
                <w:b w:val="1"/>
                <w:bCs w:val="1"/>
                <w:color w:val="auto"/>
              </w:rPr>
              <w:t>Confidentiality/Non-</w:t>
            </w:r>
          </w:p>
        </w:tc>
        <w:tc>
          <w:tcPr>
            <w:tcW w:w="8700" w:type="dxa"/>
            <w:vAlign w:val="bottom"/>
            <w:tcBorders>
              <w:right w:val="single" w:sz="8" w:color="auto"/>
            </w:tcBorders>
          </w:tcPr>
          <w:p>
            <w:pPr>
              <w:ind w:left="60"/>
              <w:spacing w:after="0" w:line="220" w:lineRule="exact"/>
              <w:rPr>
                <w:sz w:val="20"/>
                <w:szCs w:val="20"/>
                <w:color w:val="auto"/>
              </w:rPr>
            </w:pPr>
            <w:r>
              <w:rPr>
                <w:rFonts w:ascii="Times New Roman" w:cs="Times New Roman" w:eastAsia="Times New Roman" w:hAnsi="Times New Roman"/>
                <w:sz w:val="21"/>
                <w:szCs w:val="21"/>
                <w:color w:val="auto"/>
              </w:rPr>
              <w:t>You acknowledge that you either (a) have entered into a Confidentiality/Non-Competition/Non-</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Competition/Non-</w:t>
            </w: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Solicitation Agreement with the Company or an Affiliate as of the date you accepted employment</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Solicitation Agreement</w:t>
            </w:r>
          </w:p>
        </w:tc>
        <w:tc>
          <w:tcPr>
            <w:tcW w:w="87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1"/>
                <w:szCs w:val="21"/>
                <w:color w:val="auto"/>
              </w:rPr>
              <w:t>with the Company or an Affiliate or as of the date you were first granted Awards pursuant to the</w:t>
            </w:r>
          </w:p>
        </w:tc>
        <w:tc>
          <w:tcPr>
            <w:tcW w:w="0" w:type="dxa"/>
            <w:vAlign w:val="bottom"/>
          </w:tcPr>
          <w:p>
            <w:pPr>
              <w:spacing w:after="0"/>
              <w:rPr>
                <w:sz w:val="1"/>
                <w:szCs w:val="1"/>
                <w:color w:val="auto"/>
              </w:rPr>
            </w:pPr>
          </w:p>
        </w:tc>
      </w:tr>
      <w:tr>
        <w:trPr>
          <w:trHeight w:val="53"/>
        </w:trPr>
        <w:tc>
          <w:tcPr>
            <w:tcW w:w="2560" w:type="dxa"/>
            <w:vAlign w:val="bottom"/>
            <w:tcBorders>
              <w:left w:val="single" w:sz="8" w:color="auto"/>
              <w:right w:val="single" w:sz="8" w:color="auto"/>
            </w:tcBorders>
          </w:tcPr>
          <w:p>
            <w:pPr>
              <w:spacing w:after="0"/>
              <w:rPr>
                <w:sz w:val="4"/>
                <w:szCs w:val="4"/>
                <w:color w:val="auto"/>
              </w:rPr>
            </w:pPr>
          </w:p>
        </w:tc>
        <w:tc>
          <w:tcPr>
            <w:tcW w:w="87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Plan, or (b) will concurrently enter into a Confidentiality/Non-Competition/Non-Solicitation</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Agreement if this Agreement and Notice of Grant relates to your first grant of an Award under the</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Plan. In consideration of the award of Restricted Stock Units granted pursuant to this Agreement,</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you  agree  to  be  bound  by  the  obligations  in,  and  covenant  to  comply  with,  such</w:t>
            </w:r>
          </w:p>
        </w:tc>
        <w:tc>
          <w:tcPr>
            <w:tcW w:w="0" w:type="dxa"/>
            <w:vAlign w:val="bottom"/>
          </w:tcPr>
          <w:p>
            <w:pPr>
              <w:spacing w:after="0"/>
              <w:rPr>
                <w:sz w:val="1"/>
                <w:szCs w:val="1"/>
                <w:color w:val="auto"/>
              </w:rPr>
            </w:pP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Confidentiality/Non-Competition/Non-Solicitation Agreement that you have either previously</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entered into with the Company or are entering into with the Company concurrently with this</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Agreement, and you further understand that a failure to comply with the Confidentiality/Non-</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Competition/Non-Solicitation Agreement’s terms and conditions may result in consequences as</w:t>
            </w:r>
          </w:p>
        </w:tc>
        <w:tc>
          <w:tcPr>
            <w:tcW w:w="0" w:type="dxa"/>
            <w:vAlign w:val="bottom"/>
          </w:tcPr>
          <w:p>
            <w:pPr>
              <w:spacing w:after="0"/>
              <w:rPr>
                <w:sz w:val="1"/>
                <w:szCs w:val="1"/>
                <w:color w:val="auto"/>
              </w:rPr>
            </w:pP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described in this Agreement.</w:t>
            </w:r>
          </w:p>
        </w:tc>
        <w:tc>
          <w:tcPr>
            <w:tcW w:w="0" w:type="dxa"/>
            <w:vAlign w:val="bottom"/>
          </w:tcPr>
          <w:p>
            <w:pPr>
              <w:spacing w:after="0"/>
              <w:rPr>
                <w:sz w:val="1"/>
                <w:szCs w:val="1"/>
                <w:color w:val="auto"/>
              </w:rPr>
            </w:pPr>
          </w:p>
        </w:tc>
      </w:tr>
      <w:tr>
        <w:trPr>
          <w:trHeight w:val="123"/>
        </w:trPr>
        <w:tc>
          <w:tcPr>
            <w:tcW w:w="2560" w:type="dxa"/>
            <w:vAlign w:val="bottom"/>
            <w:tcBorders>
              <w:left w:val="single" w:sz="8" w:color="auto"/>
              <w:bottom w:val="single" w:sz="8" w:color="auto"/>
              <w:right w:val="single" w:sz="8" w:color="auto"/>
            </w:tcBorders>
          </w:tcPr>
          <w:p>
            <w:pPr>
              <w:spacing w:after="0"/>
              <w:rPr>
                <w:sz w:val="10"/>
                <w:szCs w:val="10"/>
                <w:color w:val="auto"/>
              </w:rPr>
            </w:pPr>
          </w:p>
        </w:tc>
        <w:tc>
          <w:tcPr>
            <w:tcW w:w="87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Learn more at fortrea.com. ©2024 Fortrea Inc. All rights</w:t>
      </w:r>
    </w:p>
    <w:p>
      <w:pPr>
        <w:ind w:left="20"/>
        <w:spacing w:after="0" w:line="220" w:lineRule="auto"/>
        <w:tabs>
          <w:tab w:leader="none" w:pos="5440" w:val="left"/>
        </w:tabs>
        <w:rPr>
          <w:sz w:val="20"/>
          <w:szCs w:val="20"/>
          <w:color w:val="auto"/>
        </w:rPr>
      </w:pPr>
      <w:r>
        <w:rPr>
          <w:rFonts w:ascii="Times New Roman" w:cs="Times New Roman" w:eastAsia="Times New Roman" w:hAnsi="Times New Roman"/>
          <w:sz w:val="21"/>
          <w:szCs w:val="21"/>
          <w:color w:val="auto"/>
        </w:rPr>
        <w:t>reserved.</w:t>
      </w:r>
      <w:r>
        <w:rPr>
          <w:sz w:val="20"/>
          <w:szCs w:val="20"/>
          <w:color w:val="auto"/>
        </w:rPr>
        <w:tab/>
      </w:r>
      <w:r>
        <w:rPr>
          <w:rFonts w:ascii="Times New Roman" w:cs="Times New Roman" w:eastAsia="Times New Roman" w:hAnsi="Times New Roman"/>
          <w:sz w:val="21"/>
          <w:szCs w:val="21"/>
          <w:color w:val="auto"/>
        </w:rPr>
        <w:t>-8-</w:t>
      </w:r>
    </w:p>
    <w:p>
      <w:pPr>
        <w:sectPr>
          <w:pgSz w:w="11900" w:h="16838" w:orient="portrait"/>
          <w:cols w:equalWidth="0" w:num="1">
            <w:col w:w="11260"/>
          </w:cols>
          <w:pgMar w:left="320" w:top="1320" w:right="319" w:bottom="1440" w:gutter="0" w:footer="0" w:header="0"/>
        </w:sectPr>
      </w:pPr>
    </w:p>
    <w:bookmarkStart w:id="58" w:name="page59"/>
    <w:bookmarkEnd w:id="58"/>
    <w:tbl>
      <w:tblPr>
        <w:tblLayout w:type="fixed"/>
        <w:tblInd w:w="10" w:type="dxa"/>
        <w:tblCellMar>
          <w:top w:w="0" w:type="dxa"/>
          <w:left w:w="0" w:type="dxa"/>
          <w:bottom w:w="0" w:type="dxa"/>
          <w:right w:w="0" w:type="dxa"/>
        </w:tblCellMar>
      </w:tblPr>
      <w:tr>
        <w:trPr>
          <w:trHeight w:val="279"/>
        </w:trPr>
        <w:tc>
          <w:tcPr>
            <w:tcW w:w="2560" w:type="dxa"/>
            <w:vAlign w:val="bottom"/>
            <w:tcBorders>
              <w:top w:val="single" w:sz="8" w:color="auto"/>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21"/>
                <w:szCs w:val="21"/>
                <w:b w:val="1"/>
                <w:bCs w:val="1"/>
                <w:color w:val="auto"/>
              </w:rPr>
              <w:t>Clawback</w:t>
            </w:r>
          </w:p>
        </w:tc>
        <w:tc>
          <w:tcPr>
            <w:tcW w:w="8700" w:type="dxa"/>
            <w:vAlign w:val="bottom"/>
            <w:tcBorders>
              <w:top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You acknowledge receipt of the Company’s Incentive Compensation Recoupment Policy (the</w:t>
            </w:r>
          </w:p>
        </w:tc>
        <w:tc>
          <w:tcPr>
            <w:tcW w:w="0" w:type="dxa"/>
            <w:vAlign w:val="bottom"/>
          </w:tcPr>
          <w:p>
            <w:pPr>
              <w:spacing w:after="0"/>
              <w:rPr>
                <w:sz w:val="1"/>
                <w:szCs w:val="1"/>
                <w:color w:val="auto"/>
              </w:rPr>
            </w:pPr>
          </w:p>
        </w:tc>
      </w:tr>
      <w:tr>
        <w:trPr>
          <w:trHeight w:val="118"/>
        </w:trPr>
        <w:tc>
          <w:tcPr>
            <w:tcW w:w="2560" w:type="dxa"/>
            <w:vAlign w:val="bottom"/>
            <w:tcBorders>
              <w:left w:val="single" w:sz="8" w:color="auto"/>
              <w:right w:val="single" w:sz="8" w:color="auto"/>
            </w:tcBorders>
            <w:vMerge w:val="continue"/>
          </w:tcPr>
          <w:p>
            <w:pPr>
              <w:spacing w:after="0"/>
              <w:rPr>
                <w:sz w:val="10"/>
                <w:szCs w:val="10"/>
                <w:color w:val="auto"/>
              </w:rPr>
            </w:pPr>
          </w:p>
        </w:tc>
        <w:tc>
          <w:tcPr>
            <w:tcW w:w="8700" w:type="dxa"/>
            <w:vAlign w:val="bottom"/>
            <w:tcBorders>
              <w:right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21"/>
                <w:szCs w:val="21"/>
                <w:color w:val="auto"/>
              </w:rPr>
              <w:t>“Recoupment Policy”). You agree that your Incentive Compensation (as defined in the Recoupment</w:t>
            </w:r>
          </w:p>
        </w:tc>
        <w:tc>
          <w:tcPr>
            <w:tcW w:w="0" w:type="dxa"/>
            <w:vAlign w:val="bottom"/>
          </w:tcPr>
          <w:p>
            <w:pPr>
              <w:spacing w:after="0"/>
              <w:rPr>
                <w:sz w:val="1"/>
                <w:szCs w:val="1"/>
                <w:color w:val="auto"/>
              </w:rPr>
            </w:pPr>
          </w:p>
        </w:tc>
      </w:tr>
      <w:tr>
        <w:trPr>
          <w:trHeight w:val="135"/>
        </w:trPr>
        <w:tc>
          <w:tcPr>
            <w:tcW w:w="2560" w:type="dxa"/>
            <w:vAlign w:val="bottom"/>
            <w:tcBorders>
              <w:left w:val="single" w:sz="8" w:color="auto"/>
              <w:right w:val="single" w:sz="8" w:color="auto"/>
            </w:tcBorders>
          </w:tcPr>
          <w:p>
            <w:pPr>
              <w:spacing w:after="0"/>
              <w:rPr>
                <w:sz w:val="11"/>
                <w:szCs w:val="11"/>
                <w:color w:val="auto"/>
              </w:rPr>
            </w:pPr>
          </w:p>
        </w:tc>
        <w:tc>
          <w:tcPr>
            <w:tcW w:w="8700" w:type="dxa"/>
            <w:vAlign w:val="bottom"/>
            <w:tcBorders>
              <w:right w:val="single" w:sz="8" w:color="auto"/>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Policy), including Restricted Stock Units, is subject to the terms of the Recoupment Policy, which</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requires repayment by you to the Company of Incentive Compensation paid by the Company to</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you in the event that you fail to comply with, or violate, the terms or requirements of the</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Recoupment Policy. Notwithstanding anything in this Agreement to the contrary, you acknowledge</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and agree that this Agreement and the award described herein (and any settlement thereof) are</w:t>
            </w:r>
          </w:p>
        </w:tc>
        <w:tc>
          <w:tcPr>
            <w:tcW w:w="0" w:type="dxa"/>
            <w:vAlign w:val="bottom"/>
          </w:tcPr>
          <w:p>
            <w:pPr>
              <w:spacing w:after="0"/>
              <w:rPr>
                <w:sz w:val="1"/>
                <w:szCs w:val="1"/>
                <w:color w:val="auto"/>
              </w:rPr>
            </w:pP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subject to the terms and conditions of any other clawback policy as may be in effect from time to</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time, including specifically to implement Section 10D of the Exchange Act and any applicable</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rules or regulations promulgated thereunder (including applicable rules and regulations of any</w:t>
            </w:r>
          </w:p>
        </w:tc>
        <w:tc>
          <w:tcPr>
            <w:tcW w:w="0" w:type="dxa"/>
            <w:vAlign w:val="bottom"/>
          </w:tcPr>
          <w:p>
            <w:pPr>
              <w:spacing w:after="0"/>
              <w:rPr>
                <w:sz w:val="1"/>
                <w:szCs w:val="1"/>
                <w:color w:val="auto"/>
              </w:rPr>
            </w:pP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national securities exchange on which the shares of the Company may be traded).</w:t>
            </w:r>
          </w:p>
        </w:tc>
        <w:tc>
          <w:tcPr>
            <w:tcW w:w="0" w:type="dxa"/>
            <w:vAlign w:val="bottom"/>
          </w:tcPr>
          <w:p>
            <w:pPr>
              <w:spacing w:after="0"/>
              <w:rPr>
                <w:sz w:val="1"/>
                <w:szCs w:val="1"/>
                <w:color w:val="auto"/>
              </w:rPr>
            </w:pP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6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Applicable Law</w:t>
            </w: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This Agreement will be interpreted and enforced under the laws of the State of Delaware, other</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than any conflicts or choice of law rule or principle that might otherwise refer construction or</w:t>
            </w:r>
          </w:p>
        </w:tc>
        <w:tc>
          <w:tcPr>
            <w:tcW w:w="0" w:type="dxa"/>
            <w:vAlign w:val="bottom"/>
          </w:tcPr>
          <w:p>
            <w:pPr>
              <w:spacing w:after="0"/>
              <w:rPr>
                <w:sz w:val="1"/>
                <w:szCs w:val="1"/>
                <w:color w:val="auto"/>
              </w:rPr>
            </w:pP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interpretation of this Agreement to the substantive law of another jurisdiction.</w:t>
            </w:r>
          </w:p>
        </w:tc>
        <w:tc>
          <w:tcPr>
            <w:tcW w:w="0" w:type="dxa"/>
            <w:vAlign w:val="bottom"/>
          </w:tcPr>
          <w:p>
            <w:pPr>
              <w:spacing w:after="0"/>
              <w:rPr>
                <w:sz w:val="1"/>
                <w:szCs w:val="1"/>
                <w:color w:val="auto"/>
              </w:rPr>
            </w:pPr>
          </w:p>
        </w:tc>
      </w:tr>
      <w:tr>
        <w:trPr>
          <w:trHeight w:val="243"/>
        </w:trPr>
        <w:tc>
          <w:tcPr>
            <w:tcW w:w="2560" w:type="dxa"/>
            <w:vAlign w:val="bottom"/>
            <w:tcBorders>
              <w:left w:val="single" w:sz="8" w:color="auto"/>
              <w:bottom w:val="single" w:sz="8" w:color="auto"/>
              <w:right w:val="single" w:sz="8" w:color="auto"/>
            </w:tcBorders>
          </w:tcPr>
          <w:p>
            <w:pPr>
              <w:spacing w:after="0"/>
              <w:rPr>
                <w:sz w:val="21"/>
                <w:szCs w:val="21"/>
                <w:color w:val="auto"/>
              </w:rPr>
            </w:pPr>
          </w:p>
        </w:tc>
        <w:tc>
          <w:tcPr>
            <w:tcW w:w="6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The Plan</w:t>
            </w: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The text of the Plan is incorporated in this Agreement by reference.</w:t>
            </w:r>
          </w:p>
        </w:tc>
        <w:tc>
          <w:tcPr>
            <w:tcW w:w="0" w:type="dxa"/>
            <w:vAlign w:val="bottom"/>
          </w:tcPr>
          <w:p>
            <w:pPr>
              <w:spacing w:after="0"/>
              <w:rPr>
                <w:sz w:val="1"/>
                <w:szCs w:val="1"/>
                <w:color w:val="auto"/>
              </w:rPr>
            </w:pPr>
          </w:p>
        </w:tc>
      </w:tr>
      <w:tr>
        <w:trPr>
          <w:trHeight w:val="436"/>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b w:val="1"/>
                <w:bCs w:val="1"/>
                <w:i w:val="1"/>
                <w:iCs w:val="1"/>
                <w:color w:val="auto"/>
              </w:rPr>
              <w:t>Certain capitalized terms used in this Agreement that are not defined herein or in the Notice of</w:t>
            </w:r>
          </w:p>
        </w:tc>
        <w:tc>
          <w:tcPr>
            <w:tcW w:w="0" w:type="dxa"/>
            <w:vAlign w:val="bottom"/>
          </w:tcPr>
          <w:p>
            <w:pPr>
              <w:spacing w:after="0"/>
              <w:rPr>
                <w:sz w:val="1"/>
                <w:szCs w:val="1"/>
                <w:color w:val="auto"/>
              </w:rPr>
            </w:pPr>
          </w:p>
        </w:tc>
      </w:tr>
      <w:tr>
        <w:trPr>
          <w:trHeight w:val="234"/>
        </w:trPr>
        <w:tc>
          <w:tcPr>
            <w:tcW w:w="2560" w:type="dxa"/>
            <w:vAlign w:val="bottom"/>
            <w:tcBorders>
              <w:left w:val="single" w:sz="8" w:color="auto"/>
              <w:right w:val="single" w:sz="8" w:color="auto"/>
            </w:tcBorders>
          </w:tcPr>
          <w:p>
            <w:pPr>
              <w:spacing w:after="0"/>
              <w:rPr>
                <w:sz w:val="20"/>
                <w:szCs w:val="20"/>
                <w:color w:val="auto"/>
              </w:rPr>
            </w:pPr>
          </w:p>
        </w:tc>
        <w:tc>
          <w:tcPr>
            <w:tcW w:w="8700" w:type="dxa"/>
            <w:vAlign w:val="bottom"/>
            <w:tcBorders>
              <w:right w:val="single" w:sz="8" w:color="auto"/>
            </w:tcBorders>
            <w:gridSpan w:val="3"/>
          </w:tcPr>
          <w:p>
            <w:pPr>
              <w:ind w:left="60"/>
              <w:spacing w:after="0" w:line="234" w:lineRule="exact"/>
              <w:rPr>
                <w:sz w:val="20"/>
                <w:szCs w:val="20"/>
                <w:color w:val="auto"/>
              </w:rPr>
            </w:pPr>
            <w:r>
              <w:rPr>
                <w:rFonts w:ascii="Times New Roman" w:cs="Times New Roman" w:eastAsia="Times New Roman" w:hAnsi="Times New Roman"/>
                <w:sz w:val="21"/>
                <w:szCs w:val="21"/>
                <w:b w:val="1"/>
                <w:bCs w:val="1"/>
                <w:i w:val="1"/>
                <w:iCs w:val="1"/>
                <w:color w:val="auto"/>
              </w:rPr>
              <w:t>Grant are defined in the Plan, and have the meanings set forth in the Plan.</w:t>
            </w:r>
          </w:p>
        </w:tc>
        <w:tc>
          <w:tcPr>
            <w:tcW w:w="0" w:type="dxa"/>
            <w:vAlign w:val="bottom"/>
          </w:tcPr>
          <w:p>
            <w:pPr>
              <w:spacing w:after="0"/>
              <w:rPr>
                <w:sz w:val="1"/>
                <w:szCs w:val="1"/>
                <w:color w:val="auto"/>
              </w:rPr>
            </w:pPr>
          </w:p>
        </w:tc>
      </w:tr>
      <w:tr>
        <w:trPr>
          <w:trHeight w:val="20"/>
        </w:trPr>
        <w:tc>
          <w:tcPr>
            <w:tcW w:w="2560" w:type="dxa"/>
            <w:vAlign w:val="bottom"/>
            <w:tcBorders>
              <w:left w:val="single" w:sz="8" w:color="auto"/>
              <w:right w:val="single" w:sz="8" w:color="auto"/>
            </w:tcBorders>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This Agreement, the Notice of Grant, and the Plan constitute the entire understanding between you</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and  the  Company  regarding  this  grant  of  Restricted  Stock  Units.  Any  prior  agreements,</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commitments or negotiations concerning this grant are superseded; except that any written</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employment,  consulting,  confidentiality,  non-competition,  non-solicitation,  and/or  severance</w:t>
            </w:r>
          </w:p>
        </w:tc>
        <w:tc>
          <w:tcPr>
            <w:tcW w:w="0" w:type="dxa"/>
            <w:vAlign w:val="bottom"/>
          </w:tcPr>
          <w:p>
            <w:pPr>
              <w:spacing w:after="0"/>
              <w:rPr>
                <w:sz w:val="1"/>
                <w:szCs w:val="1"/>
                <w:color w:val="auto"/>
              </w:rPr>
            </w:pP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agreement between you and the Company or any Affiliate shall supersede this Agreement with</w:t>
            </w:r>
          </w:p>
        </w:tc>
        <w:tc>
          <w:tcPr>
            <w:tcW w:w="0" w:type="dxa"/>
            <w:vAlign w:val="bottom"/>
          </w:tcPr>
          <w:p>
            <w:pPr>
              <w:spacing w:after="0"/>
              <w:rPr>
                <w:sz w:val="1"/>
                <w:szCs w:val="1"/>
                <w:color w:val="auto"/>
              </w:rPr>
            </w:pP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respect to its subject matter.</w:t>
            </w:r>
          </w:p>
        </w:tc>
        <w:tc>
          <w:tcPr>
            <w:tcW w:w="0" w:type="dxa"/>
            <w:vAlign w:val="bottom"/>
          </w:tcPr>
          <w:p>
            <w:pPr>
              <w:spacing w:after="0"/>
              <w:rPr>
                <w:sz w:val="1"/>
                <w:szCs w:val="1"/>
                <w:color w:val="auto"/>
              </w:rPr>
            </w:pP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If there is any conflict between this Agreement and the Plan, or if there is any ambiguity in this</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Agreement, any term that is not defined in this Agreement or any matter as to which this</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Agreement is silent, in any such case, the Plan shall govern, including, without limitation, the</w:t>
            </w:r>
          </w:p>
        </w:tc>
        <w:tc>
          <w:tcPr>
            <w:tcW w:w="0" w:type="dxa"/>
            <w:vAlign w:val="bottom"/>
          </w:tcPr>
          <w:p>
            <w:pPr>
              <w:spacing w:after="0"/>
              <w:rPr>
                <w:sz w:val="1"/>
                <w:szCs w:val="1"/>
                <w:color w:val="auto"/>
              </w:rPr>
            </w:pP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provisions thereof pursuant to which the Committee has the power, among others, to (a) interpret</w:t>
            </w:r>
          </w:p>
        </w:tc>
        <w:tc>
          <w:tcPr>
            <w:tcW w:w="0" w:type="dxa"/>
            <w:vAlign w:val="bottom"/>
          </w:tcPr>
          <w:p>
            <w:pPr>
              <w:spacing w:after="0"/>
              <w:rPr>
                <w:sz w:val="1"/>
                <w:szCs w:val="1"/>
                <w:color w:val="auto"/>
              </w:rPr>
            </w:pP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the Plan, (b) prescribe, amend and rescind rules and regulations relating to the Plan and (c) make all</w:t>
            </w:r>
          </w:p>
        </w:tc>
        <w:tc>
          <w:tcPr>
            <w:tcW w:w="0" w:type="dxa"/>
            <w:vAlign w:val="bottom"/>
          </w:tcPr>
          <w:p>
            <w:pPr>
              <w:spacing w:after="0"/>
              <w:rPr>
                <w:sz w:val="1"/>
                <w:szCs w:val="1"/>
                <w:color w:val="auto"/>
              </w:rPr>
            </w:pPr>
          </w:p>
        </w:tc>
      </w:tr>
      <w:tr>
        <w:trPr>
          <w:trHeight w:val="288"/>
        </w:trPr>
        <w:tc>
          <w:tcPr>
            <w:tcW w:w="2560" w:type="dxa"/>
            <w:vAlign w:val="bottom"/>
            <w:tcBorders>
              <w:left w:val="single" w:sz="8" w:color="auto"/>
              <w:bottom w:val="single" w:sz="8" w:color="auto"/>
              <w:right w:val="single" w:sz="8" w:color="auto"/>
            </w:tcBorders>
          </w:tcPr>
          <w:p>
            <w:pPr>
              <w:spacing w:after="0"/>
              <w:rPr>
                <w:sz w:val="24"/>
                <w:szCs w:val="24"/>
                <w:color w:val="auto"/>
              </w:rPr>
            </w:pPr>
          </w:p>
        </w:tc>
        <w:tc>
          <w:tcPr>
            <w:tcW w:w="8700" w:type="dxa"/>
            <w:vAlign w:val="bottom"/>
            <w:tcBorders>
              <w:bottom w:val="single" w:sz="8" w:color="auto"/>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other determinations deemed necessary or advisable for the administration of the Plan.</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Learn more at fortrea.com. ©2024 Fortrea Inc. All rights</w:t>
      </w:r>
    </w:p>
    <w:p>
      <w:pPr>
        <w:ind w:left="20"/>
        <w:spacing w:after="0" w:line="220" w:lineRule="auto"/>
        <w:tabs>
          <w:tab w:leader="none" w:pos="5440" w:val="left"/>
        </w:tabs>
        <w:rPr>
          <w:sz w:val="20"/>
          <w:szCs w:val="20"/>
          <w:color w:val="auto"/>
        </w:rPr>
      </w:pPr>
      <w:r>
        <w:rPr>
          <w:rFonts w:ascii="Times New Roman" w:cs="Times New Roman" w:eastAsia="Times New Roman" w:hAnsi="Times New Roman"/>
          <w:sz w:val="21"/>
          <w:szCs w:val="21"/>
          <w:color w:val="auto"/>
        </w:rPr>
        <w:t>reserved.</w:t>
      </w:r>
      <w:r>
        <w:rPr>
          <w:sz w:val="20"/>
          <w:szCs w:val="20"/>
          <w:color w:val="auto"/>
        </w:rPr>
        <w:tab/>
      </w:r>
      <w:r>
        <w:rPr>
          <w:rFonts w:ascii="Times New Roman" w:cs="Times New Roman" w:eastAsia="Times New Roman" w:hAnsi="Times New Roman"/>
          <w:sz w:val="21"/>
          <w:szCs w:val="21"/>
          <w:color w:val="auto"/>
        </w:rPr>
        <w:t>-9-</w:t>
      </w:r>
    </w:p>
    <w:p>
      <w:pPr>
        <w:sectPr>
          <w:pgSz w:w="11900" w:h="16838" w:orient="portrait"/>
          <w:cols w:equalWidth="0" w:num="1">
            <w:col w:w="11260"/>
          </w:cols>
          <w:pgMar w:left="320" w:top="1320" w:right="319" w:bottom="1440" w:gutter="0" w:footer="0" w:header="0"/>
        </w:sectPr>
      </w:pPr>
    </w:p>
    <w:bookmarkStart w:id="59" w:name="page60"/>
    <w:bookmarkEnd w:id="59"/>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Data Privacy</w:t>
            </w:r>
          </w:p>
        </w:tc>
        <w:tc>
          <w:tcPr>
            <w:tcW w:w="60" w:type="dxa"/>
            <w:vAlign w:val="bottom"/>
            <w:tcBorders>
              <w:top w:val="single" w:sz="8" w:color="auto"/>
            </w:tcBorders>
          </w:tcPr>
          <w:p>
            <w:pPr>
              <w:spacing w:after="0"/>
              <w:rPr>
                <w:sz w:val="22"/>
                <w:szCs w:val="22"/>
                <w:color w:val="auto"/>
              </w:rPr>
            </w:pPr>
          </w:p>
        </w:tc>
        <w:tc>
          <w:tcPr>
            <w:tcW w:w="864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b w:val="1"/>
                <w:bCs w:val="1"/>
                <w:color w:val="auto"/>
              </w:rPr>
              <w:t>Data Protection (European Union/European Economic Area/United Kingdom)</w:t>
            </w:r>
          </w:p>
        </w:tc>
      </w:tr>
      <w:tr>
        <w:trPr>
          <w:trHeight w:val="20"/>
        </w:trPr>
        <w:tc>
          <w:tcPr>
            <w:tcW w:w="256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r>
      <w:tr>
        <w:trPr>
          <w:trHeight w:val="473"/>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The Company and/or any of its local subsidiaries or other Affiliates, including your employer, will</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process your personal data in connection with the Plan and this Agreement in accordance with the</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terms of the privacy notice previously provided to you.</w:t>
            </w: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In the event the Company and/or any of its local subsidiaries or other Affiliates may need to</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process information relating to your health or the identity of your spouse or civil partner in order to</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operate the Plan, the Company will seek your explicit consent (in the case of information relating to</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your health), or, their consent (in respect of information relating to the personal identity of your</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spouse or civil partner), where appropriate.</w:t>
            </w:r>
          </w:p>
        </w:tc>
      </w:tr>
      <w:tr>
        <w:trPr>
          <w:trHeight w:val="416"/>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b w:val="1"/>
                <w:bCs w:val="1"/>
                <w:color w:val="auto"/>
              </w:rPr>
              <w:t>Data Protection (Jurisdictions other than European Union/European Economic Area/United</w:t>
            </w:r>
          </w:p>
        </w:tc>
        <w:tc>
          <w:tcPr>
            <w:tcW w:w="100" w:type="dxa"/>
            <w:vAlign w:val="bottom"/>
            <w:tcBorders>
              <w:right w:val="single" w:sz="8" w:color="auto"/>
            </w:tcBorders>
          </w:tcPr>
          <w:p>
            <w:pPr>
              <w:spacing w:after="0"/>
              <w:rPr>
                <w:sz w:val="24"/>
                <w:szCs w:val="24"/>
                <w:color w:val="auto"/>
              </w:rPr>
            </w:pPr>
          </w:p>
        </w:tc>
      </w:tr>
      <w:tr>
        <w:trPr>
          <w:trHeight w:val="234"/>
        </w:trPr>
        <w:tc>
          <w:tcPr>
            <w:tcW w:w="256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640" w:type="dxa"/>
            <w:vAlign w:val="bottom"/>
            <w:tcBorders>
              <w:right w:val="single" w:sz="8" w:color="auto"/>
            </w:tcBorders>
            <w:gridSpan w:val="4"/>
          </w:tcPr>
          <w:p>
            <w:pPr>
              <w:spacing w:after="0" w:line="234" w:lineRule="exact"/>
              <w:rPr>
                <w:sz w:val="20"/>
                <w:szCs w:val="20"/>
                <w:color w:val="auto"/>
              </w:rPr>
            </w:pPr>
            <w:r>
              <w:rPr>
                <w:rFonts w:ascii="Times New Roman" w:cs="Times New Roman" w:eastAsia="Times New Roman" w:hAnsi="Times New Roman"/>
                <w:sz w:val="21"/>
                <w:szCs w:val="21"/>
                <w:b w:val="1"/>
                <w:bCs w:val="1"/>
                <w:color w:val="auto"/>
              </w:rPr>
              <w:t>Kingdom)</w:t>
            </w:r>
            <w:r>
              <w:rPr>
                <w:rFonts w:ascii="Times New Roman" w:cs="Times New Roman" w:eastAsia="Times New Roman" w:hAnsi="Times New Roman"/>
                <w:sz w:val="21"/>
                <w:szCs w:val="21"/>
                <w:color w:val="auto"/>
              </w:rPr>
              <w:t>.</w:t>
            </w:r>
          </w:p>
        </w:tc>
      </w:tr>
      <w:tr>
        <w:trPr>
          <w:trHeight w:val="20"/>
        </w:trPr>
        <w:tc>
          <w:tcPr>
            <w:tcW w:w="256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700" w:type="dxa"/>
            <w:vAlign w:val="bottom"/>
            <w:tcBorders>
              <w:right w:val="single" w:sz="8" w:color="auto"/>
            </w:tcBorders>
            <w:gridSpan w:val="3"/>
          </w:tcPr>
          <w:p>
            <w:pPr>
              <w:spacing w:after="0" w:line="20" w:lineRule="exact"/>
              <w:rPr>
                <w:sz w:val="1"/>
                <w:szCs w:val="1"/>
                <w:color w:val="auto"/>
              </w:rPr>
            </w:pPr>
          </w:p>
        </w:tc>
      </w:tr>
      <w:tr>
        <w:trPr>
          <w:trHeight w:val="473"/>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In order to administer the Plan, the Company may process personal data about you. The Company</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may instruct its Affiliates to administer the Plan on its behalf. For a list of the Company’s Affiliates</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from time to time please contact the Company’s Chief Legal Officer.</w:t>
            </w:r>
          </w:p>
        </w:tc>
      </w:tr>
      <w:tr>
        <w:trPr>
          <w:trHeight w:val="456"/>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The Company may process the following personal data in connection with the administration of the</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Plan:</w:t>
            </w:r>
          </w:p>
        </w:tc>
      </w:tr>
      <w:tr>
        <w:trPr>
          <w:trHeight w:val="467"/>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1"/>
                <w:szCs w:val="21"/>
                <w:color w:val="auto"/>
              </w:rPr>
              <w:t>•   information provided in this Agreement and any changes thereto;</w:t>
            </w: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1"/>
                <w:szCs w:val="21"/>
                <w:color w:val="auto"/>
              </w:rPr>
              <w:t>•  contact information such as your home and business addresses, telephone numbers and</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ind w:left="640"/>
              <w:spacing w:after="0"/>
              <w:rPr>
                <w:sz w:val="20"/>
                <w:szCs w:val="20"/>
                <w:color w:val="auto"/>
              </w:rPr>
            </w:pPr>
            <w:r>
              <w:rPr>
                <w:rFonts w:ascii="Times New Roman" w:cs="Times New Roman" w:eastAsia="Times New Roman" w:hAnsi="Times New Roman"/>
                <w:sz w:val="21"/>
                <w:szCs w:val="21"/>
                <w:color w:val="auto"/>
              </w:rPr>
              <w:t>email address;</w:t>
            </w:r>
          </w:p>
        </w:tc>
      </w:tr>
      <w:tr>
        <w:trPr>
          <w:trHeight w:val="480"/>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1"/>
                <w:szCs w:val="21"/>
                <w:color w:val="auto"/>
              </w:rPr>
              <w:t>•  payroll information;</w:t>
            </w:r>
          </w:p>
        </w:tc>
      </w:tr>
      <w:tr>
        <w:trPr>
          <w:trHeight w:val="467"/>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1"/>
                <w:szCs w:val="21"/>
                <w:color w:val="auto"/>
              </w:rPr>
              <w:t>•  start and end dates of employment;</w:t>
            </w: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1"/>
                <w:szCs w:val="21"/>
                <w:color w:val="auto"/>
              </w:rPr>
              <w:t>•  information about your employment which is relevant to awards under the Plan (for</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ind w:left="640"/>
              <w:spacing w:after="0"/>
              <w:rPr>
                <w:sz w:val="20"/>
                <w:szCs w:val="20"/>
                <w:color w:val="auto"/>
              </w:rPr>
            </w:pPr>
            <w:r>
              <w:rPr>
                <w:rFonts w:ascii="Times New Roman" w:cs="Times New Roman" w:eastAsia="Times New Roman" w:hAnsi="Times New Roman"/>
                <w:sz w:val="21"/>
                <w:szCs w:val="21"/>
                <w:color w:val="auto"/>
              </w:rPr>
              <w:t>example details of performance required for performance-based awards); and</w:t>
            </w:r>
          </w:p>
        </w:tc>
      </w:tr>
      <w:tr>
        <w:trPr>
          <w:trHeight w:val="467"/>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1"/>
                <w:szCs w:val="21"/>
                <w:color w:val="auto"/>
              </w:rPr>
              <w:t>•  other personal data about you which is necessary for the administration of the Plan.</w:t>
            </w:r>
          </w:p>
        </w:tc>
      </w:tr>
      <w:tr>
        <w:trPr>
          <w:trHeight w:val="480"/>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This information may be provided to the Company by you or your employer.</w:t>
            </w: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By accepting this grant, you give explicit consent to the Company to process any such personal</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data or use Affiliates to process data on its behalf.</w:t>
            </w: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You also give explicit consent to the Company and any Affiliate to transfer any such personal data</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outside the country in which you work or are employed, including, with respect to non-U.S.</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resident participants, to the United States, to transferees who shall include the Company, any</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Affiliate and other persons who are designated by the Company to administer the Plan.</w:t>
            </w: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You are entitled to receive information about the processing of your personal data and to request</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that any incorrect data be rectified.</w:t>
            </w: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r>
      <w:tr>
        <w:trPr>
          <w:trHeight w:val="259"/>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Notices</w:t>
            </w:r>
          </w:p>
        </w:tc>
        <w:tc>
          <w:tcPr>
            <w:tcW w:w="60" w:type="dxa"/>
            <w:vAlign w:val="bottom"/>
          </w:tcPr>
          <w:p>
            <w:pPr>
              <w:spacing w:after="0"/>
              <w:rPr>
                <w:sz w:val="22"/>
                <w:szCs w:val="22"/>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Any notices to be given under the terms of this Agreement shall be in writing and addressed to the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Company at 8 Moore Drive, Durham, NC 27709, Attention: General Counsel, and to you at the</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address in the Company’s books and records, or at such address as either party may hereafter</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designate in writing to the other.</w:t>
            </w: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r>
      <w:tr>
        <w:trPr>
          <w:trHeight w:val="220"/>
        </w:trPr>
        <w:tc>
          <w:tcPr>
            <w:tcW w:w="2560" w:type="dxa"/>
            <w:vAlign w:val="bottom"/>
            <w:tcBorders>
              <w:left w:val="single" w:sz="8" w:color="auto"/>
              <w:right w:val="single" w:sz="8" w:color="auto"/>
            </w:tcBorders>
          </w:tcPr>
          <w:p>
            <w:pPr>
              <w:ind w:left="100"/>
              <w:spacing w:after="0" w:line="220" w:lineRule="exact"/>
              <w:rPr>
                <w:sz w:val="20"/>
                <w:szCs w:val="20"/>
                <w:color w:val="auto"/>
              </w:rPr>
            </w:pPr>
            <w:r>
              <w:rPr>
                <w:rFonts w:ascii="Times New Roman" w:cs="Times New Roman" w:eastAsia="Times New Roman" w:hAnsi="Times New Roman"/>
                <w:sz w:val="21"/>
                <w:szCs w:val="21"/>
                <w:b w:val="1"/>
                <w:bCs w:val="1"/>
                <w:color w:val="auto"/>
              </w:rPr>
              <w:t>Consent to Electronic</w:t>
            </w:r>
          </w:p>
        </w:tc>
        <w:tc>
          <w:tcPr>
            <w:tcW w:w="60" w:type="dxa"/>
            <w:vAlign w:val="bottom"/>
          </w:tcPr>
          <w:p>
            <w:pPr>
              <w:spacing w:after="0"/>
              <w:rPr>
                <w:sz w:val="19"/>
                <w:szCs w:val="19"/>
                <w:color w:val="auto"/>
              </w:rPr>
            </w:pPr>
          </w:p>
        </w:tc>
        <w:tc>
          <w:tcPr>
            <w:tcW w:w="8640" w:type="dxa"/>
            <w:vAlign w:val="bottom"/>
            <w:tcBorders>
              <w:right w:val="single" w:sz="8" w:color="auto"/>
            </w:tcBorders>
            <w:gridSpan w:val="4"/>
          </w:tcPr>
          <w:p>
            <w:pPr>
              <w:spacing w:after="0" w:line="220" w:lineRule="exact"/>
              <w:rPr>
                <w:sz w:val="20"/>
                <w:szCs w:val="20"/>
                <w:color w:val="auto"/>
              </w:rPr>
            </w:pPr>
            <w:r>
              <w:rPr>
                <w:rFonts w:ascii="Times New Roman" w:cs="Times New Roman" w:eastAsia="Times New Roman" w:hAnsi="Times New Roman"/>
                <w:sz w:val="21"/>
                <w:szCs w:val="21"/>
                <w:color w:val="auto"/>
              </w:rPr>
              <w:t>The Company may choose to deliver certain statutory materials relating to the Plan as well as any</w:t>
            </w:r>
          </w:p>
        </w:tc>
      </w:tr>
      <w:tr>
        <w:trPr>
          <w:trHeight w:val="293"/>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Delivery</w:t>
            </w: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other documents related to the grant in electronic form. By accepting this grant, you agree that the</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Company may deliver the Plan prospectus, the Company’s annual report, and other grant-related</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materials to you in an electronic format. If at any time you would prefer to receive paper copies of</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these documents, as you are entitled to, the Company would be pleased to provide copies. Please</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email your request for paper copies to StockCompliance@Fortrea.com.</w:t>
            </w: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r>
      <w:tr>
        <w:trPr>
          <w:trHeight w:val="289"/>
        </w:trPr>
        <w:tc>
          <w:tcPr>
            <w:tcW w:w="25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Electronic Signature</w:t>
            </w:r>
          </w:p>
        </w:tc>
        <w:tc>
          <w:tcPr>
            <w:tcW w:w="60" w:type="dxa"/>
            <w:vAlign w:val="bottom"/>
          </w:tcPr>
          <w:p>
            <w:pPr>
              <w:spacing w:after="0"/>
              <w:rPr>
                <w:sz w:val="24"/>
                <w:szCs w:val="24"/>
                <w:color w:val="auto"/>
              </w:rPr>
            </w:pPr>
          </w:p>
        </w:tc>
        <w:tc>
          <w:tcPr>
            <w:tcW w:w="864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All references to signatures and delivery of documents in this Agreement can be satisfied by</w:t>
            </w:r>
          </w:p>
        </w:tc>
      </w:tr>
    </w:tbl>
    <w:p>
      <w:pPr>
        <w:sectPr>
          <w:pgSz w:w="11900" w:h="16900" w:orient="portrait"/>
          <w:cols w:equalWidth="0" w:num="1">
            <w:col w:w="11260"/>
          </w:cols>
          <w:pgMar w:left="320" w:top="1320" w:right="319" w:bottom="0" w:gutter="0" w:footer="0" w:header="0"/>
        </w:sectPr>
      </w:pPr>
    </w:p>
    <w:bookmarkStart w:id="60" w:name="page61"/>
    <w:bookmarkEnd w:id="60"/>
    <w:p>
      <w:pPr>
        <w:jc w:val="both"/>
        <w:ind w:left="2600"/>
        <w:spacing w:after="0" w:line="264" w:lineRule="auto"/>
        <w:rPr>
          <w:sz w:val="20"/>
          <w:szCs w:val="20"/>
          <w:color w:val="auto"/>
        </w:rPr>
      </w:pPr>
      <w:r>
        <w:rPr>
          <w:rFonts w:ascii="Times New Roman" w:cs="Times New Roman" w:eastAsia="Times New Roman" w:hAnsi="Times New Roman"/>
          <w:sz w:val="21"/>
          <w:szCs w:val="21"/>
          <w:color w:val="auto"/>
        </w:rPr>
        <w:t>procedures the Company has established or may establish for an electronic signature system for delivery and acceptance of any such documents, including this Agreement. Your electronic signature is the same as, and shall have the same force and effect as, your manual signature. Any such procedures and delivery may be effected by a third party engaged by the Company to provide administrative services related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-817245</wp:posOffset>
            </wp:positionV>
            <wp:extent cx="7142480" cy="9575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2480" cy="9575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Learn more at fortrea.com. ©2024 Fortrea Inc. All rights</w:t>
      </w:r>
    </w:p>
    <w:p>
      <w:pPr>
        <w:spacing w:after="0" w:line="220" w:lineRule="auto"/>
        <w:tabs>
          <w:tab w:leader="none" w:pos="5420" w:val="left"/>
        </w:tabs>
        <w:rPr>
          <w:sz w:val="20"/>
          <w:szCs w:val="20"/>
          <w:color w:val="auto"/>
        </w:rPr>
      </w:pPr>
      <w:r>
        <w:rPr>
          <w:rFonts w:ascii="Times New Roman" w:cs="Times New Roman" w:eastAsia="Times New Roman" w:hAnsi="Times New Roman"/>
          <w:sz w:val="21"/>
          <w:szCs w:val="21"/>
          <w:color w:val="auto"/>
        </w:rPr>
        <w:t>reserved.</w:t>
      </w:r>
      <w:r>
        <w:rPr>
          <w:sz w:val="20"/>
          <w:szCs w:val="20"/>
          <w:color w:val="auto"/>
        </w:rPr>
        <w:tab/>
      </w:r>
      <w:r>
        <w:rPr>
          <w:rFonts w:ascii="Times New Roman" w:cs="Times New Roman" w:eastAsia="Times New Roman" w:hAnsi="Times New Roman"/>
          <w:sz w:val="21"/>
          <w:szCs w:val="21"/>
          <w:color w:val="auto"/>
        </w:rPr>
        <w:t>-10-</w:t>
      </w:r>
    </w:p>
    <w:p>
      <w:pPr>
        <w:sectPr>
          <w:pgSz w:w="11900" w:h="16838" w:orient="portrait"/>
          <w:cols w:equalWidth="0" w:num="1">
            <w:col w:w="11140"/>
          </w:cols>
          <w:pgMar w:left="340" w:top="100" w:right="41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79"/>
        </w:trPr>
        <w:tc>
          <w:tcPr>
            <w:tcW w:w="25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Code Section 409A</w:t>
            </w:r>
          </w:p>
        </w:tc>
        <w:tc>
          <w:tcPr>
            <w:tcW w:w="87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It is intended that the Restricted Stock Units comply with Section 409A of the Code and the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guidance and regulations promulgated thereunder (“Section 409A”) or an exemption from Section</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409A. To the extent that the Company determines that you would be subject to the additional taxes</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or  penalties  imposed  on  certain  non-qualified  deferred  compensation  plans  pursuant  to</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409A as a result of any provision of this Agreement, such provision shall be deemed</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amended to the minimum extent necessary to avoid application of such additional taxes or</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penalties.  The  nature  of  any  such  amendment  shall  be  determined  by  the  Company.</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Notwithstanding anything to the contrary in this Agreement or the Plan, to the extent required to</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avoid accelerated taxation and penalties under Section 409A, amounts that would otherwise be</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payable and benefits that would otherwise be provided pursuant to the Agreement during the 6-</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month period immediately following your Separation from Service will instead be paid on the first</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payroll date after the 6-month anniversary of your Separation from Service (or your death, if</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earlier). Each installment of Restricted Stock Units that vests under this Agreement (if there is more</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than one installment) will be considered one of a series of separate payments for purposes of</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Section 409A.</w:t>
            </w:r>
          </w:p>
        </w:tc>
      </w:tr>
      <w:tr>
        <w:trPr>
          <w:trHeight w:val="442"/>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“Separation from Service” shall have the meaning set forth in Section 409A which includes when</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the Company reasonably anticipates that your level of Services will permanently decrease to no</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more than 20% of the average level of Services you have performed over the immediately</w:t>
            </w:r>
          </w:p>
        </w:tc>
      </w:tr>
      <w:tr>
        <w:trPr>
          <w:trHeight w:val="267"/>
        </w:trPr>
        <w:tc>
          <w:tcPr>
            <w:tcW w:w="2560" w:type="dxa"/>
            <w:vAlign w:val="bottom"/>
            <w:tcBorders>
              <w:left w:val="single" w:sz="8" w:color="auto"/>
              <w:right w:val="single" w:sz="8" w:color="auto"/>
            </w:tcBorders>
          </w:tcPr>
          <w:p>
            <w:pPr>
              <w:spacing w:after="0"/>
              <w:rPr>
                <w:sz w:val="23"/>
                <w:szCs w:val="23"/>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preceding 36-month period (or such lesser period of your Service with the Company and its</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Affiliates), which shall be interpreted consistently with the provisions of Section 409A. It is</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intended that the Agreement comply with Section 409A to the extent subject thereto, and,</w:t>
            </w:r>
          </w:p>
        </w:tc>
      </w:tr>
      <w:tr>
        <w:trPr>
          <w:trHeight w:val="254"/>
        </w:trPr>
        <w:tc>
          <w:tcPr>
            <w:tcW w:w="2560" w:type="dxa"/>
            <w:vAlign w:val="bottom"/>
            <w:tcBorders>
              <w:left w:val="single" w:sz="8" w:color="auto"/>
              <w:right w:val="single" w:sz="8" w:color="auto"/>
            </w:tcBorders>
          </w:tcPr>
          <w:p>
            <w:pPr>
              <w:spacing w:after="0"/>
              <w:rPr>
                <w:sz w:val="22"/>
                <w:szCs w:val="22"/>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accordingly, to the maximum extent permitted, the Agreement will be interpreted and administered</w:t>
            </w:r>
          </w:p>
        </w:tc>
      </w:tr>
      <w:tr>
        <w:trPr>
          <w:trHeight w:val="278"/>
        </w:trPr>
        <w:tc>
          <w:tcPr>
            <w:tcW w:w="2560" w:type="dxa"/>
            <w:vAlign w:val="bottom"/>
            <w:tcBorders>
              <w:left w:val="single" w:sz="8" w:color="auto"/>
              <w:right w:val="single" w:sz="8" w:color="auto"/>
            </w:tcBorders>
          </w:tcPr>
          <w:p>
            <w:pPr>
              <w:spacing w:after="0"/>
              <w:rPr>
                <w:sz w:val="24"/>
                <w:szCs w:val="24"/>
                <w:color w:val="auto"/>
              </w:rPr>
            </w:pPr>
          </w:p>
        </w:tc>
        <w:tc>
          <w:tcPr>
            <w:tcW w:w="87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to be in compliance with Section 409A.</w:t>
            </w:r>
          </w:p>
        </w:tc>
      </w:tr>
      <w:tr>
        <w:trPr>
          <w:trHeight w:val="230"/>
        </w:trPr>
        <w:tc>
          <w:tcPr>
            <w:tcW w:w="2560" w:type="dxa"/>
            <w:vAlign w:val="bottom"/>
            <w:tcBorders>
              <w:left w:val="single" w:sz="8" w:color="auto"/>
              <w:bottom w:val="single" w:sz="8" w:color="auto"/>
              <w:right w:val="single" w:sz="8" w:color="auto"/>
            </w:tcBorders>
          </w:tcPr>
          <w:p>
            <w:pPr>
              <w:spacing w:after="0"/>
              <w:rPr>
                <w:sz w:val="19"/>
                <w:szCs w:val="19"/>
                <w:color w:val="auto"/>
              </w:rPr>
            </w:pPr>
          </w:p>
        </w:tc>
        <w:tc>
          <w:tcPr>
            <w:tcW w:w="8700" w:type="dxa"/>
            <w:vAlign w:val="bottom"/>
            <w:tcBorders>
              <w:bottom w:val="single" w:sz="8" w:color="auto"/>
              <w:right w:val="single" w:sz="8" w:color="auto"/>
            </w:tcBorders>
          </w:tcPr>
          <w:p>
            <w:pPr>
              <w:spacing w:after="0"/>
              <w:rPr>
                <w:sz w:val="19"/>
                <w:szCs w:val="19"/>
                <w:color w:val="auto"/>
              </w:rPr>
            </w:pPr>
          </w:p>
        </w:tc>
      </w:tr>
    </w:tbl>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Learn more at fortrea.com. ©2024 Fortrea Inc. All rights</w:t>
      </w:r>
    </w:p>
    <w:p>
      <w:pPr>
        <w:ind w:left="20"/>
        <w:spacing w:after="0" w:line="220" w:lineRule="auto"/>
        <w:tabs>
          <w:tab w:leader="none" w:pos="5440" w:val="left"/>
        </w:tabs>
        <w:rPr>
          <w:sz w:val="20"/>
          <w:szCs w:val="20"/>
          <w:color w:val="auto"/>
        </w:rPr>
      </w:pPr>
      <w:r>
        <w:rPr>
          <w:rFonts w:ascii="Times New Roman" w:cs="Times New Roman" w:eastAsia="Times New Roman" w:hAnsi="Times New Roman"/>
          <w:sz w:val="21"/>
          <w:szCs w:val="21"/>
          <w:color w:val="auto"/>
        </w:rPr>
        <w:t>reserved.</w:t>
      </w:r>
      <w:r>
        <w:rPr>
          <w:sz w:val="20"/>
          <w:szCs w:val="20"/>
          <w:color w:val="auto"/>
        </w:rPr>
        <w:tab/>
      </w:r>
      <w:r>
        <w:rPr>
          <w:rFonts w:ascii="Times New Roman" w:cs="Times New Roman" w:eastAsia="Times New Roman" w:hAnsi="Times New Roman"/>
          <w:sz w:val="21"/>
          <w:szCs w:val="21"/>
          <w:color w:val="auto"/>
        </w:rPr>
        <w:t>-11-</w:t>
      </w:r>
    </w:p>
    <w:p>
      <w:pPr>
        <w:sectPr>
          <w:pgSz w:w="11900" w:h="16838" w:orient="portrait"/>
          <w:cols w:equalWidth="0" w:num="1">
            <w:col w:w="11260"/>
          </w:cols>
          <w:pgMar w:left="320" w:top="1320" w:right="319" w:bottom="1440" w:gutter="0" w:footer="0" w:header="0"/>
        </w:sectPr>
      </w:pPr>
    </w:p>
    <w:bookmarkStart w:id="62" w:name="page63"/>
    <w:bookmarkEnd w:id="62"/>
    <w:p>
      <w:pPr>
        <w:ind w:left="100"/>
        <w:spacing w:after="0"/>
        <w:tabs>
          <w:tab w:leader="none" w:pos="2600" w:val="left"/>
        </w:tabs>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851535</wp:posOffset>
            </wp:positionV>
            <wp:extent cx="7142480" cy="19742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2480" cy="1974215"/>
                    </a:xfrm>
                    <a:prstGeom prst="rect">
                      <a:avLst/>
                    </a:prstGeom>
                    <a:noFill/>
                  </pic:spPr>
                </pic:pic>
              </a:graphicData>
            </a:graphic>
          </wp:anchor>
        </w:drawing>
        <w:t>Additional Terms for</w:t>
      </w:r>
      <w:r>
        <w:rPr>
          <w:sz w:val="20"/>
          <w:szCs w:val="20"/>
          <w:color w:val="auto"/>
        </w:rPr>
        <w:tab/>
      </w:r>
      <w:r>
        <w:rPr>
          <w:rFonts w:ascii="Times New Roman" w:cs="Times New Roman" w:eastAsia="Times New Roman" w:hAnsi="Times New Roman"/>
          <w:sz w:val="21"/>
          <w:szCs w:val="21"/>
          <w:color w:val="auto"/>
        </w:rPr>
        <w:t>Notwithstanding anything to the contrary in this Agreement, if you work and/or reside outside of</w:t>
      </w:r>
    </w:p>
    <w:p>
      <w:pPr>
        <w:spacing w:after="0" w:line="40" w:lineRule="exact"/>
        <w:rPr>
          <w:sz w:val="20"/>
          <w:szCs w:val="20"/>
          <w:color w:val="auto"/>
        </w:rPr>
      </w:pPr>
    </w:p>
    <w:p>
      <w:pPr>
        <w:jc w:val="both"/>
        <w:ind w:left="2620" w:right="80" w:hanging="2534"/>
        <w:spacing w:after="0" w:line="256" w:lineRule="auto"/>
        <w:tabs>
          <w:tab w:leader="none" w:pos="2600" w:val="left"/>
        </w:tabs>
        <w:rPr>
          <w:sz w:val="20"/>
          <w:szCs w:val="20"/>
          <w:color w:val="auto"/>
        </w:rPr>
      </w:pPr>
      <w:r>
        <w:rPr>
          <w:rFonts w:ascii="Times New Roman" w:cs="Times New Roman" w:eastAsia="Times New Roman" w:hAnsi="Times New Roman"/>
          <w:sz w:val="21"/>
          <w:szCs w:val="21"/>
          <w:b w:val="1"/>
          <w:bCs w:val="1"/>
          <w:color w:val="auto"/>
        </w:rPr>
        <w:t>Non-U.S. Grantees</w:t>
      </w:r>
      <w:r>
        <w:rPr>
          <w:sz w:val="20"/>
          <w:szCs w:val="20"/>
          <w:color w:val="auto"/>
        </w:rPr>
        <w:tab/>
      </w:r>
      <w:r>
        <w:rPr>
          <w:rFonts w:ascii="Times New Roman" w:cs="Times New Roman" w:eastAsia="Times New Roman" w:hAnsi="Times New Roman"/>
          <w:sz w:val="21"/>
          <w:szCs w:val="21"/>
          <w:color w:val="auto"/>
        </w:rPr>
        <w:t>the United States, you shall be subject to the Additional Terms and Conditions for Non-U.S. Grantees attached hereto as Addendum A and to any Country-Specific Terms and Conditions attached hereto as Addendum B. If you are a citizen or resident of a country (or are considered as such for local law purposes) other than the one in which you are currently working or residing or if you relocate to one of the countries included in the Country-Specific Terms and Conditions after the grant of the Restricted Stock Units, the special terms and conditions for such country will apply to you to the extent the Company determines that the application of such terms and conditions is necessary or advisable in order to comply with local law or facilitate the administration of the Plan. The Additional Terms and Conditions for Non-U.S. Grantees and the Country-Specific Terms and Conditions constitute part of this Agreement and are incorporated herein by reference.</w:t>
      </w:r>
    </w:p>
    <w:p>
      <w:pPr>
        <w:spacing w:after="0" w:line="200" w:lineRule="exact"/>
        <w:rPr>
          <w:sz w:val="20"/>
          <w:szCs w:val="20"/>
          <w:color w:val="auto"/>
        </w:rPr>
      </w:pPr>
    </w:p>
    <w:p>
      <w:pPr>
        <w:spacing w:after="0" w:line="34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b w:val="1"/>
          <w:bCs w:val="1"/>
          <w:i w:val="1"/>
          <w:iCs w:val="1"/>
          <w:color w:val="auto"/>
        </w:rPr>
        <w:t>By electronically executing this Agreement, you agree to all of the terms and conditions described above, in the Plan, in the Confidentiality/Non-Competition/Non-Solicitation Agreement, in the Company’s Insider Trading Policy and in the Company’s Incentive Recoupment Policy.</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Learn more at fortrea.com. ©2024 Fortrea Inc. All rights</w:t>
      </w:r>
    </w:p>
    <w:p>
      <w:pPr>
        <w:ind w:left="20"/>
        <w:spacing w:after="0" w:line="220" w:lineRule="auto"/>
        <w:tabs>
          <w:tab w:leader="none" w:pos="5440" w:val="left"/>
        </w:tabs>
        <w:rPr>
          <w:sz w:val="20"/>
          <w:szCs w:val="20"/>
          <w:color w:val="auto"/>
        </w:rPr>
      </w:pPr>
      <w:r>
        <w:rPr>
          <w:rFonts w:ascii="Times New Roman" w:cs="Times New Roman" w:eastAsia="Times New Roman" w:hAnsi="Times New Roman"/>
          <w:sz w:val="21"/>
          <w:szCs w:val="21"/>
          <w:color w:val="auto"/>
        </w:rPr>
        <w:t>reserved.</w:t>
      </w:r>
      <w:r>
        <w:rPr>
          <w:sz w:val="20"/>
          <w:szCs w:val="20"/>
          <w:color w:val="auto"/>
        </w:rPr>
        <w:tab/>
      </w: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62"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FORTREA HOLDINGS INC.</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2023 OMNIBUS INCENTIVE PLAN</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NOTICE OF GRANT OF PERFORMANCE SHARE AWARD</w:t>
      </w:r>
    </w:p>
    <w:p>
      <w:pPr>
        <w:spacing w:after="0" w:line="243" w:lineRule="exact"/>
        <w:rPr>
          <w:sz w:val="20"/>
          <w:szCs w:val="20"/>
          <w:color w:val="auto"/>
        </w:rPr>
      </w:pPr>
    </w:p>
    <w:p>
      <w:pPr>
        <w:jc w:val="both"/>
        <w:ind w:firstLine="320"/>
        <w:spacing w:after="0" w:line="257" w:lineRule="auto"/>
        <w:rPr>
          <w:sz w:val="20"/>
          <w:szCs w:val="20"/>
          <w:color w:val="auto"/>
        </w:rPr>
      </w:pPr>
      <w:r>
        <w:rPr>
          <w:rFonts w:ascii="Times New Roman" w:cs="Times New Roman" w:eastAsia="Times New Roman" w:hAnsi="Times New Roman"/>
          <w:sz w:val="21"/>
          <w:szCs w:val="21"/>
          <w:color w:val="auto"/>
        </w:rPr>
        <w:t xml:space="preserve">Fortrea Holdings Inc., a Delaware corporation (the “Company”), hereby grants an award of Performance Shares (the “Performance Share Award”) under the Fortrea Holdings Inc. 2023 Omnibus Incentive Plan (as may be amended or amended and restated from time to time, the “Plan”), to the Grantee named below, subject to the vesting and other terms and conditions set forth in this Notice of Grant and the attached Performance Share Award Agreement (together, the “Agreement”). Under the Performance Share Award, the Grantee is eligible to receive a number of shares of common stock, par value $0.001 per share, of the Company (“Stock”) based on the extent to which the applicable performance goals specified in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of this Agreement for the Performance Period specified therein have been attained. The initial number of shares of Stock that shall be used to determine the Grantee’s rights pursuant to this Performance Share Award is set forth below (the “Target Performance Shares”). The number of Target Performance Shares shall be used solely to calculate the actual number of shares of Stock that may be issued to the Grantee under this Agreement.</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1"/>
          <w:szCs w:val="21"/>
          <w:color w:val="auto"/>
        </w:rPr>
        <w:t>Certain capitalized terms used but not defined in this Agreement have the meanings given such terms in the Plan.</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24765</wp:posOffset>
            </wp:positionV>
            <wp:extent cx="19913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1114425</wp:posOffset>
            </wp:positionH>
            <wp:positionV relativeFrom="paragraph">
              <wp:posOffset>24765</wp:posOffset>
            </wp:positionV>
            <wp:extent cx="16522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52270" cy="8255"/>
                    </a:xfrm>
                    <a:prstGeom prst="rect">
                      <a:avLst/>
                    </a:prstGeom>
                    <a:noFill/>
                  </pic:spPr>
                </pic:pic>
              </a:graphicData>
            </a:graphic>
          </wp:anchor>
        </w:drawing>
      </w:r>
    </w:p>
    <w:p>
      <w:pPr>
        <w:spacing w:after="0" w:line="2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Target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1758315</wp:posOffset>
            </wp:positionH>
            <wp:positionV relativeFrom="paragraph">
              <wp:posOffset>24765</wp:posOffset>
            </wp:positionV>
            <wp:extent cx="10083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0838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left="100"/>
        <w:spacing w:after="0" w:line="233" w:lineRule="auto"/>
        <w:rPr>
          <w:sz w:val="20"/>
          <w:szCs w:val="20"/>
          <w:color w:val="auto"/>
        </w:rPr>
      </w:pPr>
      <w:r>
        <w:rPr>
          <w:rFonts w:ascii="Times New Roman" w:cs="Times New Roman" w:eastAsia="Times New Roman" w:hAnsi="Times New Roman"/>
          <w:sz w:val="21"/>
          <w:szCs w:val="21"/>
          <w:color w:val="auto"/>
        </w:rPr>
        <w:t>This Performance Share Award is subject to all of the terms and conditions described in this Agreement and in the Plan, a copy of which has been provided to you. You acknowledge that you have carefully reviewed the Plan and agree that the Plan will control in the event any provision of this Agreement should appear inconsistent.</w:t>
      </w:r>
    </w:p>
    <w:p>
      <w:pPr>
        <w:spacing w:after="0" w:line="9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Grantee:</w:t>
      </w:r>
    </w:p>
    <w:p>
      <w:pPr>
        <w:spacing w:after="0" w:line="3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-152400</wp:posOffset>
            </wp:positionV>
            <wp:extent cx="1838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38325" cy="8255"/>
                    </a:xfrm>
                    <a:prstGeom prst="rect">
                      <a:avLst/>
                    </a:prstGeom>
                    <a:noFill/>
                  </pic:spPr>
                </pic:pic>
              </a:graphicData>
            </a:graphic>
          </wp:anchor>
        </w:drawing>
      </w:r>
    </w:p>
    <w:p>
      <w:pPr>
        <w:spacing w:after="0" w:line="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1"/>
          <w:szCs w:val="21"/>
          <w:color w:val="auto"/>
        </w:rPr>
        <w:t>Company:</w:t>
      </w:r>
    </w:p>
    <w:p>
      <w:pPr>
        <w:spacing w:after="0" w:line="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-152400</wp:posOffset>
            </wp:positionV>
            <wp:extent cx="1838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38325" cy="8255"/>
                    </a:xfrm>
                    <a:prstGeom prst="rect">
                      <a:avLst/>
                    </a:prstGeom>
                    <a:noFill/>
                  </pic:spPr>
                </pic:pic>
              </a:graphicData>
            </a:graphic>
          </wp:anchor>
        </w:drawing>
      </w:r>
    </w:p>
    <w:p>
      <w:pPr>
        <w:spacing w:after="0" w:line="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597" w:right="339" w:bottom="1440" w:gutter="0" w:footer="0" w:header="0"/>
        </w:sectPr>
      </w:pPr>
    </w:p>
    <w:bookmarkStart w:id="64" w:name="page65"/>
    <w:bookmarkEnd w:id="64"/>
    <w:tbl>
      <w:tblPr>
        <w:tblLayout w:type="fixed"/>
        <w:tblInd w:w="10" w:type="dxa"/>
        <w:tblCellMar>
          <w:top w:w="0" w:type="dxa"/>
          <w:left w:w="0" w:type="dxa"/>
          <w:bottom w:w="0" w:type="dxa"/>
          <w:right w:w="0" w:type="dxa"/>
        </w:tblCellMar>
      </w:tblPr>
      <w:tr>
        <w:trPr>
          <w:trHeight w:val="236"/>
        </w:trPr>
        <w:tc>
          <w:tcPr>
            <w:tcW w:w="2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0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w w:val="96"/>
              </w:rPr>
              <w:t>Exhibit 10.2</w:t>
            </w:r>
          </w:p>
        </w:tc>
      </w:tr>
      <w:tr>
        <w:trPr>
          <w:trHeight w:val="822"/>
        </w:trPr>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7"/>
          </w:tcPr>
          <w:p>
            <w:pPr>
              <w:jc w:val="center"/>
              <w:ind w:right="3140"/>
              <w:spacing w:after="0"/>
              <w:rPr>
                <w:sz w:val="20"/>
                <w:szCs w:val="20"/>
                <w:color w:val="auto"/>
              </w:rPr>
            </w:pPr>
            <w:r>
              <w:rPr>
                <w:rFonts w:ascii="Times New Roman" w:cs="Times New Roman" w:eastAsia="Times New Roman" w:hAnsi="Times New Roman"/>
                <w:sz w:val="21"/>
                <w:szCs w:val="21"/>
                <w:b w:val="1"/>
                <w:bCs w:val="1"/>
                <w:color w:val="auto"/>
              </w:rPr>
              <w:t>FORTREA HOLDINGS INC.</w:t>
            </w:r>
          </w:p>
        </w:tc>
      </w:tr>
      <w:tr>
        <w:trPr>
          <w:trHeight w:val="282"/>
        </w:trPr>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7"/>
          </w:tcPr>
          <w:p>
            <w:pPr>
              <w:jc w:val="center"/>
              <w:ind w:right="3160"/>
              <w:spacing w:after="0"/>
              <w:rPr>
                <w:sz w:val="20"/>
                <w:szCs w:val="20"/>
                <w:color w:val="auto"/>
              </w:rPr>
            </w:pPr>
            <w:r>
              <w:rPr>
                <w:rFonts w:ascii="Times New Roman" w:cs="Times New Roman" w:eastAsia="Times New Roman" w:hAnsi="Times New Roman"/>
                <w:sz w:val="21"/>
                <w:szCs w:val="21"/>
                <w:b w:val="1"/>
                <w:bCs w:val="1"/>
                <w:color w:val="auto"/>
              </w:rPr>
              <w:t>2023 OMNIBUS INCENTIVE PLAN</w:t>
            </w:r>
          </w:p>
        </w:tc>
      </w:tr>
      <w:tr>
        <w:trPr>
          <w:trHeight w:val="467"/>
        </w:trPr>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120" w:type="dxa"/>
            <w:vAlign w:val="bottom"/>
            <w:gridSpan w:val="7"/>
          </w:tcPr>
          <w:p>
            <w:pPr>
              <w:jc w:val="center"/>
              <w:ind w:right="3160"/>
              <w:spacing w:after="0"/>
              <w:rPr>
                <w:sz w:val="20"/>
                <w:szCs w:val="20"/>
                <w:color w:val="auto"/>
              </w:rPr>
            </w:pPr>
            <w:r>
              <w:rPr>
                <w:rFonts w:ascii="Times New Roman" w:cs="Times New Roman" w:eastAsia="Times New Roman" w:hAnsi="Times New Roman"/>
                <w:sz w:val="21"/>
                <w:szCs w:val="21"/>
                <w:b w:val="1"/>
                <w:bCs w:val="1"/>
                <w:color w:val="auto"/>
              </w:rPr>
              <w:t>PERFORMANCE SHARE AWARD AGREEMENT</w:t>
            </w:r>
          </w:p>
        </w:tc>
      </w:tr>
      <w:tr>
        <w:trPr>
          <w:trHeight w:val="243"/>
        </w:trPr>
        <w:tc>
          <w:tcPr>
            <w:tcW w:w="29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r>
      <w:tr>
        <w:trPr>
          <w:trHeight w:val="255"/>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Determination of the Number</w:t>
            </w: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The number of shares of Stock, if any, that may be issued pursuant to the terms of this</w:t>
            </w:r>
          </w:p>
        </w:tc>
      </w:tr>
      <w:tr>
        <w:trPr>
          <w:trHeight w:val="254"/>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of Shares</w:t>
            </w: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Agreement shall be calculated based on the attainment of specified performance goals, as set</w:t>
            </w:r>
          </w:p>
        </w:tc>
      </w:tr>
      <w:tr>
        <w:trPr>
          <w:trHeight w:val="232"/>
        </w:trPr>
        <w:tc>
          <w:tcPr>
            <w:tcW w:w="2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280" w:type="dxa"/>
            <w:vAlign w:val="bottom"/>
            <w:tcBorders>
              <w:right w:val="single" w:sz="8" w:color="auto"/>
            </w:tcBorders>
            <w:gridSpan w:val="8"/>
          </w:tcPr>
          <w:p>
            <w:pPr>
              <w:spacing w:after="0" w:line="232" w:lineRule="exact"/>
              <w:rPr>
                <w:sz w:val="20"/>
                <w:szCs w:val="20"/>
                <w:color w:val="auto"/>
              </w:rPr>
            </w:pPr>
            <w:r>
              <w:rPr>
                <w:rFonts w:ascii="Times New Roman" w:cs="Times New Roman" w:eastAsia="Times New Roman" w:hAnsi="Times New Roman"/>
                <w:sz w:val="21"/>
                <w:szCs w:val="21"/>
                <w:color w:val="auto"/>
              </w:rPr>
              <w:t xml:space="preserve">forth on the attached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xml:space="preserve">, by the end of the Performance Period (as defined in </w:t>
            </w:r>
            <w:r>
              <w:rPr>
                <w:rFonts w:ascii="Times New Roman" w:cs="Times New Roman" w:eastAsia="Times New Roman" w:hAnsi="Times New Roman"/>
                <w:sz w:val="21"/>
                <w:szCs w:val="21"/>
                <w:b w:val="1"/>
                <w:bCs w:val="1"/>
                <w:color w:val="auto"/>
              </w:rPr>
              <w:t>Exhibit</w:t>
            </w:r>
          </w:p>
        </w:tc>
      </w:tr>
      <w:tr>
        <w:trPr>
          <w:trHeight w:val="20"/>
        </w:trPr>
        <w:tc>
          <w:tcPr>
            <w:tcW w:w="294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r>
      <w:tr>
        <w:trPr>
          <w:trHeight w:val="234"/>
        </w:trPr>
        <w:tc>
          <w:tcPr>
            <w:tcW w:w="2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280" w:type="dxa"/>
            <w:vAlign w:val="bottom"/>
            <w:tcBorders>
              <w:right w:val="single" w:sz="8" w:color="auto"/>
            </w:tcBorders>
            <w:gridSpan w:val="8"/>
          </w:tcPr>
          <w:p>
            <w:pPr>
              <w:spacing w:after="0" w:line="234" w:lineRule="exact"/>
              <w:rPr>
                <w:sz w:val="20"/>
                <w:szCs w:val="20"/>
                <w:color w:val="auto"/>
              </w:rPr>
            </w:pPr>
            <w:r>
              <w:rPr>
                <w:rFonts w:ascii="Times New Roman" w:cs="Times New Roman" w:eastAsia="Times New Roman" w:hAnsi="Times New Roman"/>
                <w:sz w:val="21"/>
                <w:szCs w:val="21"/>
                <w:b w:val="1"/>
                <w:bCs w:val="1"/>
                <w:color w:val="auto"/>
              </w:rPr>
              <w:t>A</w:t>
            </w:r>
            <w:r>
              <w:rPr>
                <w:rFonts w:ascii="Times New Roman" w:cs="Times New Roman" w:eastAsia="Times New Roman" w:hAnsi="Times New Roman"/>
                <w:sz w:val="21"/>
                <w:szCs w:val="21"/>
                <w:color w:val="auto"/>
              </w:rPr>
              <w:t>). The minimum number of shares of Stock that may be issued is 0% of the Target</w:t>
            </w:r>
          </w:p>
        </w:tc>
      </w:tr>
      <w:tr>
        <w:trPr>
          <w:trHeight w:val="20"/>
        </w:trPr>
        <w:tc>
          <w:tcPr>
            <w:tcW w:w="2940" w:type="dxa"/>
            <w:vAlign w:val="bottom"/>
            <w:tcBorders>
              <w:left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tcBorders>
              <w:right w:val="single" w:sz="8" w:color="auto"/>
            </w:tcBorders>
            <w:gridSpan w:val="3"/>
          </w:tcPr>
          <w:p>
            <w:pPr>
              <w:spacing w:after="0" w:line="20" w:lineRule="exact"/>
              <w:rPr>
                <w:sz w:val="1"/>
                <w:szCs w:val="1"/>
                <w:color w:val="auto"/>
              </w:rPr>
            </w:pPr>
          </w:p>
        </w:tc>
      </w:tr>
      <w:tr>
        <w:trPr>
          <w:trHeight w:val="273"/>
        </w:trPr>
        <w:tc>
          <w:tcPr>
            <w:tcW w:w="2940" w:type="dxa"/>
            <w:vAlign w:val="bottom"/>
            <w:tcBorders>
              <w:left w:val="single" w:sz="8" w:color="auto"/>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Performance Shares. The maximum number of shares of Stock that may be issued is 200% of</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the Target Performance Shares. The Management Development and Compensation Committee</w:t>
            </w:r>
          </w:p>
        </w:tc>
      </w:tr>
      <w:tr>
        <w:trPr>
          <w:trHeight w:val="250"/>
        </w:trPr>
        <w:tc>
          <w:tcPr>
            <w:tcW w:w="2940" w:type="dxa"/>
            <w:vAlign w:val="bottom"/>
            <w:tcBorders>
              <w:left w:val="single" w:sz="8" w:color="auto"/>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of the Board (the “Committee”) will determine, in its sole discretion, whether, and to what</w:t>
            </w:r>
          </w:p>
        </w:tc>
      </w:tr>
      <w:tr>
        <w:trPr>
          <w:trHeight w:val="232"/>
        </w:trPr>
        <w:tc>
          <w:tcPr>
            <w:tcW w:w="2940" w:type="dxa"/>
            <w:vAlign w:val="bottom"/>
            <w:tcBorders>
              <w:left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280" w:type="dxa"/>
            <w:vAlign w:val="bottom"/>
            <w:tcBorders>
              <w:right w:val="single" w:sz="8" w:color="auto"/>
            </w:tcBorders>
            <w:gridSpan w:val="8"/>
          </w:tcPr>
          <w:p>
            <w:pPr>
              <w:spacing w:after="0" w:line="232" w:lineRule="exact"/>
              <w:rPr>
                <w:sz w:val="20"/>
                <w:szCs w:val="20"/>
                <w:color w:val="auto"/>
              </w:rPr>
            </w:pPr>
            <w:r>
              <w:rPr>
                <w:rFonts w:ascii="Times New Roman" w:cs="Times New Roman" w:eastAsia="Times New Roman" w:hAnsi="Times New Roman"/>
                <w:sz w:val="21"/>
                <w:szCs w:val="21"/>
                <w:color w:val="auto"/>
              </w:rPr>
              <w:t xml:space="preserve">extent, the performance goals set forth on the attached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xml:space="preserve"> have been satisfied.</w:t>
            </w:r>
          </w:p>
        </w:tc>
      </w:tr>
      <w:tr>
        <w:trPr>
          <w:trHeight w:val="167"/>
        </w:trPr>
        <w:tc>
          <w:tcPr>
            <w:tcW w:w="2940" w:type="dxa"/>
            <w:vAlign w:val="bottom"/>
            <w:tcBorders>
              <w:left w:val="single" w:sz="8" w:color="auto"/>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r>
      <w:tr>
        <w:trPr>
          <w:trHeight w:val="255"/>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Transfer of Performance</w:t>
            </w: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Your Performance Share Award may not be sold, transferred, assigned, pledged or otherwise</w:t>
            </w:r>
          </w:p>
        </w:tc>
      </w:tr>
      <w:tr>
        <w:trPr>
          <w:trHeight w:val="258"/>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Share Award</w:t>
            </w: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encumbered or disposed of, whether by operation of law or otherwise, nor may the</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Performance Share Award be made subject to execution, attachment or similar process.</w:t>
            </w:r>
          </w:p>
        </w:tc>
      </w:tr>
      <w:tr>
        <w:trPr>
          <w:trHeight w:val="136"/>
        </w:trPr>
        <w:tc>
          <w:tcPr>
            <w:tcW w:w="2940" w:type="dxa"/>
            <w:vAlign w:val="bottom"/>
            <w:tcBorders>
              <w:left w:val="single" w:sz="8" w:color="auto"/>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r>
      <w:tr>
        <w:trPr>
          <w:trHeight w:val="254"/>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Standard Vesting Schedule</w:t>
            </w: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Your Performance Share Award will vest in accordance with the terms of this Agreement on</w:t>
            </w:r>
          </w:p>
        </w:tc>
      </w:tr>
      <w:tr>
        <w:trPr>
          <w:trHeight w:val="259"/>
        </w:trPr>
        <w:tc>
          <w:tcPr>
            <w:tcW w:w="2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line="259" w:lineRule="exact"/>
              <w:rPr>
                <w:sz w:val="20"/>
                <w:szCs w:val="20"/>
                <w:color w:val="auto"/>
              </w:rPr>
            </w:pPr>
            <w:r>
              <w:rPr>
                <w:rFonts w:ascii="Times New Roman" w:cs="Times New Roman" w:eastAsia="Times New Roman" w:hAnsi="Times New Roman"/>
                <w:sz w:val="21"/>
                <w:szCs w:val="21"/>
                <w:color w:val="auto"/>
              </w:rPr>
              <w:t>the 30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availability of audited financial statements for the third calendar</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year of the Performance Period and, in any event, by December 31 of the calendar year</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immediately after the end of the three-year Performance Period (the “Vesting Date”).</w:t>
            </w:r>
          </w:p>
        </w:tc>
      </w:tr>
      <w:tr>
        <w:trPr>
          <w:trHeight w:val="349"/>
        </w:trPr>
        <w:tc>
          <w:tcPr>
            <w:tcW w:w="2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The Performance Share Award will not vest if you have had a Separation from Service (as</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defined below) for any reason prior to the Vesting Date, except as set forth in this Agreement.</w:t>
            </w: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r>
      <w:tr>
        <w:trPr>
          <w:trHeight w:val="255"/>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Death, Disability, or</w:t>
            </w: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Notwithstanding the vesting schedule set forth under “Standard Vesting Schedule” above, if</w:t>
            </w:r>
          </w:p>
        </w:tc>
      </w:tr>
      <w:tr>
        <w:trPr>
          <w:trHeight w:val="254"/>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Specified Terminations</w:t>
            </w: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you have a Separation from Service as a result of your (1) death, (2) Disability, or (3)</w:t>
            </w:r>
          </w:p>
        </w:tc>
      </w:tr>
      <w:tr>
        <w:trPr>
          <w:trHeight w:val="254"/>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following Change in</w:t>
            </w: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involuntary Separation from Service without Cause or voluntary Separation from Service for</w:t>
            </w:r>
          </w:p>
        </w:tc>
      </w:tr>
      <w:tr>
        <w:trPr>
          <w:trHeight w:val="258"/>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Control</w:t>
            </w: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Good Reason (as such terms are defined below), in any case, within 24 months after the</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consummation of a Change in Control (each of the terminations in (3), a “Qualifying CIC</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Termination”), then 100% of the Target Performance Shares will vest on the date of your</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2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21"/>
                <w:szCs w:val="21"/>
                <w:color w:val="auto"/>
              </w:rPr>
              <w:t>Separation from Service.</w:t>
            </w: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60"/>
          </w:cols>
          <w:pgMar w:left="320" w:top="597" w:right="319" w:bottom="1440" w:gutter="0" w:footer="0" w:header="0"/>
        </w:sectPr>
      </w:pPr>
    </w:p>
    <w:bookmarkStart w:id="65" w:name="page66"/>
    <w:bookmarkEnd w:id="65"/>
    <w:p>
      <w:pPr>
        <w:ind w:left="102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415290</wp:posOffset>
            </wp:positionV>
            <wp:extent cx="7142480" cy="4227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2480" cy="4227830"/>
                    </a:xfrm>
                    <a:prstGeom prst="rect">
                      <a:avLst/>
                    </a:prstGeom>
                    <a:noFill/>
                  </pic:spPr>
                </pic:pic>
              </a:graphicData>
            </a:graphic>
          </wp:anchor>
        </w:drawing>
      </w:r>
    </w:p>
    <w:p>
      <w:pPr>
        <w:sectPr>
          <w:pgSz w:w="11900" w:h="16838" w:orient="portrait"/>
          <w:cols w:equalWidth="0" w:num="1">
            <w:col w:w="11140"/>
          </w:cols>
          <w:pgMar w:left="420" w:top="5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1"/>
          <w:szCs w:val="21"/>
          <w:b w:val="1"/>
          <w:bCs w:val="1"/>
          <w:color w:val="auto"/>
        </w:rPr>
        <w:t>Retirement at Age 65 Plus 5 for U.S.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20" w:right="60"/>
        <w:spacing w:after="0" w:line="261" w:lineRule="auto"/>
        <w:rPr>
          <w:sz w:val="20"/>
          <w:szCs w:val="20"/>
          <w:color w:val="auto"/>
        </w:rPr>
      </w:pPr>
      <w:r>
        <w:rPr>
          <w:rFonts w:ascii="Times New Roman" w:cs="Times New Roman" w:eastAsia="Times New Roman" w:hAnsi="Times New Roman"/>
          <w:sz w:val="21"/>
          <w:szCs w:val="21"/>
          <w:color w:val="auto"/>
        </w:rPr>
        <w:t>Notwithstanding the vesting schedule set forth under “Standard Vesting Schedule” above, if you work in the United States and you have a Separation from Service, other than a Separation from Service by the Company for Cause, at a time when you have attained age 65 and completed five full years of Service (“Retirement at Age 65 Plus 5”) and:</w:t>
      </w:r>
    </w:p>
    <w:p>
      <w:pPr>
        <w:spacing w:after="0" w:line="1" w:lineRule="exact"/>
        <w:rPr>
          <w:sz w:val="20"/>
          <w:szCs w:val="20"/>
          <w:color w:val="auto"/>
        </w:rPr>
      </w:pPr>
    </w:p>
    <w:p>
      <w:pPr>
        <w:jc w:val="both"/>
        <w:ind w:left="20" w:right="60" w:firstLine="1"/>
        <w:spacing w:after="0" w:line="252" w:lineRule="auto"/>
        <w:tabs>
          <w:tab w:leader="none" w:pos="301"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Separation from Service occurs on or after 6 months following the Grant Date, but before 9 months following the Grant Date, you shall continue to be eligible to vest in a prorated portion of the Performance Share Award based on the attainment of the specified performance goals as if you had not had a Separation from Service; or</w:t>
      </w:r>
    </w:p>
    <w:p>
      <w:pPr>
        <w:jc w:val="both"/>
        <w:ind w:left="20" w:right="60" w:firstLine="2"/>
        <w:spacing w:after="0" w:line="264" w:lineRule="auto"/>
        <w:tabs>
          <w:tab w:leader="none" w:pos="347"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Separation from Service occurs on or after 9 months following the Grant Date, then you shall continue to be eligible to vest in the Performance Share Award based on the attainment of the specified performance goals as if you had not had a Separation from Service.</w:t>
      </w:r>
    </w:p>
    <w:p>
      <w:pPr>
        <w:spacing w:after="0" w:line="59" w:lineRule="exact"/>
        <w:rPr>
          <w:sz w:val="20"/>
          <w:szCs w:val="20"/>
          <w:color w:val="auto"/>
        </w:rPr>
      </w:pPr>
    </w:p>
    <w:p>
      <w:pPr>
        <w:jc w:val="both"/>
        <w:ind w:right="120"/>
        <w:spacing w:after="0" w:line="270" w:lineRule="auto"/>
        <w:rPr>
          <w:sz w:val="20"/>
          <w:szCs w:val="20"/>
          <w:color w:val="auto"/>
        </w:rPr>
      </w:pPr>
      <w:r>
        <w:rPr>
          <w:rFonts w:ascii="Times New Roman" w:cs="Times New Roman" w:eastAsia="Times New Roman" w:hAnsi="Times New Roman"/>
          <w:sz w:val="21"/>
          <w:szCs w:val="21"/>
          <w:color w:val="auto"/>
        </w:rPr>
        <w:t>The prorated portion of the Performance Share Award shall be determined based on the ratio of the number of months of your Service during the Performance Period to the total number of months in the Performance Period, rounded up to the nearest whole share.</w:t>
      </w:r>
    </w:p>
    <w:p>
      <w:pPr>
        <w:spacing w:after="0" w:line="66" w:lineRule="exact"/>
        <w:rPr>
          <w:sz w:val="20"/>
          <w:szCs w:val="20"/>
          <w:color w:val="auto"/>
        </w:rPr>
      </w:pPr>
    </w:p>
    <w:p>
      <w:pPr>
        <w:jc w:val="both"/>
        <w:ind w:right="120"/>
        <w:spacing w:after="0" w:line="288" w:lineRule="auto"/>
        <w:rPr>
          <w:sz w:val="20"/>
          <w:szCs w:val="20"/>
          <w:color w:val="auto"/>
        </w:rPr>
      </w:pPr>
      <w:r>
        <w:rPr>
          <w:rFonts w:ascii="Times New Roman" w:cs="Times New Roman" w:eastAsia="Times New Roman" w:hAnsi="Times New Roman"/>
          <w:sz w:val="21"/>
          <w:szCs w:val="21"/>
          <w:color w:val="auto"/>
        </w:rPr>
        <w:t>Notwithstanding anything in this Agreement to the contrary, such vesting determination shall be made as of the Vesting Date.</w:t>
      </w:r>
    </w:p>
    <w:p>
      <w:pPr>
        <w:spacing w:after="0" w:line="34"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21"/>
          <w:szCs w:val="21"/>
          <w:color w:val="auto"/>
        </w:rPr>
        <w:t xml:space="preserve">For purposes of determining eligibility for Retirement at Age 65 Plus 5, Service means the aggregate of (i) the number of full years during which you are employed by the Company and/or an Affiliate of the Company but only while the Affiliate is owned, controlled or under common control by or with the Company and (ii) if applicable, the number of full years during which you were employed by Laboratory Corporation of America Holdings, a Delaware corporation (“Labcorp”), and/or an Affiliate of Labcorp immediately prior to the spin-off of the Company from Labcorp (the “Spinoff”),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number of years credited for Labcorp service shall not exceed 5 years.</w:t>
      </w:r>
    </w:p>
    <w:p>
      <w:pPr>
        <w:spacing w:after="0" w:line="200" w:lineRule="exact"/>
        <w:rPr>
          <w:sz w:val="20"/>
          <w:szCs w:val="20"/>
          <w:color w:val="auto"/>
        </w:rPr>
      </w:pPr>
    </w:p>
    <w:p>
      <w:pPr>
        <w:sectPr>
          <w:pgSz w:w="11900" w:h="16838" w:orient="portrait"/>
          <w:cols w:equalWidth="0" w:num="2">
            <w:col w:w="2380" w:space="500"/>
            <w:col w:w="8260"/>
          </w:cols>
          <w:pgMar w:left="420" w:top="5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140"/>
          </w:cols>
          <w:pgMar w:left="420" w:top="598" w:right="339" w:bottom="1440" w:gutter="0" w:footer="0" w:header="0"/>
          <w:type w:val="continuous"/>
        </w:sectPr>
      </w:pPr>
    </w:p>
    <w:bookmarkStart w:id="66" w:name="page67"/>
    <w:bookmarkEnd w:id="66"/>
    <w:p>
      <w:pPr>
        <w:ind w:left="102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415290</wp:posOffset>
            </wp:positionV>
            <wp:extent cx="7142480" cy="67951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2480" cy="6795135"/>
                    </a:xfrm>
                    <a:prstGeom prst="rect">
                      <a:avLst/>
                    </a:prstGeom>
                    <a:noFill/>
                  </pic:spPr>
                </pic:pic>
              </a:graphicData>
            </a:graphic>
          </wp:anchor>
        </w:drawing>
      </w:r>
    </w:p>
    <w:p>
      <w:pPr>
        <w:sectPr>
          <w:pgSz w:w="11900" w:h="16838" w:orient="portrait"/>
          <w:cols w:equalWidth="0" w:num="1">
            <w:col w:w="11140"/>
          </w:cols>
          <w:pgMar w:left="420" w:top="5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1"/>
          <w:szCs w:val="21"/>
          <w:b w:val="1"/>
          <w:bCs w:val="1"/>
          <w:color w:val="auto"/>
        </w:rPr>
        <w:t>Separation from Service Without Cause or for Good Reason, unrelated to a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21"/>
          <w:szCs w:val="21"/>
          <w:color w:val="auto"/>
        </w:rPr>
        <w:t>Notwithstanding the vesting schedules set forth under “Standard Vesting Schedule” and “Death, Disability, or Specified Terminations Following a Change in Control” above, if you have an involuntary Separation from Service without Cause, or you have incurred a voluntary Separation from Service for Good Reason, in each case, on or after 6 months following the Grant Date that does not constitute a Qualifying CIC Termination, then you shall continue to be eligible to vest in a prorated portion of the Performance Share Award based on the attainment of the specified performance goals as if you had not had a Separation from Service.</w:t>
      </w:r>
    </w:p>
    <w:p>
      <w:pPr>
        <w:spacing w:after="0" w:line="63"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21"/>
          <w:szCs w:val="21"/>
          <w:color w:val="auto"/>
        </w:rPr>
        <w:t>The prorated portion of the Performance Share Award shall be determined based on the ratio of the number of months of your Service during the Performance Period to the total number of months in the Performance Period, rounded to the nearest whole share.</w:t>
      </w:r>
    </w:p>
    <w:p>
      <w:pPr>
        <w:spacing w:after="0" w:line="48" w:lineRule="exact"/>
        <w:rPr>
          <w:sz w:val="20"/>
          <w:szCs w:val="20"/>
          <w:color w:val="auto"/>
        </w:rPr>
      </w:pPr>
    </w:p>
    <w:p>
      <w:pPr>
        <w:jc w:val="both"/>
        <w:ind w:right="120"/>
        <w:spacing w:after="0" w:line="288" w:lineRule="auto"/>
        <w:rPr>
          <w:sz w:val="20"/>
          <w:szCs w:val="20"/>
          <w:color w:val="auto"/>
        </w:rPr>
      </w:pPr>
      <w:r>
        <w:rPr>
          <w:rFonts w:ascii="Times New Roman" w:cs="Times New Roman" w:eastAsia="Times New Roman" w:hAnsi="Times New Roman"/>
          <w:sz w:val="21"/>
          <w:szCs w:val="21"/>
          <w:color w:val="auto"/>
        </w:rPr>
        <w:t>Notwithstanding anything in this Agreement to the contrary, such vesting determination shall be made as of the Vesting Date.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purposes of this Agreement, Cause and Good Reason are defined as follows:</w:t>
      </w:r>
    </w:p>
    <w:p>
      <w:pPr>
        <w:spacing w:after="0" w:line="119"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21"/>
          <w:szCs w:val="21"/>
          <w:color w:val="auto"/>
        </w:rPr>
        <w:t>“Cause” means the following events: (a) an intentional act of fraud, embezzlement, theft, or any other material violation of law in connection with your duties or in the course of your employment with the Company; (b) your conviction of or entering of a plea of nolo contendere to a felony; (c) your alcohol intoxication on the job or current illegal drug use; (d) your intentional wrongful damage to tangible assets of the Company; (e) your intentional wrongful disclosure of material confidential information of the Company and/or material breach of the provisions of the Company’s Confidentiality/Non-Competition/Non-Solicitation Agreement or any other noncompetition or confidentiality provisions covering your activities; (f) your knowing and intentional breach of any employment policy of the Company, including but not limited to the Code of Conduct and Ethics; (g) gross neglect or gross misconduct, disloyalty, dishonesty, or breach of trust, or failure in the performance of your duties that is not corrected to the Company’s satisfaction within 30 days of your receiving notice thereof, provided, however, that a period to cure any issues is reasonable and/or feasible; or (h) your misconduct that causes reputational harm to the Company.</w:t>
      </w:r>
    </w:p>
    <w:p>
      <w:pPr>
        <w:spacing w:after="0" w:line="76"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21"/>
          <w:szCs w:val="21"/>
          <w:color w:val="auto"/>
        </w:rPr>
        <w:t>“Good Reason” means, without your consent, (a) a material reduction in your base salary or target bonus as a percentage of your base salary; (b) role relocation to an office location more than 50 miles from your current office; or (c) a material reduction in job responsibilities and duties or transfer to another job; provided, however, that Good Reason shall only be deemed to have occurred if (1) no later than 30 days after you learn of the circumstances constituting Good Reason, you provide written notice to the Company detailing the events that constitute Good Reason and your decision to terminate your employment with the Company, (2) the Company fails to cure such circumstances within 30 days after receipt of said notice (“Cure Period”), and (3) you actually have a Separation from Service within 30 days after the end of said Cure Period. Notwithstanding the foregoing, “Good Reason” shall not include a reduction in your base salary or target bonus where such reduction is pursuant to a Company-wide reduction of base salaries and/or target bonuses.</w:t>
      </w:r>
    </w:p>
    <w:p>
      <w:pPr>
        <w:spacing w:after="0" w:line="200" w:lineRule="exact"/>
        <w:rPr>
          <w:sz w:val="20"/>
          <w:szCs w:val="20"/>
          <w:color w:val="auto"/>
        </w:rPr>
      </w:pPr>
    </w:p>
    <w:p>
      <w:pPr>
        <w:sectPr>
          <w:pgSz w:w="11900" w:h="16838" w:orient="portrait"/>
          <w:cols w:equalWidth="0" w:num="2">
            <w:col w:w="2200" w:space="680"/>
            <w:col w:w="8260"/>
          </w:cols>
          <w:pgMar w:left="420" w:top="5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140"/>
          </w:cols>
          <w:pgMar w:left="420" w:top="597" w:right="339" w:bottom="1440" w:gutter="0" w:footer="0" w:header="0"/>
          <w:type w:val="continuous"/>
        </w:sectPr>
      </w:pPr>
    </w:p>
    <w:bookmarkStart w:id="67" w:name="page68"/>
    <w:bookmarkEnd w:id="67"/>
    <w:tbl>
      <w:tblPr>
        <w:tblLayout w:type="fixed"/>
        <w:tblInd w:w="10" w:type="dxa"/>
        <w:tblCellMar>
          <w:top w:w="0" w:type="dxa"/>
          <w:left w:w="0" w:type="dxa"/>
          <w:bottom w:w="0" w:type="dxa"/>
          <w:right w:w="0" w:type="dxa"/>
        </w:tblCellMar>
      </w:tblPr>
      <w:tr>
        <w:trPr>
          <w:trHeight w:val="236"/>
        </w:trPr>
        <w:tc>
          <w:tcPr>
            <w:tcW w:w="2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740" w:type="dxa"/>
            <w:vAlign w:val="bottom"/>
          </w:tcPr>
          <w:p>
            <w:pPr>
              <w:ind w:left="5800"/>
              <w:spacing w:after="0"/>
              <w:rPr>
                <w:sz w:val="20"/>
                <w:szCs w:val="20"/>
                <w:color w:val="auto"/>
              </w:rPr>
            </w:pPr>
            <w:r>
              <w:rPr>
                <w:rFonts w:ascii="Times New Roman" w:cs="Times New Roman" w:eastAsia="Times New Roman" w:hAnsi="Times New Roman"/>
                <w:sz w:val="18"/>
                <w:szCs w:val="18"/>
                <w:b w:val="1"/>
                <w:bCs w:val="1"/>
                <w:color w:val="auto"/>
                <w:w w:val="96"/>
              </w:rPr>
              <w:t>Exhibit 10.2</w:t>
            </w:r>
          </w:p>
        </w:tc>
      </w:tr>
      <w:tr>
        <w:trPr>
          <w:trHeight w:val="613"/>
        </w:trPr>
        <w:tc>
          <w:tcPr>
            <w:tcW w:w="29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r>
        <w:trPr>
          <w:trHeight w:val="255"/>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Retirement at Age 55 (Rule of</w:t>
            </w: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Notwithstanding the vesting schedules under “Standard Vesting Schedule”, other than a</w:t>
            </w:r>
          </w:p>
        </w:tc>
      </w:tr>
      <w:tr>
        <w:trPr>
          <w:trHeight w:val="258"/>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70) for U.S. Employees</w:t>
            </w: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Separation from Service by the Company for Cause and other than a Retirement at Age 65</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Plus 5, if you work in the United States and you have a Separation from Service on or after 6</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months following the Grant Date, at a time when you have attained age 55 and the sum of your</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age and full years of Service equals or exceeds 70 (“Retirement at Age 55 (Rule of 70)”), then</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you shall be eligible to continue to vest in a prorated portion of the Performance Share Award</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based on the attainment of the specified performance goals as if you had not had a Separation</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from Service.</w:t>
            </w:r>
          </w:p>
        </w:tc>
      </w:tr>
      <w:tr>
        <w:trPr>
          <w:trHeight w:val="349"/>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The prorated portion of the Performance Share Award shall be determined based on the ratio of</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the number of months of your Service during the Performance Period to the total number of</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months in the Performance Period, rounded to the nearest whole share.</w:t>
            </w:r>
          </w:p>
        </w:tc>
      </w:tr>
      <w:tr>
        <w:trPr>
          <w:trHeight w:val="336"/>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Notwithstanding anything in this Agreement to the contrary, such vesting determination shall</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be made as of the Vesting Date.</w:t>
            </w:r>
          </w:p>
        </w:tc>
      </w:tr>
      <w:tr>
        <w:trPr>
          <w:trHeight w:val="349"/>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For purposes of determining eligibility for Retirement at Age 55 (Rule of 70), Service means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the aggregate of (i) the number of full years during which you are employed by the Company</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and/or an Affiliate of the Company but only while the Affiliate is owned, controlled or under</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common control by or with the Company and (ii) if applicable, the number of full years during</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which you were employed by Labcorp, and/or an Affiliate of Labcorp immediately prior to the</w:t>
            </w:r>
          </w:p>
        </w:tc>
      </w:tr>
      <w:tr>
        <w:trPr>
          <w:trHeight w:val="228"/>
        </w:trPr>
        <w:tc>
          <w:tcPr>
            <w:tcW w:w="2940" w:type="dxa"/>
            <w:vAlign w:val="bottom"/>
            <w:tcBorders>
              <w:left w:val="single" w:sz="8" w:color="auto"/>
              <w:right w:val="single" w:sz="8" w:color="auto"/>
            </w:tcBorders>
          </w:tcPr>
          <w:p>
            <w:pPr>
              <w:spacing w:after="0"/>
              <w:rPr>
                <w:sz w:val="19"/>
                <w:szCs w:val="19"/>
                <w:color w:val="auto"/>
              </w:rPr>
            </w:pPr>
          </w:p>
        </w:tc>
        <w:tc>
          <w:tcPr>
            <w:tcW w:w="8320" w:type="dxa"/>
            <w:vAlign w:val="bottom"/>
            <w:tcBorders>
              <w:right w:val="single" w:sz="8" w:color="auto"/>
            </w:tcBorders>
            <w:gridSpan w:val="3"/>
          </w:tcPr>
          <w:p>
            <w:pPr>
              <w:ind w:left="40"/>
              <w:spacing w:after="0" w:line="228" w:lineRule="exact"/>
              <w:rPr>
                <w:sz w:val="20"/>
                <w:szCs w:val="20"/>
                <w:color w:val="auto"/>
              </w:rPr>
            </w:pPr>
            <w:r>
              <w:rPr>
                <w:rFonts w:ascii="Times New Roman" w:cs="Times New Roman" w:eastAsia="Times New Roman" w:hAnsi="Times New Roman"/>
                <w:sz w:val="21"/>
                <w:szCs w:val="21"/>
                <w:color w:val="auto"/>
              </w:rPr>
              <w:t>Spinoff, provided that the number of years credited for Labcorp service shall not exceed 5</w:t>
            </w:r>
          </w:p>
        </w:tc>
      </w:tr>
      <w:tr>
        <w:trPr>
          <w:trHeight w:val="298"/>
        </w:trPr>
        <w:tc>
          <w:tcPr>
            <w:tcW w:w="2940" w:type="dxa"/>
            <w:vAlign w:val="bottom"/>
            <w:tcBorders>
              <w:left w:val="single" w:sz="8" w:color="auto"/>
              <w:right w:val="single" w:sz="8" w:color="auto"/>
            </w:tcBorders>
          </w:tcPr>
          <w:p>
            <w:pPr>
              <w:spacing w:after="0"/>
              <w:rPr>
                <w:sz w:val="24"/>
                <w:szCs w:val="24"/>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years.</w:t>
            </w:r>
          </w:p>
        </w:tc>
        <w:tc>
          <w:tcPr>
            <w:tcW w:w="760" w:type="dxa"/>
            <w:vAlign w:val="bottom"/>
            <w:tcBorders>
              <w:top w:val="single" w:sz="8" w:color="auto"/>
            </w:tcBorders>
          </w:tcPr>
          <w:p>
            <w:pPr>
              <w:spacing w:after="0"/>
              <w:rPr>
                <w:sz w:val="24"/>
                <w:szCs w:val="24"/>
                <w:color w:val="auto"/>
              </w:rPr>
            </w:pPr>
          </w:p>
        </w:tc>
        <w:tc>
          <w:tcPr>
            <w:tcW w:w="6740" w:type="dxa"/>
            <w:vAlign w:val="bottom"/>
            <w:tcBorders>
              <w:right w:val="single" w:sz="8" w:color="auto"/>
            </w:tcBorders>
          </w:tcPr>
          <w:p>
            <w:pPr>
              <w:spacing w:after="0"/>
              <w:rPr>
                <w:sz w:val="24"/>
                <w:szCs w:val="24"/>
                <w:color w:val="auto"/>
              </w:rPr>
            </w:pP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740" w:type="dxa"/>
            <w:vAlign w:val="bottom"/>
            <w:tcBorders>
              <w:bottom w:val="single" w:sz="8" w:color="auto"/>
              <w:right w:val="single" w:sz="8" w:color="auto"/>
            </w:tcBorders>
          </w:tcPr>
          <w:p>
            <w:pPr>
              <w:spacing w:after="0"/>
              <w:rPr>
                <w:sz w:val="10"/>
                <w:szCs w:val="10"/>
                <w:color w:val="auto"/>
              </w:rPr>
            </w:pPr>
          </w:p>
        </w:tc>
      </w:tr>
      <w:tr>
        <w:trPr>
          <w:trHeight w:val="255"/>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Forfeiture of Unvested</w:t>
            </w: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Unless your Separation from Service triggers accelerated vesting or other treatment of your</w:t>
            </w:r>
          </w:p>
        </w:tc>
      </w:tr>
      <w:tr>
        <w:trPr>
          <w:trHeight w:val="258"/>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Performance Share Award</w:t>
            </w: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Performance Share Award pursuant to the terms of this Agreement, the Plan, or any other</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written agreement between the Company or an Affiliate and you, you will automatically forfeit</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to the Company the Performance Share Award to the extent not yet vested as of your</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21"/>
                <w:szCs w:val="21"/>
                <w:color w:val="auto"/>
              </w:rPr>
              <w:t>Separation from Service.</w:t>
            </w: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74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60"/>
          </w:cols>
          <w:pgMar w:left="320" w:top="598" w:right="319" w:bottom="1440" w:gutter="0" w:footer="0" w:header="0"/>
        </w:sectPr>
      </w:pPr>
    </w:p>
    <w:bookmarkStart w:id="68" w:name="page69"/>
    <w:bookmarkEnd w:id="68"/>
    <w:tbl>
      <w:tblPr>
        <w:tblLayout w:type="fixed"/>
        <w:tblInd w:w="10" w:type="dxa"/>
        <w:tblCellMar>
          <w:top w:w="0" w:type="dxa"/>
          <w:left w:w="0" w:type="dxa"/>
          <w:bottom w:w="0" w:type="dxa"/>
          <w:right w:w="0" w:type="dxa"/>
        </w:tblCellMar>
      </w:tblPr>
      <w:tr>
        <w:trPr>
          <w:trHeight w:val="236"/>
        </w:trPr>
        <w:tc>
          <w:tcPr>
            <w:tcW w:w="2940" w:type="dxa"/>
            <w:vAlign w:val="bottom"/>
          </w:tcPr>
          <w:p>
            <w:pPr>
              <w:spacing w:after="0"/>
              <w:rPr>
                <w:sz w:val="20"/>
                <w:szCs w:val="20"/>
                <w:color w:val="auto"/>
              </w:rPr>
            </w:pPr>
          </w:p>
        </w:tc>
        <w:tc>
          <w:tcPr>
            <w:tcW w:w="8320" w:type="dxa"/>
            <w:vAlign w:val="bottom"/>
          </w:tcPr>
          <w:p>
            <w:pPr>
              <w:ind w:left="7380"/>
              <w:spacing w:after="0"/>
              <w:rPr>
                <w:sz w:val="20"/>
                <w:szCs w:val="20"/>
                <w:color w:val="auto"/>
              </w:rPr>
            </w:pPr>
            <w:r>
              <w:rPr>
                <w:rFonts w:ascii="Times New Roman" w:cs="Times New Roman" w:eastAsia="Times New Roman" w:hAnsi="Times New Roman"/>
                <w:sz w:val="18"/>
                <w:szCs w:val="18"/>
                <w:b w:val="1"/>
                <w:bCs w:val="1"/>
                <w:color w:val="auto"/>
                <w:w w:val="96"/>
              </w:rPr>
              <w:t>Exhibit 10.2</w:t>
            </w:r>
          </w:p>
        </w:tc>
      </w:tr>
      <w:tr>
        <w:trPr>
          <w:trHeight w:val="613"/>
        </w:trPr>
        <w:tc>
          <w:tcPr>
            <w:tcW w:w="294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r>
        <w:trPr>
          <w:trHeight w:val="25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Forfeiture of Rights</w:t>
            </w: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If you (i) should take actions in violation or breach of or in conflict with any (a) employment</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agreement, (b) non-competition agreement, (c) agreement prohibiting solicitation of employees</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or clients of the Company or any Affiliate, (d) confidentiality obligation with respect to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Company or any Affiliate, (e) Company policy or procedure, including but not limited to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Code of Conduct and Ethics, or (f) other agreement, or (ii) if you incur a Separation from</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Service for Cause, or you otherwise engage in conduct that would constitute Cause,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Company has the right to cause an immediate forfeiture of (A) your rights to any shares of</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Stock under the Performance Share Award, and (B) with respect to the period commencing 36</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months prior to your Separation from Service and ending 36 months following such Separation</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from Service (1) a forfeiture of any gain recognized by you upon the sale of any shares of</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Stock received as a result of the vesting of the Performance Share Award, and (2) a forfeiture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of any vested shares of Stock held by you as a result of the vesting of the Performance Share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Award. For the avoidance of doubt, any Confidentiality/Non-Competition/Non-Solicitation</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Agreement entered into before or concurrently with this Agreement is covered by this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provision as are any other applicable agreements whether executed before or after this</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Agreement.</w:t>
            </w:r>
          </w:p>
        </w:tc>
      </w:tr>
      <w:tr>
        <w:trPr>
          <w:trHeight w:val="336"/>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Nothing in this Agreement or the Plan shall prohibit you from (a) disclosing any confidential</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information to a government agency if you are required to produce the information pursuant to</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 subpoena, court order, administrative order or other legal process, (b) discussing terms and</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conditions of employment or engaging in other activities protected by the National Labor</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Relations Act, (c) communicating with the Securities and Exchange Commission about</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securities law violations, or (d) communicating with any other government entity or agency if</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such communication is to report a violation of applicable law.</w:t>
            </w: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8320" w:type="dxa"/>
            <w:vAlign w:val="bottom"/>
            <w:tcBorders>
              <w:bottom w:val="single" w:sz="8" w:color="auto"/>
              <w:right w:val="single" w:sz="8" w:color="auto"/>
            </w:tcBorders>
          </w:tcPr>
          <w:p>
            <w:pPr>
              <w:spacing w:after="0"/>
              <w:rPr>
                <w:sz w:val="10"/>
                <w:szCs w:val="10"/>
                <w:color w:val="auto"/>
              </w:rPr>
            </w:pPr>
          </w:p>
        </w:tc>
      </w:tr>
      <w:tr>
        <w:trPr>
          <w:trHeight w:val="25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Leaves of Absence</w:t>
            </w: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For purposes of this Agreement, you do not have a Separation from Service when you go on a</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bona fide employee leave of absence that was approved by your employer in writing, if the</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terms of the leave provide for continued Service crediting, or when continued Service crediting</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is required by applicable law. However, you will be treated as having a Separation from</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Service 90 days after you went on employee leave, unless your right to return to active work is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guaranteed by law or by a contract. You will incur a Separation from Service in any event</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when the approved leave ends unless you immediately return to active employee work.</w:t>
            </w:r>
          </w:p>
        </w:tc>
      </w:tr>
      <w:tr>
        <w:trPr>
          <w:trHeight w:val="349"/>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Your employer determines, in its sole discretion, which leaves count for this purpose, and</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when you have a Separation from Service for all purposes under the Plan, subject to applicable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law. Notwithstanding the foregoing, the Company may determine, in its discretion, that a leave</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counts for this purpose even if your employer does not agree.</w:t>
            </w: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832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60"/>
          </w:cols>
          <w:pgMar w:left="320" w:top="597" w:right="319" w:bottom="1440" w:gutter="0" w:footer="0" w:header="0"/>
        </w:sectPr>
      </w:pPr>
    </w:p>
    <w:bookmarkStart w:id="69" w:name="page70"/>
    <w:bookmarkEnd w:id="69"/>
    <w:tbl>
      <w:tblPr>
        <w:tblLayout w:type="fixed"/>
        <w:tblInd w:w="10" w:type="dxa"/>
        <w:tblCellMar>
          <w:top w:w="0" w:type="dxa"/>
          <w:left w:w="0" w:type="dxa"/>
          <w:bottom w:w="0" w:type="dxa"/>
          <w:right w:w="0" w:type="dxa"/>
        </w:tblCellMar>
      </w:tblPr>
      <w:tr>
        <w:trPr>
          <w:trHeight w:val="236"/>
        </w:trPr>
        <w:tc>
          <w:tcPr>
            <w:tcW w:w="2940" w:type="dxa"/>
            <w:vAlign w:val="bottom"/>
          </w:tcPr>
          <w:p>
            <w:pPr>
              <w:spacing w:after="0"/>
              <w:rPr>
                <w:sz w:val="20"/>
                <w:szCs w:val="20"/>
                <w:color w:val="auto"/>
              </w:rPr>
            </w:pPr>
          </w:p>
        </w:tc>
        <w:tc>
          <w:tcPr>
            <w:tcW w:w="8320" w:type="dxa"/>
            <w:vAlign w:val="bottom"/>
          </w:tcPr>
          <w:p>
            <w:pPr>
              <w:ind w:left="7380"/>
              <w:spacing w:after="0"/>
              <w:rPr>
                <w:sz w:val="20"/>
                <w:szCs w:val="20"/>
                <w:color w:val="auto"/>
              </w:rPr>
            </w:pPr>
            <w:r>
              <w:rPr>
                <w:rFonts w:ascii="Times New Roman" w:cs="Times New Roman" w:eastAsia="Times New Roman" w:hAnsi="Times New Roman"/>
                <w:sz w:val="18"/>
                <w:szCs w:val="18"/>
                <w:b w:val="1"/>
                <w:bCs w:val="1"/>
                <w:color w:val="auto"/>
                <w:w w:val="96"/>
              </w:rPr>
              <w:t>Exhibit 10.2</w:t>
            </w:r>
          </w:p>
        </w:tc>
      </w:tr>
      <w:tr>
        <w:trPr>
          <w:trHeight w:val="613"/>
        </w:trPr>
        <w:tc>
          <w:tcPr>
            <w:tcW w:w="294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r>
        <w:trPr>
          <w:trHeight w:val="255"/>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Issuance of Stock</w:t>
            </w:r>
          </w:p>
        </w:tc>
        <w:tc>
          <w:tcPr>
            <w:tcW w:w="8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The shares of Stock issuable upon vesting of the Performance Share Award will be issued in</w:t>
            </w:r>
          </w:p>
        </w:tc>
      </w:tr>
      <w:tr>
        <w:trPr>
          <w:trHeight w:val="254"/>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Pursuant to Vested</w:t>
            </w:r>
          </w:p>
        </w:tc>
        <w:tc>
          <w:tcPr>
            <w:tcW w:w="8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book entry form as soon as practicable following the Vesting Date, but in no event later than</w:t>
            </w:r>
          </w:p>
        </w:tc>
      </w:tr>
      <w:tr>
        <w:trPr>
          <w:trHeight w:val="267"/>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Performance Share</w:t>
            </w:r>
          </w:p>
        </w:tc>
        <w:tc>
          <w:tcPr>
            <w:tcW w:w="8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December 31 of the calendar year following the end of the Performance Period, provided that if</w:t>
            </w:r>
          </w:p>
        </w:tc>
      </w:tr>
      <w:tr>
        <w:trPr>
          <w:trHeight w:val="258"/>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Award</w:t>
            </w:r>
          </w:p>
        </w:tc>
        <w:tc>
          <w:tcPr>
            <w:tcW w:w="8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your Performance Share Award becomes vested by reason of a Qualifying CIC Termination,</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the shares of Stock issuable in connection with such Qualifying CIC Termination shall be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issued within 60 days following the Qualifying CIC Termination, and if your Performance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Share Award become vested by reason of your death or Disability, your shares of Stock will be</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issued within 60 days of your termination.</w:t>
            </w:r>
          </w:p>
        </w:tc>
      </w:tr>
      <w:tr>
        <w:trPr>
          <w:trHeight w:val="29"/>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8320" w:type="dxa"/>
            <w:vAlign w:val="bottom"/>
            <w:tcBorders>
              <w:bottom w:val="single" w:sz="8" w:color="auto"/>
              <w:right w:val="single" w:sz="8" w:color="auto"/>
            </w:tcBorders>
          </w:tcPr>
          <w:p>
            <w:pPr>
              <w:spacing w:after="0"/>
              <w:rPr>
                <w:sz w:val="2"/>
                <w:szCs w:val="2"/>
                <w:color w:val="auto"/>
              </w:rPr>
            </w:pPr>
          </w:p>
        </w:tc>
      </w:tr>
      <w:tr>
        <w:trPr>
          <w:trHeight w:val="259"/>
        </w:trPr>
        <w:tc>
          <w:tcPr>
            <w:tcW w:w="2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1"/>
                <w:szCs w:val="21"/>
                <w:b w:val="1"/>
                <w:bCs w:val="1"/>
                <w:color w:val="auto"/>
              </w:rPr>
              <w:t>Taxes</w:t>
            </w: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You agree, as a condition of this grant, that you will make acceptable arrangements to pay any</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applicable income taxes, employment taxes, social insurance, social contributions, national</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insurance contributions, other contributions, payroll taxes, levies, payment on account</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obligations and any other tax-related items (“Applicable Taxes”), that may be due as a result of</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grant or vesting of the Performance Share Award or the issuance of shares of Stock acquired</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under this grant or the payment of any Dividend Equivalent Rights. In the event that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Company or any Affiliate determines that any Applicable Taxes are required to be collected,</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withheld or accounted for relating to the grant or vesting of the Performance Share Award or</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the issuance of shares of Stock acquired under this grant unless the Company provides notice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of an alternate procedure in its discretion, you agree to facilitate the Company’s satisfaction of</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its withholding obligation by instructing a registered broker selected by the Company to sell</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the number of shares of Stock necessary to satisfy the Company’s withholding obligation, after</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deduction of the broker’s commission, and to remit the proceeds of such sale to the Company.</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Such sales shall be made pursuant to a mandatory “sell-to-cover” program instituted by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Company with no discretion on your part with respect to any sale.  If the proceeds of such a</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sale exceed the Company’s withholding obligation, the Company will pay the excess to you as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soon as practicable.  If the proceeds of such a sale are less than the Company’s withholding</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obligation, you agree to pay any shortfall to the Company as soon as practicable, including</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through payroll withholding. You acknowledge that the Company and the broker are under no</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obligation to arrange for such sale at any particular price.  In connection with the “sell-to-</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cover” program, you agree to execute any documents the broker may request to effectuate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sale of shares of Stock and satisfaction of the Stock and satisfaction of the Company’s</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withholding obligation.</w:t>
            </w: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8320" w:type="dxa"/>
            <w:vAlign w:val="bottom"/>
            <w:tcBorders>
              <w:bottom w:val="single" w:sz="8" w:color="auto"/>
              <w:right w:val="single" w:sz="8" w:color="auto"/>
            </w:tcBorders>
          </w:tcPr>
          <w:p>
            <w:pPr>
              <w:spacing w:after="0"/>
              <w:rPr>
                <w:sz w:val="10"/>
                <w:szCs w:val="10"/>
                <w:color w:val="auto"/>
              </w:rPr>
            </w:pPr>
          </w:p>
        </w:tc>
      </w:tr>
      <w:tr>
        <w:trPr>
          <w:trHeight w:val="25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Retention Rights</w:t>
            </w:r>
          </w:p>
        </w:tc>
        <w:tc>
          <w:tcPr>
            <w:tcW w:w="8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This Agreement and the Performance Share Award do not give you the right to be retained by</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the Company or any Affiliate in any capacity. The Company or any Affiliate reserves the right</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to terminate your Service at any time and for any reason, subject to applicable law.</w:t>
            </w:r>
          </w:p>
        </w:tc>
      </w:tr>
      <w:tr>
        <w:trPr>
          <w:trHeight w:val="29"/>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83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60"/>
          </w:cols>
          <w:pgMar w:left="320" w:top="598" w:right="319" w:bottom="1440" w:gutter="0" w:footer="0" w:header="0"/>
        </w:sectPr>
      </w:pPr>
    </w:p>
    <w:bookmarkStart w:id="70" w:name="page71"/>
    <w:bookmarkEnd w:id="70"/>
    <w:tbl>
      <w:tblPr>
        <w:tblLayout w:type="fixed"/>
        <w:tblInd w:w="10" w:type="dxa"/>
        <w:tblCellMar>
          <w:top w:w="0" w:type="dxa"/>
          <w:left w:w="0" w:type="dxa"/>
          <w:bottom w:w="0" w:type="dxa"/>
          <w:right w:w="0" w:type="dxa"/>
        </w:tblCellMar>
      </w:tblPr>
      <w:tr>
        <w:trPr>
          <w:trHeight w:val="236"/>
        </w:trPr>
        <w:tc>
          <w:tcPr>
            <w:tcW w:w="2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60" w:type="dxa"/>
            <w:vAlign w:val="bottom"/>
          </w:tcPr>
          <w:p>
            <w:pPr>
              <w:ind w:left="4420"/>
              <w:spacing w:after="0"/>
              <w:rPr>
                <w:sz w:val="20"/>
                <w:szCs w:val="20"/>
                <w:color w:val="auto"/>
              </w:rPr>
            </w:pPr>
            <w:r>
              <w:rPr>
                <w:rFonts w:ascii="Times New Roman" w:cs="Times New Roman" w:eastAsia="Times New Roman" w:hAnsi="Times New Roman"/>
                <w:sz w:val="18"/>
                <w:szCs w:val="18"/>
                <w:b w:val="1"/>
                <w:bCs w:val="1"/>
                <w:color w:val="auto"/>
                <w:w w:val="96"/>
              </w:rPr>
              <w:t>Exhibit 10.2</w:t>
            </w:r>
          </w:p>
        </w:tc>
      </w:tr>
      <w:tr>
        <w:trPr>
          <w:trHeight w:val="613"/>
        </w:trPr>
        <w:tc>
          <w:tcPr>
            <w:tcW w:w="2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5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Stockholder Rights</w:t>
            </w: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You, or your estate or heirs, have no rights as a stockholder of the Company until the Stock has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been issued upon vesting of your Performance Share Award and an appropriate entry has been</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made on the Company’s books.</w:t>
            </w:r>
          </w:p>
        </w:tc>
      </w:tr>
      <w:tr>
        <w:trPr>
          <w:trHeight w:val="29"/>
        </w:trPr>
        <w:tc>
          <w:tcPr>
            <w:tcW w:w="2940" w:type="dxa"/>
            <w:vAlign w:val="bottom"/>
            <w:tcBorders>
              <w:left w:val="single" w:sz="8" w:color="auto"/>
              <w:bottom w:val="single" w:sz="8" w:color="auto"/>
              <w:right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360" w:type="dxa"/>
            <w:vAlign w:val="bottom"/>
            <w:tcBorders>
              <w:bottom w:val="single" w:sz="8" w:color="auto"/>
              <w:right w:val="single" w:sz="8" w:color="auto"/>
            </w:tcBorders>
          </w:tcPr>
          <w:p>
            <w:pPr>
              <w:spacing w:after="0"/>
              <w:rPr>
                <w:sz w:val="2"/>
                <w:szCs w:val="2"/>
                <w:color w:val="auto"/>
              </w:rPr>
            </w:pPr>
          </w:p>
        </w:tc>
      </w:tr>
      <w:tr>
        <w:trPr>
          <w:trHeight w:val="255"/>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Insider Trading Policy</w:t>
            </w: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You acknowledge receipt of the Company’s Insider Trading Policy (the “Policy”), attached</w:t>
            </w:r>
          </w:p>
        </w:tc>
      </w:tr>
      <w:tr>
        <w:trPr>
          <w:trHeight w:val="232"/>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gridSpan w:val="5"/>
          </w:tcPr>
          <w:p>
            <w:pPr>
              <w:ind w:left="40"/>
              <w:spacing w:after="0" w:line="232" w:lineRule="exact"/>
              <w:rPr>
                <w:sz w:val="20"/>
                <w:szCs w:val="20"/>
                <w:color w:val="auto"/>
              </w:rPr>
            </w:pPr>
            <w:r>
              <w:rPr>
                <w:rFonts w:ascii="Times New Roman" w:cs="Times New Roman" w:eastAsia="Times New Roman" w:hAnsi="Times New Roman"/>
                <w:sz w:val="21"/>
                <w:szCs w:val="21"/>
                <w:color w:val="auto"/>
              </w:rPr>
              <w:t xml:space="preserve">hereto as </w:t>
            </w:r>
            <w:r>
              <w:rPr>
                <w:rFonts w:ascii="Times New Roman" w:cs="Times New Roman" w:eastAsia="Times New Roman" w:hAnsi="Times New Roman"/>
                <w:sz w:val="21"/>
                <w:szCs w:val="21"/>
                <w:b w:val="1"/>
                <w:bCs w:val="1"/>
                <w:color w:val="auto"/>
              </w:rPr>
              <w:t>Exhibit B</w:t>
            </w:r>
            <w:r>
              <w:rPr>
                <w:rFonts w:ascii="Times New Roman" w:cs="Times New Roman" w:eastAsia="Times New Roman" w:hAnsi="Times New Roman"/>
                <w:sz w:val="21"/>
                <w:szCs w:val="21"/>
                <w:color w:val="auto"/>
              </w:rPr>
              <w:t>. You agree to comply fully with the standards contained in the Policy (and</w:t>
            </w:r>
          </w:p>
        </w:tc>
      </w:tr>
      <w:tr>
        <w:trPr>
          <w:trHeight w:val="20"/>
        </w:trPr>
        <w:tc>
          <w:tcPr>
            <w:tcW w:w="2940" w:type="dxa"/>
            <w:vAlign w:val="bottom"/>
            <w:tcBorders>
              <w:left w:val="single" w:sz="8" w:color="auto"/>
              <w:righ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360" w:type="dxa"/>
            <w:vAlign w:val="bottom"/>
            <w:tcBorders>
              <w:right w:val="single" w:sz="8" w:color="auto"/>
            </w:tcBorders>
          </w:tcPr>
          <w:p>
            <w:pPr>
              <w:spacing w:after="0" w:line="20" w:lineRule="exact"/>
              <w:rPr>
                <w:sz w:val="1"/>
                <w:szCs w:val="1"/>
                <w:color w:val="auto"/>
              </w:rPr>
            </w:pPr>
          </w:p>
        </w:tc>
      </w:tr>
      <w:tr>
        <w:trPr>
          <w:trHeight w:val="273"/>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related policies and procedures adopted by the company). You further understand that</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compliance with these standards, policies, and procedures is a condition of continued</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employment or association with the Company or any of its subsidiaries and that the Policy is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only a statement of principles for individual and business conduct and does not, in any way,</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constitute an employment contract, an assurance of continued employment, or employment</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other than at-will. By acceptance of the Performance Share Award granted hereunder, you</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certify to your understanding of and intent to comply with the Policy.</w:t>
            </w: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360" w:type="dxa"/>
            <w:vAlign w:val="bottom"/>
            <w:tcBorders>
              <w:bottom w:val="single" w:sz="8" w:color="auto"/>
              <w:right w:val="single" w:sz="8" w:color="auto"/>
            </w:tcBorders>
          </w:tcPr>
          <w:p>
            <w:pPr>
              <w:spacing w:after="0"/>
              <w:rPr>
                <w:sz w:val="10"/>
                <w:szCs w:val="10"/>
                <w:color w:val="auto"/>
              </w:rPr>
            </w:pPr>
          </w:p>
        </w:tc>
      </w:tr>
      <w:tr>
        <w:trPr>
          <w:trHeight w:val="255"/>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Confidentiality/Non-</w:t>
            </w: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You  acknowledge  that  you  either  (a)  have  entered  into  a  Confidentiality/Non-</w:t>
            </w:r>
          </w:p>
        </w:tc>
      </w:tr>
      <w:tr>
        <w:trPr>
          <w:trHeight w:val="254"/>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Competition/Non-</w:t>
            </w: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Competition/Non-Solicitation Agreement with the Company or an Affiliate as of the date you</w:t>
            </w:r>
          </w:p>
        </w:tc>
      </w:tr>
      <w:tr>
        <w:trPr>
          <w:trHeight w:val="271"/>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Solicitation Agreement</w:t>
            </w: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accepted employment with the Company or an Affiliate or as of the date you were first granted</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Awards pursuant to the Plan, or (b) will concurrently enter into a Confidentiality/Non-</w:t>
            </w:r>
          </w:p>
        </w:tc>
      </w:tr>
      <w:tr>
        <w:trPr>
          <w:trHeight w:val="250"/>
        </w:trPr>
        <w:tc>
          <w:tcPr>
            <w:tcW w:w="2940" w:type="dxa"/>
            <w:vAlign w:val="bottom"/>
            <w:tcBorders>
              <w:left w:val="single" w:sz="8" w:color="auto"/>
              <w:right w:val="single" w:sz="8" w:color="auto"/>
            </w:tcBorders>
          </w:tcPr>
          <w:p>
            <w:pPr>
              <w:spacing w:after="0"/>
              <w:rPr>
                <w:sz w:val="21"/>
                <w:szCs w:val="21"/>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Competition/Non-Solicitation Agreement if this Agreement relates to your first grant of an</w:t>
            </w:r>
          </w:p>
        </w:tc>
      </w:tr>
      <w:tr>
        <w:trPr>
          <w:trHeight w:val="232"/>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gridSpan w:val="5"/>
          </w:tcPr>
          <w:p>
            <w:pPr>
              <w:ind w:left="40"/>
              <w:spacing w:after="0" w:line="232" w:lineRule="exact"/>
              <w:rPr>
                <w:sz w:val="20"/>
                <w:szCs w:val="20"/>
                <w:color w:val="auto"/>
              </w:rPr>
            </w:pPr>
            <w:r>
              <w:rPr>
                <w:rFonts w:ascii="Times New Roman" w:cs="Times New Roman" w:eastAsia="Times New Roman" w:hAnsi="Times New Roman"/>
                <w:sz w:val="21"/>
                <w:szCs w:val="21"/>
                <w:color w:val="auto"/>
              </w:rPr>
              <w:t>Award under the Plan (</w:t>
            </w:r>
            <w:r>
              <w:rPr>
                <w:rFonts w:ascii="Times New Roman" w:cs="Times New Roman" w:eastAsia="Times New Roman" w:hAnsi="Times New Roman"/>
                <w:sz w:val="21"/>
                <w:szCs w:val="21"/>
                <w:b w:val="1"/>
                <w:bCs w:val="1"/>
                <w:color w:val="auto"/>
              </w:rPr>
              <w:t>Exhibit C</w:t>
            </w:r>
            <w:r>
              <w:rPr>
                <w:rFonts w:ascii="Times New Roman" w:cs="Times New Roman" w:eastAsia="Times New Roman" w:hAnsi="Times New Roman"/>
                <w:sz w:val="21"/>
                <w:szCs w:val="21"/>
                <w:color w:val="auto"/>
              </w:rPr>
              <w:t>). In consideration of the Performance Share Award granted</w:t>
            </w:r>
          </w:p>
        </w:tc>
      </w:tr>
      <w:tr>
        <w:trPr>
          <w:trHeight w:val="20"/>
        </w:trPr>
        <w:tc>
          <w:tcPr>
            <w:tcW w:w="2940" w:type="dxa"/>
            <w:vAlign w:val="bottom"/>
            <w:tcBorders>
              <w:left w:val="single" w:sz="8" w:color="auto"/>
              <w:right w:val="single" w:sz="8" w:color="auto"/>
            </w:tcBorders>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360" w:type="dxa"/>
            <w:vAlign w:val="bottom"/>
            <w:tcBorders>
              <w:right w:val="single" w:sz="8" w:color="auto"/>
            </w:tcBorders>
          </w:tcPr>
          <w:p>
            <w:pPr>
              <w:spacing w:after="0" w:line="20" w:lineRule="exact"/>
              <w:rPr>
                <w:sz w:val="1"/>
                <w:szCs w:val="1"/>
                <w:color w:val="auto"/>
              </w:rPr>
            </w:pPr>
          </w:p>
        </w:tc>
      </w:tr>
      <w:tr>
        <w:trPr>
          <w:trHeight w:val="259"/>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pursuant to this Agreement, you agree to be bound by the obligations in, and covenant to</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comply with, such Confidentiality/Non-Competition/Non-Solicitation Agreement that you</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have either previously entered into with the Company or are entering into with the Company</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concurrently with this Agreement, and you further understand that a failure to comply with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Confidentiality/Non-Competition/Non-Solicitation Agreement’s terms and conditions may</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21"/>
                <w:szCs w:val="21"/>
                <w:color w:val="auto"/>
              </w:rPr>
              <w:t>result in consequences as described in this Agreement.</w:t>
            </w: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360" w:type="dxa"/>
            <w:vAlign w:val="bottom"/>
            <w:tcBorders>
              <w:bottom w:val="single" w:sz="8" w:color="auto"/>
              <w:right w:val="single" w:sz="8" w:color="auto"/>
            </w:tcBorders>
          </w:tcPr>
          <w:p>
            <w:pPr>
              <w:spacing w:after="0"/>
              <w:rPr>
                <w:sz w:val="10"/>
                <w:szCs w:val="10"/>
                <w:color w:val="auto"/>
              </w:rPr>
            </w:pPr>
          </w:p>
        </w:tc>
      </w:tr>
      <w:tr>
        <w:trPr>
          <w:trHeight w:val="259"/>
        </w:trPr>
        <w:tc>
          <w:tcPr>
            <w:tcW w:w="2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1"/>
                <w:szCs w:val="21"/>
                <w:b w:val="1"/>
                <w:bCs w:val="1"/>
                <w:color w:val="auto"/>
              </w:rPr>
              <w:t>Clawback</w:t>
            </w: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You acknowledge receipt of the Company’s Incentive Compensation Recoupment Policy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“Recoupment Policy”). You agree that your Incentive Compensation (as defined in the</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Recoupment Policy), including the Performance Share Award, is subject to the terms of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Recoupment  Policy,  which  requires  repayment  by  you  to  the  Company  of  Incentive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Compensation paid by the Company to you in the event that you fail to comply with, or violate,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the terms or requirements of the Recoupment Policy. Notwithstanding anything in this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Agreement to the contrary, you acknowledge and agree that this Agreement and the award</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described herein (and any settlement thereof) are subject to the terms and conditions of any</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other clawback policy as may be in effect from time to time, including specifically to</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implement Section 10D of the Exchange Act and any applicable rules or regulations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promulgated thereunder (including applicable rules and regulations of any national securities</w:t>
            </w:r>
          </w:p>
        </w:tc>
      </w:tr>
      <w:tr>
        <w:trPr>
          <w:trHeight w:val="288"/>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8320" w:type="dxa"/>
            <w:vAlign w:val="bottom"/>
            <w:tcBorders>
              <w:bottom w:val="single" w:sz="8" w:color="auto"/>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exchange on which the shares of the Company may be traded).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60"/>
          </w:cols>
          <w:pgMar w:left="320" w:top="598" w:right="319" w:bottom="1440" w:gutter="0" w:footer="0" w:header="0"/>
        </w:sectPr>
      </w:pPr>
    </w:p>
    <w:bookmarkStart w:id="71" w:name="page72"/>
    <w:bookmarkEnd w:id="71"/>
    <w:tbl>
      <w:tblPr>
        <w:tblLayout w:type="fixed"/>
        <w:tblInd w:w="10" w:type="dxa"/>
        <w:tblCellMar>
          <w:top w:w="0" w:type="dxa"/>
          <w:left w:w="0" w:type="dxa"/>
          <w:bottom w:w="0" w:type="dxa"/>
          <w:right w:w="0" w:type="dxa"/>
        </w:tblCellMar>
      </w:tblPr>
      <w:tr>
        <w:trPr>
          <w:trHeight w:val="236"/>
        </w:trPr>
        <w:tc>
          <w:tcPr>
            <w:tcW w:w="294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96"/>
              </w:rPr>
              <w:t>Exhibit 10.2</w:t>
            </w:r>
          </w:p>
        </w:tc>
      </w:tr>
      <w:tr>
        <w:trPr>
          <w:trHeight w:val="613"/>
        </w:trPr>
        <w:tc>
          <w:tcPr>
            <w:tcW w:w="294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5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Applicable Law</w:t>
            </w: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This Agreement will be interpreted and enforced under the laws of the State of Delaware, other</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than any conflicts or choice of law rule or principle that might otherwise refer construction or</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interpretation of this Agreement to the substantive law of another jurisdiction.</w:t>
            </w:r>
          </w:p>
        </w:tc>
      </w:tr>
      <w:tr>
        <w:trPr>
          <w:trHeight w:val="136"/>
        </w:trPr>
        <w:tc>
          <w:tcPr>
            <w:tcW w:w="2940" w:type="dxa"/>
            <w:vAlign w:val="bottom"/>
            <w:tcBorders>
              <w:left w:val="single" w:sz="8" w:color="auto"/>
              <w:bottom w:val="single" w:sz="8" w:color="auto"/>
              <w:right w:val="single" w:sz="8" w:color="auto"/>
            </w:tcBorders>
          </w:tcPr>
          <w:p>
            <w:pPr>
              <w:spacing w:after="0"/>
              <w:rPr>
                <w:sz w:val="11"/>
                <w:szCs w:val="11"/>
                <w:color w:val="auto"/>
              </w:rPr>
            </w:pPr>
          </w:p>
        </w:tc>
        <w:tc>
          <w:tcPr>
            <w:tcW w:w="64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480" w:type="dxa"/>
            <w:vAlign w:val="bottom"/>
            <w:tcBorders>
              <w:bottom w:val="single" w:sz="8" w:color="auto"/>
              <w:right w:val="single" w:sz="8" w:color="auto"/>
            </w:tcBorders>
          </w:tcPr>
          <w:p>
            <w:pPr>
              <w:spacing w:after="0"/>
              <w:rPr>
                <w:sz w:val="11"/>
                <w:szCs w:val="11"/>
                <w:color w:val="auto"/>
              </w:rPr>
            </w:pPr>
          </w:p>
        </w:tc>
      </w:tr>
      <w:tr>
        <w:trPr>
          <w:trHeight w:val="284"/>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The Plan</w:t>
            </w: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The text of the Plan is incorporated in this Agreement by reference.</w:t>
            </w:r>
          </w:p>
        </w:tc>
      </w:tr>
      <w:tr>
        <w:trPr>
          <w:trHeight w:val="330"/>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b w:val="1"/>
                <w:bCs w:val="1"/>
                <w:i w:val="1"/>
                <w:iCs w:val="1"/>
                <w:color w:val="auto"/>
              </w:rPr>
              <w:t>Certain capitalized terms used in this Agreement that are not defined herein or in the Notice</w:t>
            </w:r>
          </w:p>
        </w:tc>
      </w:tr>
      <w:tr>
        <w:trPr>
          <w:trHeight w:val="234"/>
        </w:trPr>
        <w:tc>
          <w:tcPr>
            <w:tcW w:w="2940" w:type="dxa"/>
            <w:vAlign w:val="bottom"/>
            <w:tcBorders>
              <w:left w:val="single" w:sz="8" w:color="auto"/>
              <w:right w:val="single" w:sz="8" w:color="auto"/>
            </w:tcBorders>
          </w:tcPr>
          <w:p>
            <w:pPr>
              <w:spacing w:after="0"/>
              <w:rPr>
                <w:sz w:val="20"/>
                <w:szCs w:val="20"/>
                <w:color w:val="auto"/>
              </w:rPr>
            </w:pPr>
          </w:p>
        </w:tc>
        <w:tc>
          <w:tcPr>
            <w:tcW w:w="8320" w:type="dxa"/>
            <w:vAlign w:val="bottom"/>
            <w:tcBorders>
              <w:right w:val="single" w:sz="8" w:color="auto"/>
            </w:tcBorders>
            <w:gridSpan w:val="3"/>
          </w:tcPr>
          <w:p>
            <w:pPr>
              <w:ind w:left="60"/>
              <w:spacing w:after="0" w:line="234" w:lineRule="exact"/>
              <w:rPr>
                <w:sz w:val="20"/>
                <w:szCs w:val="20"/>
                <w:color w:val="auto"/>
              </w:rPr>
            </w:pPr>
            <w:r>
              <w:rPr>
                <w:rFonts w:ascii="Times New Roman" w:cs="Times New Roman" w:eastAsia="Times New Roman" w:hAnsi="Times New Roman"/>
                <w:sz w:val="21"/>
                <w:szCs w:val="21"/>
                <w:b w:val="1"/>
                <w:bCs w:val="1"/>
                <w:i w:val="1"/>
                <w:iCs w:val="1"/>
                <w:color w:val="auto"/>
              </w:rPr>
              <w:t>of Grant are defined in the Plan, and have the meanings set forth in the Plan.</w:t>
            </w:r>
          </w:p>
        </w:tc>
      </w:tr>
      <w:tr>
        <w:trPr>
          <w:trHeight w:val="20"/>
        </w:trPr>
        <w:tc>
          <w:tcPr>
            <w:tcW w:w="2940" w:type="dxa"/>
            <w:vAlign w:val="bottom"/>
            <w:tcBorders>
              <w:left w:val="single" w:sz="8" w:color="auto"/>
              <w:right w:val="single" w:sz="8" w:color="auto"/>
            </w:tcBorders>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80" w:type="dxa"/>
            <w:vAlign w:val="bottom"/>
            <w:tcBorders>
              <w:right w:val="single" w:sz="8" w:color="auto"/>
            </w:tcBorders>
          </w:tcPr>
          <w:p>
            <w:pPr>
              <w:spacing w:after="0" w:line="20" w:lineRule="exact"/>
              <w:rPr>
                <w:sz w:val="1"/>
                <w:szCs w:val="1"/>
                <w:color w:val="auto"/>
              </w:rPr>
            </w:pPr>
          </w:p>
        </w:tc>
      </w:tr>
      <w:tr>
        <w:trPr>
          <w:trHeight w:val="380"/>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This Agreement and the Plan constitute the entire understanding between you and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Company regarding this grant of the Performance Share Award. Any prior agreements,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commitments or negotiations concerning this grant are superseded; except that any written</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employment, consulting, confidentiality, non-competition, non-solicitation, and/or severance</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agreement between you and the Company or any Affiliate shall supersede this Agreement with</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respect to its subject matter.</w:t>
            </w:r>
          </w:p>
        </w:tc>
      </w:tr>
      <w:tr>
        <w:trPr>
          <w:trHeight w:val="336"/>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If there is any conflict between this Agreement and the Plan, or if there is any ambiguity in this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Agreement, any term that is not defined in this Agreement or any matter as to which this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Agreement is silent, in any such case, the Plan shall govern, including, without limitation,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provisions thereof pursuant to which the Committee has the power, among others, to (i)</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interpret the Plan, (ii) prescribe, amend and rescind rules and regulations relating to the Plan,</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and (iii) make all other determinations deemed necessary or advisable for the administration of</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3"/>
          </w:tcPr>
          <w:p>
            <w:pPr>
              <w:ind w:left="60"/>
              <w:spacing w:after="0"/>
              <w:rPr>
                <w:sz w:val="20"/>
                <w:szCs w:val="20"/>
                <w:color w:val="auto"/>
              </w:rPr>
            </w:pPr>
            <w:r>
              <w:rPr>
                <w:rFonts w:ascii="Times New Roman" w:cs="Times New Roman" w:eastAsia="Times New Roman" w:hAnsi="Times New Roman"/>
                <w:sz w:val="21"/>
                <w:szCs w:val="21"/>
                <w:color w:val="auto"/>
              </w:rPr>
              <w:t>the Plan.</w:t>
            </w: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64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8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60"/>
          </w:cols>
          <w:pgMar w:left="320" w:top="597" w:right="319" w:bottom="1440" w:gutter="0" w:footer="0" w:header="0"/>
        </w:sectPr>
      </w:pPr>
    </w:p>
    <w:bookmarkStart w:id="72" w:name="page73"/>
    <w:bookmarkEnd w:id="72"/>
    <w:p>
      <w:pPr>
        <w:ind w:left="1032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94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Data Privacy</w:t>
            </w:r>
          </w:p>
        </w:tc>
        <w:tc>
          <w:tcPr>
            <w:tcW w:w="60" w:type="dxa"/>
            <w:vAlign w:val="bottom"/>
            <w:tcBorders>
              <w:top w:val="single" w:sz="8" w:color="auto"/>
            </w:tcBorders>
          </w:tcPr>
          <w:p>
            <w:pPr>
              <w:spacing w:after="0"/>
              <w:rPr>
                <w:sz w:val="22"/>
                <w:szCs w:val="22"/>
                <w:color w:val="auto"/>
              </w:rPr>
            </w:pPr>
          </w:p>
        </w:tc>
        <w:tc>
          <w:tcPr>
            <w:tcW w:w="826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Data Protection (European Union/European Economic Area/United Kingdom)</w:t>
            </w:r>
          </w:p>
        </w:tc>
      </w:tr>
      <w:tr>
        <w:trPr>
          <w:trHeight w:val="20"/>
        </w:trPr>
        <w:tc>
          <w:tcPr>
            <w:tcW w:w="294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r>
      <w:tr>
        <w:trPr>
          <w:trHeight w:val="366"/>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The Company and/or any of its local subsidiaries or other Affiliates, including your employer,</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will process your personal data in connection with the Plan and this Agreement in accordance</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with the terms of the privacy notice previously provided to you.</w:t>
            </w:r>
          </w:p>
        </w:tc>
      </w:tr>
      <w:tr>
        <w:trPr>
          <w:trHeight w:val="336"/>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In the event the Company and/or any of its local subsidiaries or other Affiliates may need to</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process information relating to your health or the identity of your spouse or civil partner in</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order to operate the Plan, the Company will seek your explicit consent (in the case of</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information relating to your health), or, their consent (in respect of information relating to the</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personal identity of your spouse or civil partner), where appropriate.</w:t>
            </w:r>
          </w:p>
        </w:tc>
      </w:tr>
      <w:tr>
        <w:trPr>
          <w:trHeight w:val="310"/>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1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Data Protection (Jurisdictions other than European Union/European Economic Area/United</w:t>
            </w:r>
          </w:p>
        </w:tc>
        <w:tc>
          <w:tcPr>
            <w:tcW w:w="80" w:type="dxa"/>
            <w:vAlign w:val="bottom"/>
            <w:tcBorders>
              <w:right w:val="single" w:sz="8" w:color="auto"/>
            </w:tcBorders>
          </w:tcPr>
          <w:p>
            <w:pPr>
              <w:spacing w:after="0"/>
              <w:rPr>
                <w:sz w:val="24"/>
                <w:szCs w:val="24"/>
                <w:color w:val="auto"/>
              </w:rPr>
            </w:pPr>
          </w:p>
        </w:tc>
      </w:tr>
      <w:tr>
        <w:trPr>
          <w:trHeight w:val="234"/>
        </w:trPr>
        <w:tc>
          <w:tcPr>
            <w:tcW w:w="2940" w:type="dxa"/>
            <w:vAlign w:val="bottom"/>
            <w:tcBorders>
              <w:left w:val="single" w:sz="8" w:color="auto"/>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tcPr>
          <w:p>
            <w:pPr>
              <w:spacing w:after="0" w:line="234" w:lineRule="exact"/>
              <w:rPr>
                <w:sz w:val="20"/>
                <w:szCs w:val="20"/>
                <w:color w:val="auto"/>
              </w:rPr>
            </w:pPr>
            <w:r>
              <w:rPr>
                <w:rFonts w:ascii="Times New Roman" w:cs="Times New Roman" w:eastAsia="Times New Roman" w:hAnsi="Times New Roman"/>
                <w:sz w:val="21"/>
                <w:szCs w:val="21"/>
                <w:color w:val="auto"/>
                <w:w w:val="99"/>
              </w:rPr>
              <w:t>Kingdom)</w:t>
            </w:r>
          </w:p>
        </w:tc>
        <w:tc>
          <w:tcPr>
            <w:tcW w:w="7380" w:type="dxa"/>
            <w:vAlign w:val="bottom"/>
            <w:tcBorders>
              <w:right w:val="single" w:sz="8" w:color="auto"/>
            </w:tcBorders>
            <w:gridSpan w:val="3"/>
          </w:tcPr>
          <w:p>
            <w:pPr>
              <w:spacing w:after="0"/>
              <w:rPr>
                <w:sz w:val="20"/>
                <w:szCs w:val="20"/>
                <w:color w:val="auto"/>
              </w:rPr>
            </w:pPr>
          </w:p>
        </w:tc>
      </w:tr>
      <w:tr>
        <w:trPr>
          <w:trHeight w:val="366"/>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In order to administer the Plan, the Company may process personal data about you.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Company may instruct its Affiliates to administer the Plan on its behalf. For a list of the</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Company’s Affiliates from time to time please contact the Company’s Chief Legal Officer.</w:t>
            </w:r>
          </w:p>
        </w:tc>
      </w:tr>
      <w:tr>
        <w:trPr>
          <w:trHeight w:val="349"/>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The Company may process the following personal data in connection with the administration</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of the Plan:</w:t>
            </w:r>
          </w:p>
        </w:tc>
      </w:tr>
      <w:tr>
        <w:trPr>
          <w:trHeight w:val="360"/>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1"/>
                <w:szCs w:val="21"/>
                <w:color w:val="auto"/>
              </w:rPr>
              <w:t>•  information provided in this Agreement and any changes thereto;</w:t>
            </w:r>
          </w:p>
        </w:tc>
      </w:tr>
      <w:tr>
        <w:trPr>
          <w:trHeight w:val="336"/>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1"/>
                <w:szCs w:val="21"/>
                <w:color w:val="auto"/>
              </w:rPr>
              <w:t>•  contact information such as your home and business addresses, telephone numbers and</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ind w:left="640"/>
              <w:spacing w:after="0"/>
              <w:rPr>
                <w:sz w:val="20"/>
                <w:szCs w:val="20"/>
                <w:color w:val="auto"/>
              </w:rPr>
            </w:pPr>
            <w:r>
              <w:rPr>
                <w:rFonts w:ascii="Times New Roman" w:cs="Times New Roman" w:eastAsia="Times New Roman" w:hAnsi="Times New Roman"/>
                <w:sz w:val="21"/>
                <w:szCs w:val="21"/>
                <w:color w:val="auto"/>
              </w:rPr>
              <w:t>email address;</w:t>
            </w:r>
          </w:p>
        </w:tc>
      </w:tr>
      <w:tr>
        <w:trPr>
          <w:trHeight w:val="374"/>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1"/>
                <w:szCs w:val="21"/>
                <w:color w:val="auto"/>
              </w:rPr>
              <w:t>•  payroll information;</w:t>
            </w:r>
          </w:p>
        </w:tc>
      </w:tr>
      <w:tr>
        <w:trPr>
          <w:trHeight w:val="360"/>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1"/>
                <w:szCs w:val="21"/>
                <w:color w:val="auto"/>
              </w:rPr>
              <w:t>•  start and end dates of employment;</w:t>
            </w:r>
          </w:p>
        </w:tc>
      </w:tr>
      <w:tr>
        <w:trPr>
          <w:trHeight w:val="336"/>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1"/>
                <w:szCs w:val="21"/>
                <w:color w:val="auto"/>
              </w:rPr>
              <w:t>•  information about your employment that is relevant to awards under the Plan (for</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ind w:left="640"/>
              <w:spacing w:after="0"/>
              <w:rPr>
                <w:sz w:val="20"/>
                <w:szCs w:val="20"/>
                <w:color w:val="auto"/>
              </w:rPr>
            </w:pPr>
            <w:r>
              <w:rPr>
                <w:rFonts w:ascii="Times New Roman" w:cs="Times New Roman" w:eastAsia="Times New Roman" w:hAnsi="Times New Roman"/>
                <w:sz w:val="21"/>
                <w:szCs w:val="21"/>
                <w:color w:val="auto"/>
              </w:rPr>
              <w:t>example details of performance required for performance-based awards); and</w:t>
            </w:r>
          </w:p>
        </w:tc>
      </w:tr>
      <w:tr>
        <w:trPr>
          <w:trHeight w:val="360"/>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ind w:left="320"/>
              <w:spacing w:after="0"/>
              <w:rPr>
                <w:sz w:val="20"/>
                <w:szCs w:val="20"/>
                <w:color w:val="auto"/>
              </w:rPr>
            </w:pPr>
            <w:r>
              <w:rPr>
                <w:rFonts w:ascii="Times New Roman" w:cs="Times New Roman" w:eastAsia="Times New Roman" w:hAnsi="Times New Roman"/>
                <w:sz w:val="21"/>
                <w:szCs w:val="21"/>
                <w:color w:val="auto"/>
              </w:rPr>
              <w:t>•  other personal data about you that is necessary for the administration of the Plan.</w:t>
            </w:r>
          </w:p>
        </w:tc>
      </w:tr>
      <w:tr>
        <w:trPr>
          <w:trHeight w:val="374"/>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This information may be provided to the Company by you or your employer.</w:t>
            </w:r>
          </w:p>
        </w:tc>
      </w:tr>
      <w:tr>
        <w:trPr>
          <w:trHeight w:val="336"/>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By accepting this grant, you give explicit consent to the Company to process any such personal</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data or use Affiliates to process data on its behalf.</w:t>
            </w:r>
          </w:p>
        </w:tc>
      </w:tr>
      <w:tr>
        <w:trPr>
          <w:trHeight w:val="336"/>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You also give explicit consent to the Company and any Affiliate to transfer any such personal</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data outside the country in which you work or are employed, including, with respect to non-</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U.S. resident participants, to the United States, to transferees who shall include the Company,</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60" w:type="dxa"/>
            <w:vAlign w:val="bottom"/>
            <w:tcBorders>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any Affiliate and other persons who are designated by the Company to administer the Plan.</w:t>
            </w:r>
          </w:p>
        </w:tc>
      </w:tr>
      <w:tr>
        <w:trPr>
          <w:trHeight w:val="336"/>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You are entitled to receive information about the processing of your personal data and to</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21"/>
                <w:szCs w:val="21"/>
                <w:color w:val="auto"/>
              </w:rPr>
              <w:t>request that any incorrect data be rectified.</w:t>
            </w: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82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60"/>
          </w:cols>
          <w:pgMar w:left="320" w:top="597" w:right="319" w:bottom="1440" w:gutter="0" w:footer="0" w:header="0"/>
        </w:sectPr>
      </w:pPr>
    </w:p>
    <w:bookmarkStart w:id="73" w:name="page74"/>
    <w:bookmarkEnd w:id="73"/>
    <w:tbl>
      <w:tblPr>
        <w:tblLayout w:type="fixed"/>
        <w:tblInd w:w="10" w:type="dxa"/>
        <w:tblCellMar>
          <w:top w:w="0" w:type="dxa"/>
          <w:left w:w="0" w:type="dxa"/>
          <w:bottom w:w="0" w:type="dxa"/>
          <w:right w:w="0" w:type="dxa"/>
        </w:tblCellMar>
      </w:tblPr>
      <w:tr>
        <w:trPr>
          <w:trHeight w:val="236"/>
        </w:trPr>
        <w:tc>
          <w:tcPr>
            <w:tcW w:w="2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w w:val="96"/>
              </w:rPr>
              <w:t>Exhibit 10.2</w:t>
            </w:r>
          </w:p>
        </w:tc>
      </w:tr>
      <w:tr>
        <w:trPr>
          <w:trHeight w:val="613"/>
        </w:trPr>
        <w:tc>
          <w:tcPr>
            <w:tcW w:w="2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spacing w:after="0"/>
              <w:rPr>
                <w:sz w:val="24"/>
                <w:szCs w:val="24"/>
                <w:color w:val="auto"/>
              </w:rPr>
            </w:pPr>
          </w:p>
        </w:tc>
        <w:tc>
          <w:tcPr>
            <w:tcW w:w="5480" w:type="dxa"/>
            <w:vAlign w:val="bottom"/>
            <w:tcBorders>
              <w:bottom w:val="single" w:sz="8" w:color="auto"/>
            </w:tcBorders>
            <w:gridSpan w:val="8"/>
          </w:tcPr>
          <w:p>
            <w:pPr>
              <w:spacing w:after="0"/>
              <w:rPr>
                <w:sz w:val="24"/>
                <w:szCs w:val="24"/>
                <w:color w:val="auto"/>
              </w:rPr>
            </w:pPr>
          </w:p>
        </w:tc>
      </w:tr>
      <w:tr>
        <w:trPr>
          <w:trHeight w:val="259"/>
        </w:trPr>
        <w:tc>
          <w:tcPr>
            <w:tcW w:w="2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1"/>
                <w:szCs w:val="21"/>
                <w:b w:val="1"/>
                <w:bCs w:val="1"/>
                <w:color w:val="auto"/>
              </w:rPr>
              <w:t>Notices</w:t>
            </w:r>
          </w:p>
        </w:tc>
        <w:tc>
          <w:tcPr>
            <w:tcW w:w="40" w:type="dxa"/>
            <w:vAlign w:val="bottom"/>
          </w:tcPr>
          <w:p>
            <w:pPr>
              <w:spacing w:after="0"/>
              <w:rPr>
                <w:sz w:val="22"/>
                <w:szCs w:val="22"/>
                <w:color w:val="auto"/>
              </w:rPr>
            </w:pPr>
          </w:p>
        </w:tc>
        <w:tc>
          <w:tcPr>
            <w:tcW w:w="8280" w:type="dxa"/>
            <w:vAlign w:val="bottom"/>
            <w:tcBorders>
              <w:right w:val="single" w:sz="8" w:color="auto"/>
            </w:tcBorders>
            <w:gridSpan w:val="12"/>
          </w:tcPr>
          <w:p>
            <w:pPr>
              <w:ind w:left="20"/>
              <w:spacing w:after="0"/>
              <w:rPr>
                <w:sz w:val="20"/>
                <w:szCs w:val="20"/>
                <w:color w:val="auto"/>
              </w:rPr>
            </w:pPr>
            <w:r>
              <w:rPr>
                <w:rFonts w:ascii="Times New Roman" w:cs="Times New Roman" w:eastAsia="Times New Roman" w:hAnsi="Times New Roman"/>
                <w:sz w:val="21"/>
                <w:szCs w:val="21"/>
                <w:color w:val="auto"/>
              </w:rPr>
              <w:t>Any notices to be given under the terms of this Agreement shall be in writing and addressed to</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280" w:type="dxa"/>
            <w:vAlign w:val="bottom"/>
            <w:tcBorders>
              <w:right w:val="single" w:sz="8" w:color="auto"/>
            </w:tcBorders>
            <w:gridSpan w:val="12"/>
          </w:tcPr>
          <w:p>
            <w:pPr>
              <w:ind w:left="20"/>
              <w:spacing w:after="0"/>
              <w:rPr>
                <w:sz w:val="20"/>
                <w:szCs w:val="20"/>
                <w:color w:val="auto"/>
              </w:rPr>
            </w:pPr>
            <w:r>
              <w:rPr>
                <w:rFonts w:ascii="Times New Roman" w:cs="Times New Roman" w:eastAsia="Times New Roman" w:hAnsi="Times New Roman"/>
                <w:sz w:val="21"/>
                <w:szCs w:val="21"/>
                <w:color w:val="auto"/>
              </w:rPr>
              <w:t>the Company at 8 Moore Drive, Durham, NC 27709, Attention: General Counsel, and to you at</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280" w:type="dxa"/>
            <w:vAlign w:val="bottom"/>
            <w:tcBorders>
              <w:right w:val="single" w:sz="8" w:color="auto"/>
            </w:tcBorders>
            <w:gridSpan w:val="12"/>
          </w:tcPr>
          <w:p>
            <w:pPr>
              <w:ind w:left="20"/>
              <w:spacing w:after="0"/>
              <w:rPr>
                <w:sz w:val="20"/>
                <w:szCs w:val="20"/>
                <w:color w:val="auto"/>
              </w:rPr>
            </w:pPr>
            <w:r>
              <w:rPr>
                <w:rFonts w:ascii="Times New Roman" w:cs="Times New Roman" w:eastAsia="Times New Roman" w:hAnsi="Times New Roman"/>
                <w:sz w:val="21"/>
                <w:szCs w:val="21"/>
                <w:color w:val="auto"/>
              </w:rPr>
              <w:t>the address in the Company’s books and records, or at such address as either party may</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900" w:type="dxa"/>
            <w:vAlign w:val="bottom"/>
            <w:gridSpan w:val="6"/>
          </w:tcPr>
          <w:p>
            <w:pPr>
              <w:ind w:left="20"/>
              <w:spacing w:after="0"/>
              <w:rPr>
                <w:sz w:val="20"/>
                <w:szCs w:val="20"/>
                <w:color w:val="auto"/>
              </w:rPr>
            </w:pPr>
            <w:r>
              <w:rPr>
                <w:rFonts w:ascii="Times New Roman" w:cs="Times New Roman" w:eastAsia="Times New Roman" w:hAnsi="Times New Roman"/>
                <w:sz w:val="21"/>
                <w:szCs w:val="21"/>
                <w:color w:val="auto"/>
              </w:rPr>
              <w:t>hereafter designate in writing to the other.</w:t>
            </w: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gridSpan w:val="4"/>
          </w:tcPr>
          <w:p>
            <w:pPr>
              <w:spacing w:after="0"/>
              <w:rPr>
                <w:sz w:val="10"/>
                <w:szCs w:val="10"/>
                <w:color w:val="auto"/>
              </w:rPr>
            </w:pPr>
          </w:p>
        </w:tc>
        <w:tc>
          <w:tcPr>
            <w:tcW w:w="5480" w:type="dxa"/>
            <w:vAlign w:val="bottom"/>
            <w:tcBorders>
              <w:bottom w:val="single" w:sz="8" w:color="auto"/>
              <w:right w:val="single" w:sz="8" w:color="auto"/>
            </w:tcBorders>
            <w:gridSpan w:val="8"/>
          </w:tcPr>
          <w:p>
            <w:pPr>
              <w:spacing w:after="0"/>
              <w:rPr>
                <w:sz w:val="10"/>
                <w:szCs w:val="10"/>
                <w:color w:val="auto"/>
              </w:rPr>
            </w:pPr>
          </w:p>
        </w:tc>
      </w:tr>
      <w:tr>
        <w:trPr>
          <w:trHeight w:val="25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Consent to Electronic Delivery</w:t>
            </w:r>
          </w:p>
        </w:tc>
        <w:tc>
          <w:tcPr>
            <w:tcW w:w="8320" w:type="dxa"/>
            <w:vAlign w:val="bottom"/>
            <w:tcBorders>
              <w:right w:val="single" w:sz="8" w:color="auto"/>
            </w:tcBorders>
            <w:gridSpan w:val="13"/>
          </w:tcPr>
          <w:p>
            <w:pPr>
              <w:ind w:left="40"/>
              <w:spacing w:after="0"/>
              <w:rPr>
                <w:sz w:val="20"/>
                <w:szCs w:val="20"/>
                <w:color w:val="auto"/>
              </w:rPr>
            </w:pPr>
            <w:r>
              <w:rPr>
                <w:rFonts w:ascii="Times New Roman" w:cs="Times New Roman" w:eastAsia="Times New Roman" w:hAnsi="Times New Roman"/>
                <w:sz w:val="21"/>
                <w:szCs w:val="21"/>
                <w:color w:val="auto"/>
              </w:rPr>
              <w:t>The Company may choose to deliver certain statutory materials relating to the Plan as well as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13"/>
          </w:tcPr>
          <w:p>
            <w:pPr>
              <w:ind w:left="40"/>
              <w:spacing w:after="0"/>
              <w:rPr>
                <w:sz w:val="20"/>
                <w:szCs w:val="20"/>
                <w:color w:val="auto"/>
              </w:rPr>
            </w:pPr>
            <w:r>
              <w:rPr>
                <w:rFonts w:ascii="Times New Roman" w:cs="Times New Roman" w:eastAsia="Times New Roman" w:hAnsi="Times New Roman"/>
                <w:sz w:val="21"/>
                <w:szCs w:val="21"/>
                <w:color w:val="auto"/>
              </w:rPr>
              <w:t>any other documents related to the grant in electronic form. By accepting this grant you agree</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gridSpan w:val="13"/>
          </w:tcPr>
          <w:p>
            <w:pPr>
              <w:ind w:left="40"/>
              <w:spacing w:after="0"/>
              <w:rPr>
                <w:sz w:val="20"/>
                <w:szCs w:val="20"/>
                <w:color w:val="auto"/>
              </w:rPr>
            </w:pPr>
            <w:r>
              <w:rPr>
                <w:rFonts w:ascii="Times New Roman" w:cs="Times New Roman" w:eastAsia="Times New Roman" w:hAnsi="Times New Roman"/>
                <w:sz w:val="21"/>
                <w:szCs w:val="21"/>
                <w:color w:val="auto"/>
              </w:rPr>
              <w:t>that the Company may deliver the Plan prospectus, the Company’s annual report, and other</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13"/>
          </w:tcPr>
          <w:p>
            <w:pPr>
              <w:ind w:left="40"/>
              <w:spacing w:after="0"/>
              <w:rPr>
                <w:sz w:val="20"/>
                <w:szCs w:val="20"/>
                <w:color w:val="auto"/>
              </w:rPr>
            </w:pPr>
            <w:r>
              <w:rPr>
                <w:rFonts w:ascii="Times New Roman" w:cs="Times New Roman" w:eastAsia="Times New Roman" w:hAnsi="Times New Roman"/>
                <w:sz w:val="21"/>
                <w:szCs w:val="21"/>
                <w:color w:val="auto"/>
              </w:rPr>
              <w:t>grant-related materials to you in an electronic format. If at any time you would prefer to</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gridSpan w:val="13"/>
          </w:tcPr>
          <w:p>
            <w:pPr>
              <w:ind w:left="40"/>
              <w:spacing w:after="0"/>
              <w:rPr>
                <w:sz w:val="20"/>
                <w:szCs w:val="20"/>
                <w:color w:val="auto"/>
              </w:rPr>
            </w:pPr>
            <w:r>
              <w:rPr>
                <w:rFonts w:ascii="Times New Roman" w:cs="Times New Roman" w:eastAsia="Times New Roman" w:hAnsi="Times New Roman"/>
                <w:sz w:val="21"/>
                <w:szCs w:val="21"/>
                <w:color w:val="auto"/>
              </w:rPr>
              <w:t>receive paper copies of these documents, as you are entitled to, the Company would be pleased</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to</w:t>
            </w:r>
          </w:p>
        </w:tc>
        <w:tc>
          <w:tcPr>
            <w:tcW w:w="9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provide</w:t>
            </w:r>
          </w:p>
        </w:tc>
        <w:tc>
          <w:tcPr>
            <w:tcW w:w="940" w:type="dxa"/>
            <w:vAlign w:val="bottom"/>
          </w:tcPr>
          <w:p>
            <w:pPr>
              <w:ind w:left="180"/>
              <w:spacing w:after="0"/>
              <w:rPr>
                <w:sz w:val="20"/>
                <w:szCs w:val="20"/>
                <w:color w:val="auto"/>
              </w:rPr>
            </w:pPr>
            <w:r>
              <w:rPr>
                <w:rFonts w:ascii="Times New Roman" w:cs="Times New Roman" w:eastAsia="Times New Roman" w:hAnsi="Times New Roman"/>
                <w:sz w:val="21"/>
                <w:szCs w:val="21"/>
                <w:color w:val="auto"/>
              </w:rPr>
              <w:t>copies.</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1"/>
                <w:szCs w:val="21"/>
                <w:color w:val="auto"/>
              </w:rPr>
              <w:t>Please</w:t>
            </w:r>
          </w:p>
        </w:tc>
        <w:tc>
          <w:tcPr>
            <w:tcW w:w="8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email</w:t>
            </w:r>
          </w:p>
        </w:tc>
        <w:tc>
          <w:tcPr>
            <w:tcW w:w="72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your</w:t>
            </w:r>
          </w:p>
        </w:tc>
        <w:tc>
          <w:tcPr>
            <w:tcW w:w="94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request</w:t>
            </w:r>
          </w:p>
        </w:tc>
        <w:tc>
          <w:tcPr>
            <w:tcW w:w="58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for</w:t>
            </w:r>
          </w:p>
        </w:tc>
        <w:tc>
          <w:tcPr>
            <w:tcW w:w="8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paper</w:t>
            </w:r>
          </w:p>
        </w:tc>
        <w:tc>
          <w:tcPr>
            <w:tcW w:w="8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copies</w:t>
            </w:r>
          </w:p>
        </w:tc>
        <w:tc>
          <w:tcPr>
            <w:tcW w:w="4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21"/>
                <w:szCs w:val="21"/>
                <w:color w:val="auto"/>
              </w:rPr>
              <w:t>to</w:t>
            </w:r>
          </w:p>
        </w:tc>
      </w:tr>
      <w:tr>
        <w:trPr>
          <w:trHeight w:val="228"/>
        </w:trPr>
        <w:tc>
          <w:tcPr>
            <w:tcW w:w="2940" w:type="dxa"/>
            <w:vAlign w:val="bottom"/>
            <w:tcBorders>
              <w:left w:val="single" w:sz="8" w:color="auto"/>
              <w:right w:val="single" w:sz="8" w:color="auto"/>
            </w:tcBorders>
          </w:tcPr>
          <w:p>
            <w:pPr>
              <w:spacing w:after="0"/>
              <w:rPr>
                <w:sz w:val="19"/>
                <w:szCs w:val="19"/>
                <w:color w:val="auto"/>
              </w:rPr>
            </w:pPr>
          </w:p>
        </w:tc>
        <w:tc>
          <w:tcPr>
            <w:tcW w:w="3140" w:type="dxa"/>
            <w:vAlign w:val="bottom"/>
            <w:gridSpan w:val="6"/>
          </w:tcPr>
          <w:p>
            <w:pPr>
              <w:ind w:left="40"/>
              <w:spacing w:after="0" w:line="228" w:lineRule="exact"/>
              <w:rPr>
                <w:sz w:val="20"/>
                <w:szCs w:val="20"/>
                <w:color w:val="auto"/>
              </w:rPr>
            </w:pPr>
            <w:r>
              <w:rPr>
                <w:rFonts w:ascii="Times New Roman" w:cs="Times New Roman" w:eastAsia="Times New Roman" w:hAnsi="Times New Roman"/>
                <w:sz w:val="21"/>
                <w:szCs w:val="21"/>
                <w:color w:val="0000FF"/>
              </w:rPr>
              <w:t>StockCompliance@Fortrea.com.</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r>
      <w:tr>
        <w:trPr>
          <w:trHeight w:val="153"/>
        </w:trPr>
        <w:tc>
          <w:tcPr>
            <w:tcW w:w="2940" w:type="dxa"/>
            <w:vAlign w:val="bottom"/>
            <w:tcBorders>
              <w:left w:val="single" w:sz="8" w:color="auto"/>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top w:val="single" w:sz="8" w:color="0000FF"/>
              <w:bottom w:val="single" w:sz="8" w:color="auto"/>
            </w:tcBorders>
          </w:tcPr>
          <w:p>
            <w:pPr>
              <w:spacing w:after="0"/>
              <w:rPr>
                <w:sz w:val="13"/>
                <w:szCs w:val="13"/>
                <w:color w:val="auto"/>
              </w:rPr>
            </w:pPr>
          </w:p>
        </w:tc>
        <w:tc>
          <w:tcPr>
            <w:tcW w:w="960" w:type="dxa"/>
            <w:vAlign w:val="bottom"/>
            <w:tcBorders>
              <w:top w:val="single" w:sz="8" w:color="0000FF"/>
              <w:bottom w:val="single" w:sz="8" w:color="auto"/>
            </w:tcBorders>
          </w:tcPr>
          <w:p>
            <w:pPr>
              <w:spacing w:after="0"/>
              <w:rPr>
                <w:sz w:val="13"/>
                <w:szCs w:val="13"/>
                <w:color w:val="auto"/>
              </w:rPr>
            </w:pPr>
          </w:p>
        </w:tc>
        <w:tc>
          <w:tcPr>
            <w:tcW w:w="940" w:type="dxa"/>
            <w:vAlign w:val="bottom"/>
            <w:tcBorders>
              <w:top w:val="single" w:sz="8" w:color="0000FF"/>
              <w:bottom w:val="single" w:sz="8" w:color="auto"/>
            </w:tcBorders>
          </w:tcPr>
          <w:p>
            <w:pPr>
              <w:spacing w:after="0"/>
              <w:rPr>
                <w:sz w:val="13"/>
                <w:szCs w:val="13"/>
                <w:color w:val="auto"/>
              </w:rPr>
            </w:pPr>
          </w:p>
        </w:tc>
        <w:tc>
          <w:tcPr>
            <w:tcW w:w="560" w:type="dxa"/>
            <w:vAlign w:val="bottom"/>
            <w:tcBorders>
              <w:top w:val="single" w:sz="8" w:color="0000FF"/>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80" w:type="dxa"/>
            <w:vAlign w:val="bottom"/>
            <w:tcBorders>
              <w:bottom w:val="single" w:sz="8" w:color="auto"/>
              <w:right w:val="single" w:sz="8" w:color="auto"/>
            </w:tcBorders>
          </w:tcPr>
          <w:p>
            <w:pPr>
              <w:spacing w:after="0"/>
              <w:rPr>
                <w:sz w:val="13"/>
                <w:szCs w:val="13"/>
                <w:color w:val="auto"/>
              </w:rPr>
            </w:pPr>
          </w:p>
        </w:tc>
      </w:tr>
      <w:tr>
        <w:trPr>
          <w:trHeight w:val="25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Electronic Signature</w:t>
            </w:r>
          </w:p>
        </w:tc>
        <w:tc>
          <w:tcPr>
            <w:tcW w:w="40" w:type="dxa"/>
            <w:vAlign w:val="bottom"/>
          </w:tcPr>
          <w:p>
            <w:pPr>
              <w:spacing w:after="0"/>
              <w:rPr>
                <w:sz w:val="22"/>
                <w:szCs w:val="22"/>
                <w:color w:val="auto"/>
              </w:rPr>
            </w:pPr>
          </w:p>
        </w:tc>
        <w:tc>
          <w:tcPr>
            <w:tcW w:w="8280" w:type="dxa"/>
            <w:vAlign w:val="bottom"/>
            <w:tcBorders>
              <w:right w:val="single" w:sz="8" w:color="auto"/>
            </w:tcBorders>
            <w:gridSpan w:val="12"/>
          </w:tcPr>
          <w:p>
            <w:pPr>
              <w:ind w:left="20"/>
              <w:spacing w:after="0"/>
              <w:rPr>
                <w:sz w:val="20"/>
                <w:szCs w:val="20"/>
                <w:color w:val="auto"/>
              </w:rPr>
            </w:pPr>
            <w:r>
              <w:rPr>
                <w:rFonts w:ascii="Times New Roman" w:cs="Times New Roman" w:eastAsia="Times New Roman" w:hAnsi="Times New Roman"/>
                <w:sz w:val="21"/>
                <w:szCs w:val="21"/>
                <w:color w:val="auto"/>
              </w:rPr>
              <w:t>All references to signatures and delivery of documents in this Agreement can be satisfied by</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280" w:type="dxa"/>
            <w:vAlign w:val="bottom"/>
            <w:tcBorders>
              <w:right w:val="single" w:sz="8" w:color="auto"/>
            </w:tcBorders>
            <w:gridSpan w:val="12"/>
          </w:tcPr>
          <w:p>
            <w:pPr>
              <w:ind w:left="20"/>
              <w:spacing w:after="0"/>
              <w:rPr>
                <w:sz w:val="20"/>
                <w:szCs w:val="20"/>
                <w:color w:val="auto"/>
              </w:rPr>
            </w:pPr>
            <w:r>
              <w:rPr>
                <w:rFonts w:ascii="Times New Roman" w:cs="Times New Roman" w:eastAsia="Times New Roman" w:hAnsi="Times New Roman"/>
                <w:sz w:val="21"/>
                <w:szCs w:val="21"/>
                <w:color w:val="auto"/>
              </w:rPr>
              <w:t>procedures the Company has established or may establish for an electronic signature system for</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280" w:type="dxa"/>
            <w:vAlign w:val="bottom"/>
            <w:tcBorders>
              <w:right w:val="single" w:sz="8" w:color="auto"/>
            </w:tcBorders>
            <w:gridSpan w:val="12"/>
          </w:tcPr>
          <w:p>
            <w:pPr>
              <w:ind w:left="20"/>
              <w:spacing w:after="0"/>
              <w:rPr>
                <w:sz w:val="20"/>
                <w:szCs w:val="20"/>
                <w:color w:val="auto"/>
              </w:rPr>
            </w:pPr>
            <w:r>
              <w:rPr>
                <w:rFonts w:ascii="Times New Roman" w:cs="Times New Roman" w:eastAsia="Times New Roman" w:hAnsi="Times New Roman"/>
                <w:sz w:val="21"/>
                <w:szCs w:val="21"/>
                <w:color w:val="auto"/>
              </w:rPr>
              <w:t>delivery and acceptance of any such documents, including this Agreement. Your electronic</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280" w:type="dxa"/>
            <w:vAlign w:val="bottom"/>
            <w:tcBorders>
              <w:right w:val="single" w:sz="8" w:color="auto"/>
            </w:tcBorders>
            <w:gridSpan w:val="12"/>
          </w:tcPr>
          <w:p>
            <w:pPr>
              <w:ind w:left="20"/>
              <w:spacing w:after="0"/>
              <w:rPr>
                <w:sz w:val="20"/>
                <w:szCs w:val="20"/>
                <w:color w:val="auto"/>
              </w:rPr>
            </w:pPr>
            <w:r>
              <w:rPr>
                <w:rFonts w:ascii="Times New Roman" w:cs="Times New Roman" w:eastAsia="Times New Roman" w:hAnsi="Times New Roman"/>
                <w:sz w:val="21"/>
                <w:szCs w:val="21"/>
                <w:color w:val="auto"/>
              </w:rPr>
              <w:t>signature is the same as, and shall have the same force and effect as, your manual signature.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280" w:type="dxa"/>
            <w:vAlign w:val="bottom"/>
            <w:tcBorders>
              <w:right w:val="single" w:sz="8" w:color="auto"/>
            </w:tcBorders>
            <w:gridSpan w:val="12"/>
          </w:tcPr>
          <w:p>
            <w:pPr>
              <w:ind w:left="20"/>
              <w:spacing w:after="0"/>
              <w:rPr>
                <w:sz w:val="20"/>
                <w:szCs w:val="20"/>
                <w:color w:val="auto"/>
              </w:rPr>
            </w:pPr>
            <w:r>
              <w:rPr>
                <w:rFonts w:ascii="Times New Roman" w:cs="Times New Roman" w:eastAsia="Times New Roman" w:hAnsi="Times New Roman"/>
                <w:sz w:val="21"/>
                <w:szCs w:val="21"/>
                <w:color w:val="auto"/>
              </w:rPr>
              <w:t>Any such procedures and delivery may be effected by a third party engaged by the Company to</w:t>
            </w:r>
          </w:p>
        </w:tc>
      </w:tr>
      <w:tr>
        <w:trPr>
          <w:trHeight w:val="288"/>
        </w:trPr>
        <w:tc>
          <w:tcPr>
            <w:tcW w:w="2940" w:type="dxa"/>
            <w:vAlign w:val="bottom"/>
            <w:tcBorders>
              <w:left w:val="single" w:sz="8" w:color="auto"/>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21"/>
                <w:szCs w:val="21"/>
                <w:color w:val="auto"/>
              </w:rPr>
              <w:t>provide administrative services related to the Plan.</w:t>
            </w: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r>
      <w:tr>
        <w:trPr>
          <w:trHeight w:val="1265"/>
        </w:trPr>
        <w:tc>
          <w:tcPr>
            <w:tcW w:w="2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21"/>
                <w:szCs w:val="21"/>
                <w:color w:val="auto"/>
              </w:rPr>
              <w:t>-11-</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260"/>
          </w:cols>
          <w:pgMar w:left="320" w:top="597" w:right="319" w:bottom="1440" w:gutter="0" w:footer="0" w:header="0"/>
        </w:sectPr>
      </w:pPr>
    </w:p>
    <w:bookmarkStart w:id="74" w:name="page75"/>
    <w:bookmarkEnd w:id="7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2940" w:type="dxa"/>
            <w:vAlign w:val="bottom"/>
          </w:tcPr>
          <w:p>
            <w:pPr>
              <w:spacing w:after="0"/>
              <w:rPr>
                <w:sz w:val="20"/>
                <w:szCs w:val="20"/>
                <w:color w:val="auto"/>
              </w:rPr>
            </w:pPr>
          </w:p>
        </w:tc>
        <w:tc>
          <w:tcPr>
            <w:tcW w:w="8320" w:type="dxa"/>
            <w:vAlign w:val="bottom"/>
          </w:tcPr>
          <w:p>
            <w:pPr>
              <w:ind w:left="7380"/>
              <w:spacing w:after="0"/>
              <w:rPr>
                <w:sz w:val="20"/>
                <w:szCs w:val="20"/>
                <w:color w:val="auto"/>
              </w:rPr>
            </w:pPr>
            <w:r>
              <w:rPr>
                <w:rFonts w:ascii="Times New Roman" w:cs="Times New Roman" w:eastAsia="Times New Roman" w:hAnsi="Times New Roman"/>
                <w:sz w:val="18"/>
                <w:szCs w:val="18"/>
                <w:b w:val="1"/>
                <w:bCs w:val="1"/>
                <w:color w:val="auto"/>
                <w:w w:val="96"/>
              </w:rPr>
              <w:t>Exhibit 10.2</w:t>
            </w:r>
          </w:p>
        </w:tc>
      </w:tr>
      <w:tr>
        <w:trPr>
          <w:trHeight w:val="613"/>
        </w:trPr>
        <w:tc>
          <w:tcPr>
            <w:tcW w:w="294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r>
        <w:trPr>
          <w:trHeight w:val="259"/>
        </w:trPr>
        <w:tc>
          <w:tcPr>
            <w:tcW w:w="294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1"/>
                <w:szCs w:val="21"/>
                <w:b w:val="1"/>
                <w:bCs w:val="1"/>
                <w:color w:val="auto"/>
              </w:rPr>
              <w:t>Code Section 409A</w:t>
            </w: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“Separation from Service” shall have the meaning set forth in Section 409A of the Code and</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the guidance and regulations promulgated thereunder (“Section 409A”), which includes when</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the Company reasonably anticipates that your level of Services will permanently decrease to</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no more than 20 percent of the average level of Services you have performed over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immediately preceding 36-month period (or such lesser period of your Service with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Company and its Affiliates), which shall be interpreted consistently with the provisions of</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Section 409A, provided, however, that, notwithstanding the terms of Section 409A, if you</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continue employment with a former subsidiary of the Company following the sale of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subsidiary in a stock sale, merger, spin-off or other similar transaction and your Performance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Share Award is not assumed in connection with such transaction, you will have a Separation</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from Service as of the consummation of such transaction and the terms in this Agreement</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regarding the effect of a Separation from Service without Cause will be given effect to the</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extent permitted under, or otherwise in accordance with, Section 409A.</w:t>
            </w:r>
          </w:p>
        </w:tc>
      </w:tr>
      <w:tr>
        <w:trPr>
          <w:trHeight w:val="349"/>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It is intended that the Agreement comply with Section 409A to the extent subject thereto, and,</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accordingly, to the maximum extent permitted, the Agreement will be interpreted and</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administered to be in compliance with Section 409A. To the extent that the Company</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determines that you would be subject to the additional taxes or penalties imposed on certain</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nonqualified deferred compensation plans pursuant to Section 409A as a result of any</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provision of this Agreement, such provision shall be deemed amended to the minimum extent</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necessary to avoid application of such additional taxes or penalties. The nature of any such</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amendment shall be determined by the Company. Notwithstanding anything to the contrary in</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this Agreement or the Plan, to the extent required to avoid accelerated taxation and penalties</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under Section 409A, amounts that would otherwise be payable and benefits that would</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otherwise be provided pursuant to the Agreement during the six- month period immediately</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following your Separation from Service will instead be paid on the first payroll date after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six-month anniversary of your Separation from Service (or your death, if earlier). If</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accelerated vesting upon a Separation from Service is in connection with a Change in Control</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and the Change in Control does not constitute a “change in control event” for purposes of</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Section 409A (as defined below) or if otherwise required by Section 409A, the shares of Stock</w:t>
            </w:r>
          </w:p>
        </w:tc>
      </w:tr>
      <w:tr>
        <w:trPr>
          <w:trHeight w:val="267"/>
        </w:trPr>
        <w:tc>
          <w:tcPr>
            <w:tcW w:w="2940" w:type="dxa"/>
            <w:vAlign w:val="bottom"/>
            <w:tcBorders>
              <w:left w:val="single" w:sz="8" w:color="auto"/>
              <w:right w:val="single" w:sz="8" w:color="auto"/>
            </w:tcBorders>
          </w:tcPr>
          <w:p>
            <w:pPr>
              <w:spacing w:after="0"/>
              <w:rPr>
                <w:sz w:val="23"/>
                <w:szCs w:val="23"/>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shall be issued as if you had not had a Separation from Service. Each installment of the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Performance Share Award that vests under this Agreement (if there is more than one</w:t>
            </w:r>
          </w:p>
        </w:tc>
      </w:tr>
      <w:tr>
        <w:trPr>
          <w:trHeight w:val="254"/>
        </w:trPr>
        <w:tc>
          <w:tcPr>
            <w:tcW w:w="2940" w:type="dxa"/>
            <w:vAlign w:val="bottom"/>
            <w:tcBorders>
              <w:left w:val="single" w:sz="8" w:color="auto"/>
              <w:right w:val="single" w:sz="8" w:color="auto"/>
            </w:tcBorders>
          </w:tcPr>
          <w:p>
            <w:pPr>
              <w:spacing w:after="0"/>
              <w:rPr>
                <w:sz w:val="22"/>
                <w:szCs w:val="22"/>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installment) will be considered one of a series of separate payments for purposes of Section</w:t>
            </w:r>
          </w:p>
        </w:tc>
      </w:tr>
      <w:tr>
        <w:trPr>
          <w:trHeight w:val="278"/>
        </w:trPr>
        <w:tc>
          <w:tcPr>
            <w:tcW w:w="2940" w:type="dxa"/>
            <w:vAlign w:val="bottom"/>
            <w:tcBorders>
              <w:left w:val="single" w:sz="8" w:color="auto"/>
              <w:right w:val="single" w:sz="8" w:color="auto"/>
            </w:tcBorders>
          </w:tcPr>
          <w:p>
            <w:pPr>
              <w:spacing w:after="0"/>
              <w:rPr>
                <w:sz w:val="24"/>
                <w:szCs w:val="24"/>
                <w:color w:val="auto"/>
              </w:rPr>
            </w:pPr>
          </w:p>
        </w:tc>
        <w:tc>
          <w:tcPr>
            <w:tcW w:w="83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409A.</w:t>
            </w:r>
          </w:p>
        </w:tc>
      </w:tr>
      <w:tr>
        <w:trPr>
          <w:trHeight w:val="123"/>
        </w:trPr>
        <w:tc>
          <w:tcPr>
            <w:tcW w:w="2940" w:type="dxa"/>
            <w:vAlign w:val="bottom"/>
            <w:tcBorders>
              <w:left w:val="single" w:sz="8" w:color="auto"/>
              <w:bottom w:val="single" w:sz="8" w:color="auto"/>
              <w:right w:val="single" w:sz="8" w:color="auto"/>
            </w:tcBorders>
          </w:tcPr>
          <w:p>
            <w:pPr>
              <w:spacing w:after="0"/>
              <w:rPr>
                <w:sz w:val="10"/>
                <w:szCs w:val="10"/>
                <w:color w:val="auto"/>
              </w:rPr>
            </w:pPr>
          </w:p>
        </w:tc>
        <w:tc>
          <w:tcPr>
            <w:tcW w:w="832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60"/>
          </w:cols>
          <w:pgMar w:left="320" w:top="598" w:right="319" w:bottom="1440" w:gutter="0" w:footer="0" w:header="0"/>
        </w:sectPr>
      </w:pPr>
    </w:p>
    <w:bookmarkStart w:id="75" w:name="page76"/>
    <w:bookmarkEnd w:id="75"/>
    <w:p>
      <w:pPr>
        <w:ind w:left="10220"/>
        <w:spacing w:after="0"/>
        <w:rPr>
          <w:sz w:val="20"/>
          <w:szCs w:val="20"/>
          <w:color w:val="auto"/>
        </w:rPr>
      </w:pPr>
      <w:r>
        <w:rPr>
          <w:rFonts w:ascii="Times New Roman" w:cs="Times New Roman" w:eastAsia="Times New Roman" w:hAnsi="Times New Roman"/>
          <w:sz w:val="17"/>
          <w:szCs w:val="17"/>
          <w:b w:val="1"/>
          <w:bCs w:val="1"/>
          <w:color w:val="auto"/>
        </w:rPr>
        <w:t>Exhibit 10.2</w:t>
      </w:r>
    </w:p>
    <w:p>
      <w:pPr>
        <w:sectPr>
          <w:pgSz w:w="11900" w:h="16838" w:orient="portrait"/>
          <w:cols w:equalWidth="0" w:num="1">
            <w:col w:w="11140"/>
          </w:cols>
          <w:pgMar w:left="420" w:top="5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line="252" w:lineRule="auto"/>
        <w:rPr>
          <w:sz w:val="20"/>
          <w:szCs w:val="20"/>
          <w:color w:val="auto"/>
        </w:rPr>
      </w:pPr>
      <w:r>
        <w:rPr>
          <w:rFonts w:ascii="Times New Roman" w:cs="Times New Roman" w:eastAsia="Times New Roman" w:hAnsi="Times New Roman"/>
          <w:sz w:val="21"/>
          <w:szCs w:val="21"/>
          <w:b w:val="1"/>
          <w:bCs w:val="1"/>
          <w:color w:val="auto"/>
        </w:rPr>
        <w:t>Additional Terms for Non-U.S. Grantees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21"/>
          <w:szCs w:val="21"/>
          <w:color w:val="auto"/>
        </w:rPr>
        <w:t>Notwithstanding anything to the contrary in this Agreement, if you work and/or reside outside of the United States, you shall be subject to the Additional Terms and Conditions for Non-U.S. Grantees attached hereto as Addendum A and to any Country-Specific Terms and Conditions attached hereto as Addendum B. If you are a citizen or resident of a country (or are considered as such for local law purposes) other than the one in which you are currently working or residing or if you relocate to one of the countries included in the Country-Specific Terms and Conditions after the grant of the Performance Share Award, the special terms and conditions for such country will apply to you to the extent the Company determines that the application of such terms and conditions is necessary or advisable in order to comply with local law or facilitate the administration of the Plan. The Additional Terms and Conditions for Non-U.S. Grantees and the Country-Specific Terms and Conditions constitute part of this Agreement and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-1887220</wp:posOffset>
            </wp:positionH>
            <wp:positionV relativeFrom="paragraph">
              <wp:posOffset>-1986280</wp:posOffset>
            </wp:positionV>
            <wp:extent cx="7142480" cy="2067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2480" cy="2067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420"/>
            <w:col w:w="8260"/>
          </w:cols>
          <w:pgMar w:left="420" w:top="598" w:right="339" w:bottom="1440" w:gutter="0" w:footer="0" w:header="0"/>
          <w:type w:val="continuous"/>
        </w:sectPr>
      </w:pPr>
    </w:p>
    <w:p>
      <w:pPr>
        <w:spacing w:after="0" w:line="240" w:lineRule="exact"/>
        <w:rPr>
          <w:sz w:val="20"/>
          <w:szCs w:val="20"/>
          <w:color w:val="auto"/>
        </w:rPr>
      </w:pPr>
    </w:p>
    <w:p>
      <w:pPr>
        <w:ind w:right="180"/>
        <w:spacing w:after="0" w:line="273" w:lineRule="auto"/>
        <w:rPr>
          <w:sz w:val="20"/>
          <w:szCs w:val="20"/>
          <w:color w:val="auto"/>
        </w:rPr>
      </w:pPr>
      <w:r>
        <w:rPr>
          <w:rFonts w:ascii="Times New Roman" w:cs="Times New Roman" w:eastAsia="Times New Roman" w:hAnsi="Times New Roman"/>
          <w:sz w:val="21"/>
          <w:szCs w:val="21"/>
          <w:b w:val="1"/>
          <w:bCs w:val="1"/>
          <w:i w:val="1"/>
          <w:iCs w:val="1"/>
          <w:color w:val="auto"/>
        </w:rPr>
        <w:t xml:space="preserve">By electronically acknowledging this Performance Share Award Agreement, you agree to all of the terms and conditions described above, in the Plan, in the Company’s Insider Trading Policy attached as </w:t>
      </w:r>
      <w:r>
        <w:rPr>
          <w:rFonts w:ascii="Times New Roman" w:cs="Times New Roman" w:eastAsia="Times New Roman" w:hAnsi="Times New Roman"/>
          <w:sz w:val="21"/>
          <w:szCs w:val="21"/>
          <w:b w:val="1"/>
          <w:bCs w:val="1"/>
          <w:i w:val="1"/>
          <w:iCs w:val="1"/>
          <w:u w:val="single" w:color="auto"/>
          <w:color w:val="auto"/>
        </w:rPr>
        <w:t>Exhibit B</w:t>
      </w:r>
      <w:r>
        <w:rPr>
          <w:rFonts w:ascii="Times New Roman" w:cs="Times New Roman" w:eastAsia="Times New Roman" w:hAnsi="Times New Roman"/>
          <w:sz w:val="21"/>
          <w:szCs w:val="21"/>
          <w:b w:val="1"/>
          <w:bCs w:val="1"/>
          <w:i w:val="1"/>
          <w:iCs w:val="1"/>
          <w:color w:val="auto"/>
        </w:rPr>
        <w:t xml:space="preserve">, and in the Confidentiality/Non-Competition/Non-Solicitation Agreement attached as </w:t>
      </w:r>
      <w:r>
        <w:rPr>
          <w:rFonts w:ascii="Times New Roman" w:cs="Times New Roman" w:eastAsia="Times New Roman" w:hAnsi="Times New Roman"/>
          <w:sz w:val="21"/>
          <w:szCs w:val="21"/>
          <w:b w:val="1"/>
          <w:bCs w:val="1"/>
          <w:i w:val="1"/>
          <w:iCs w:val="1"/>
          <w:u w:val="single" w:color="auto"/>
          <w:color w:val="auto"/>
        </w:rPr>
        <w:t>Exhibit C</w:t>
      </w:r>
      <w:r>
        <w:rPr>
          <w:rFonts w:ascii="Times New Roman" w:cs="Times New Roman" w:eastAsia="Times New Roman" w:hAnsi="Times New Roman"/>
          <w:sz w:val="21"/>
          <w:szCs w:val="21"/>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140"/>
          </w:cols>
          <w:pgMar w:left="420" w:top="598" w:right="339" w:bottom="1440" w:gutter="0" w:footer="0" w:header="0"/>
          <w:type w:val="continuous"/>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FORTREA HOLDINGS INC.</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First Amendment to</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Restricted Stock Unit Agreement</w:t>
      </w:r>
    </w:p>
    <w:p>
      <w:pPr>
        <w:spacing w:after="0" w:line="242" w:lineRule="exact"/>
        <w:rPr>
          <w:sz w:val="20"/>
          <w:szCs w:val="20"/>
          <w:color w:val="auto"/>
        </w:rPr>
      </w:pPr>
    </w:p>
    <w:p>
      <w:pPr>
        <w:ind w:firstLine="530"/>
        <w:spacing w:after="0" w:line="270" w:lineRule="auto"/>
        <w:rPr>
          <w:sz w:val="20"/>
          <w:szCs w:val="20"/>
          <w:color w:val="auto"/>
        </w:rPr>
      </w:pPr>
      <w:r>
        <w:rPr>
          <w:rFonts w:ascii="Times New Roman" w:cs="Times New Roman" w:eastAsia="Times New Roman" w:hAnsi="Times New Roman"/>
          <w:sz w:val="21"/>
          <w:szCs w:val="21"/>
          <w:color w:val="auto"/>
        </w:rPr>
        <w:t>THIS FIRST AMENDMENT TO RESTRICTED STOCK UNIT AGREEMENT (the “</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is entered into effective September 13</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2024 by and between Fortrea Holdings Inc., a Delaware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Thomas H. Pike (“</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RECITALS</w:t>
      </w:r>
    </w:p>
    <w:p>
      <w:pPr>
        <w:spacing w:after="0" w:line="252" w:lineRule="exact"/>
        <w:rPr>
          <w:sz w:val="20"/>
          <w:szCs w:val="20"/>
          <w:color w:val="auto"/>
        </w:rPr>
      </w:pPr>
    </w:p>
    <w:p>
      <w:pPr>
        <w:jc w:val="both"/>
        <w:ind w:right="100" w:firstLine="640"/>
        <w:spacing w:after="0" w:line="27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Company and Grantee previously entered into an individual Restricted Stock Unit Agreement dated as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August 17, 2023 (the “RSU Agreement”) setting forth the terms and conditions of a time-vested RSU award to Grantee under the 2023 Omnibus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Section 3.3.1 of the Plan gives the Management Development and Compensation Committee (the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the authority to establish and amend the terms and conditions of each Award (subject to certain limitations not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implicated here);</w:t>
      </w:r>
    </w:p>
    <w:p>
      <w:pPr>
        <w:spacing w:after="0" w:line="224" w:lineRule="exact"/>
        <w:rPr>
          <w:sz w:val="20"/>
          <w:szCs w:val="20"/>
          <w:color w:val="auto"/>
        </w:rPr>
      </w:pPr>
    </w:p>
    <w:p>
      <w:pPr>
        <w:ind w:right="100" w:firstLine="640"/>
        <w:spacing w:after="0" w:line="305"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Section 18.3 of the Plan gives the Committee broad discretion over how grantees may be permitted to satisfy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their withholding obligations; and</w:t>
      </w:r>
    </w:p>
    <w:p>
      <w:pPr>
        <w:spacing w:after="0" w:line="147" w:lineRule="exact"/>
        <w:rPr>
          <w:sz w:val="20"/>
          <w:szCs w:val="20"/>
          <w:color w:val="auto"/>
        </w:rPr>
      </w:pPr>
    </w:p>
    <w:p>
      <w:pPr>
        <w:jc w:val="both"/>
        <w:ind w:right="240" w:firstLine="640"/>
        <w:spacing w:after="0" w:line="272"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section of the Grantee’s RSU Agreement titled “Withholding Taxes” currently requires that the Grantee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satisfy his withholding obligations by means of share with holding and both the Company and the Grantee instead prefer that the Grantee satisfy his withholding obligations by means of a sell-to-cover process; and</w:t>
      </w:r>
    </w:p>
    <w:p>
      <w:pPr>
        <w:spacing w:after="0" w:line="180" w:lineRule="exact"/>
        <w:rPr>
          <w:sz w:val="20"/>
          <w:szCs w:val="20"/>
          <w:color w:val="auto"/>
        </w:rPr>
      </w:pPr>
    </w:p>
    <w:p>
      <w:pPr>
        <w:ind w:right="180" w:firstLine="640"/>
        <w:spacing w:after="0" w:line="30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Committee hereby desires to amend certain terms of the RSU Agreement as set forth below to expressly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 that the Grantee will satisfy his withholding obligations by means of a sell-to-cover process.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21"/>
          <w:szCs w:val="21"/>
          <w:color w:val="auto"/>
        </w:rPr>
        <w:t>the parties to this Agreement, intending to be legally bound thereby, agree as follows:</w:t>
      </w:r>
    </w:p>
    <w:p>
      <w:pPr>
        <w:spacing w:after="0" w:line="256" w:lineRule="exact"/>
        <w:rPr>
          <w:sz w:val="20"/>
          <w:szCs w:val="20"/>
          <w:color w:val="auto"/>
        </w:rPr>
      </w:pPr>
    </w:p>
    <w:p>
      <w:pPr>
        <w:ind w:left="1000" w:hanging="353"/>
        <w:spacing w:after="0"/>
        <w:tabs>
          <w:tab w:leader="none" w:pos="100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capitalized terms not defined herein shall have the meanings ascribed to such terms in the Plan or the RSU</w:t>
      </w:r>
    </w:p>
    <w:p>
      <w:pPr>
        <w:spacing w:after="0" w:line="3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Agreement.</w:t>
      </w:r>
    </w:p>
    <w:p>
      <w:pPr>
        <w:spacing w:after="0" w:line="228" w:lineRule="exact"/>
        <w:rPr>
          <w:rFonts w:ascii="Times New Roman" w:cs="Times New Roman" w:eastAsia="Times New Roman" w:hAnsi="Times New Roman"/>
          <w:sz w:val="21"/>
          <w:szCs w:val="21"/>
          <w:color w:val="auto"/>
        </w:rPr>
      </w:pPr>
    </w:p>
    <w:p>
      <w:pPr>
        <w:ind w:right="180" w:firstLine="647"/>
        <w:spacing w:after="0" w:line="301" w:lineRule="auto"/>
        <w:tabs>
          <w:tab w:leader="none" w:pos="101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section of the RSU Agreement titled “Withholding Taxes” is hereby amended by deleting the current language in its entirety and replacing it with the following:</w:t>
      </w:r>
    </w:p>
    <w:p>
      <w:pPr>
        <w:spacing w:after="0" w:line="155"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21"/>
          <w:szCs w:val="21"/>
          <w:color w:val="auto"/>
        </w:rPr>
        <w:t>You agree, as a condition of this grant, that you are ultimately responsible for paying any withholding or other taxes that may be due as a result of the grant or vesting of Restricted Stock Units or the issuance of shares of Stock acquired under this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17" w:right="339" w:bottom="1440" w:gutter="0" w:footer="0" w:header="0"/>
        </w:sectPr>
      </w:pPr>
    </w:p>
    <w:bookmarkStart w:id="77" w:name="page78"/>
    <w:bookmarkEnd w:id="77"/>
    <w:p>
      <w:pPr>
        <w:spacing w:after="0" w:line="257" w:lineRule="auto"/>
        <w:rPr>
          <w:sz w:val="20"/>
          <w:szCs w:val="20"/>
          <w:color w:val="auto"/>
        </w:rPr>
      </w:pPr>
      <w:r>
        <w:rPr>
          <w:rFonts w:ascii="Times New Roman" w:cs="Times New Roman" w:eastAsia="Times New Roman" w:hAnsi="Times New Roman"/>
          <w:sz w:val="21"/>
          <w:szCs w:val="21"/>
          <w:color w:val="auto"/>
        </w:rPr>
        <w:t>In the event that the Company or any Affiliate determines that any federal, state, local or foreign tax or withholding payment is required relating to the grant or vesting of the Restricted Stock Units or the issuance of shares of Stock acquired from this grant, unless the Company provides notice of an alternate procedure in its discretion, you agree to facilitate the Company’s satisfaction of its withholding obligation by instructing a registered broker selected by the Company to sell the number of shares of Stock necessary to satisfy the Company’s withholding obligation, after deduction of the broker’s commission, and to remit the proceeds of such sale to the Company. Such sales shall be made pursuant to a mandatory “sell-to-cover” program instituted by the Company with no discretion on your part with respect to any sale. If the proceeds of such a sale exceed the Company’s withholding obligation, the Company will pay the excess to you as soon as practicable. If the proceeds of such a sale are less than the Company’s withholding obligation, you agree to pay any shortfall to the Company as soon as practicable, including through payroll withholding. You acknowledge that the Company and the broker are under no obligation to arrange for such sale at any particular price. In connection with the “sell-to-cover” program, you agree to execute any documents the broker may request to effectuate the sale of shares of Stock and satisfaction of the Stock and satisfaction of the Company’s withholding obligation.</w:t>
      </w:r>
    </w:p>
    <w:p>
      <w:pPr>
        <w:spacing w:after="0" w:line="206" w:lineRule="exact"/>
        <w:rPr>
          <w:sz w:val="20"/>
          <w:szCs w:val="20"/>
          <w:color w:val="auto"/>
        </w:rPr>
      </w:pPr>
    </w:p>
    <w:p>
      <w:pPr>
        <w:ind w:right="40" w:firstLine="220"/>
        <w:spacing w:after="0" w:line="288" w:lineRule="auto"/>
        <w:tabs>
          <w:tab w:leader="none" w:pos="58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herein amended by this Amendment, the terms and provisions of the original RSU Agreement shall remain in full force and effect as originally executed without modification or revision.</w:t>
      </w:r>
    </w:p>
    <w:p>
      <w:pPr>
        <w:spacing w:after="0" w:line="180" w:lineRule="exact"/>
        <w:rPr>
          <w:rFonts w:ascii="Times New Roman" w:cs="Times New Roman" w:eastAsia="Times New Roman" w:hAnsi="Times New Roman"/>
          <w:sz w:val="21"/>
          <w:szCs w:val="21"/>
          <w:color w:val="auto"/>
        </w:rPr>
      </w:pPr>
    </w:p>
    <w:p>
      <w:pPr>
        <w:ind w:right="120" w:firstLine="220"/>
        <w:spacing w:after="0" w:line="288" w:lineRule="auto"/>
        <w:tabs>
          <w:tab w:leader="none" w:pos="583"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First Amendment shall be governed and construed and enforced in accordance with the laws of the State of Delaware, without reference to the choice of law provisions of such laws.</w:t>
      </w:r>
    </w:p>
    <w:p>
      <w:pPr>
        <w:spacing w:after="0" w:line="167" w:lineRule="exact"/>
        <w:rPr>
          <w:rFonts w:ascii="Times New Roman" w:cs="Times New Roman" w:eastAsia="Times New Roman" w:hAnsi="Times New Roman"/>
          <w:sz w:val="21"/>
          <w:szCs w:val="21"/>
          <w:color w:val="auto"/>
        </w:rPr>
      </w:pPr>
    </w:p>
    <w:p>
      <w:pPr>
        <w:ind w:right="840" w:firstLine="220"/>
        <w:spacing w:after="0" w:line="288" w:lineRule="auto"/>
        <w:tabs>
          <w:tab w:leader="none" w:pos="583"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First Amendment and the original RSU Agreement, as amended and modified by this First Amendment, shall constitute and be construed as a single agreement.</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406" w:right="359" w:bottom="1440" w:gutter="0" w:footer="0" w:header="0"/>
        </w:sectPr>
      </w:pPr>
    </w:p>
    <w:bookmarkStart w:id="78" w:name="page79"/>
    <w:bookmarkEnd w:id="78"/>
    <w:p>
      <w:pPr>
        <w:jc w:val="both"/>
        <w:ind w:firstLine="640"/>
        <w:spacing w:after="0" w:line="272"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Company has caused its duly authorized officer to execute this First Amendment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Restricted Stock Unit Agreement, and the Grantee has placed Grantee’s signature hereon, effective as of the date first written above.</w:t>
      </w:r>
    </w:p>
    <w:p>
      <w:pPr>
        <w:spacing w:after="0" w:line="23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1"/>
          <w:szCs w:val="21"/>
          <w:color w:val="auto"/>
        </w:rPr>
        <w:t>Fortrea Holdings Inc.</w:t>
      </w:r>
    </w:p>
    <w:p>
      <w:pPr>
        <w:spacing w:after="0" w:line="302"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i w:val="1"/>
          <w:iCs w:val="1"/>
          <w:color w:val="auto"/>
        </w:rPr>
        <w:t>/s/ Stillman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36195</wp:posOffset>
            </wp:positionV>
            <wp:extent cx="23806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49"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21"/>
          <w:szCs w:val="21"/>
          <w:color w:val="auto"/>
        </w:rPr>
        <w:t>Name: Stillman Hanson</w:t>
      </w:r>
    </w:p>
    <w:p>
      <w:pPr>
        <w:spacing w:after="0" w:line="52"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21"/>
          <w:szCs w:val="21"/>
          <w:color w:val="auto"/>
        </w:rPr>
        <w:t>Title: General Counsel</w:t>
      </w:r>
    </w:p>
    <w:p>
      <w:pPr>
        <w:spacing w:after="0" w:line="306"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1"/>
          <w:szCs w:val="21"/>
          <w:color w:val="auto"/>
        </w:rPr>
        <w:t>GRANTEE:</w:t>
      </w:r>
    </w:p>
    <w:p>
      <w:pPr>
        <w:spacing w:after="0" w:line="3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1"/>
          <w:szCs w:val="21"/>
          <w:i w:val="1"/>
          <w:iCs w:val="1"/>
          <w:color w:val="auto"/>
        </w:rPr>
        <w:t>/s/ Thomas H. Pike</w:t>
      </w:r>
    </w:p>
    <w:p>
      <w:pPr>
        <w:spacing w:after="0" w:line="1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21"/>
          <w:szCs w:val="21"/>
          <w:color w:val="auto"/>
        </w:rPr>
        <w:t>Thomas H. Pike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680"/>
          </w:cols>
          <w:pgMar w:left="320" w:top="1402" w:right="89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Pike, certify that:</w:t>
      </w:r>
    </w:p>
    <w:p>
      <w:pPr>
        <w:spacing w:after="0" w:line="233" w:lineRule="exact"/>
        <w:rPr>
          <w:sz w:val="20"/>
          <w:szCs w:val="20"/>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Fortrea Holdings Inc. (the “registrant”);</w:t>
      </w:r>
    </w:p>
    <w:p>
      <w:pPr>
        <w:spacing w:after="0" w:line="153" w:lineRule="exact"/>
        <w:rPr>
          <w:rFonts w:ascii="Times New Roman" w:cs="Times New Roman" w:eastAsia="Times New Roman" w:hAnsi="Times New Roman"/>
          <w:sz w:val="18"/>
          <w:szCs w:val="18"/>
          <w:color w:val="auto"/>
        </w:rPr>
      </w:pPr>
    </w:p>
    <w:p>
      <w:pPr>
        <w:jc w:val="both"/>
        <w:ind w:left="640" w:right="240" w:hanging="313"/>
        <w:spacing w:after="0" w:line="246"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left="640" w:right="220" w:hanging="313"/>
        <w:spacing w:after="0" w:line="261"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left="640" w:right="440" w:hanging="313"/>
        <w:spacing w:after="0" w:line="261"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3"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Rules 13a-14(a) and 15d-14(a)];</w:t>
      </w:r>
    </w:p>
    <w:p>
      <w:pPr>
        <w:spacing w:after="0" w:line="166" w:lineRule="exact"/>
        <w:rPr>
          <w:rFonts w:ascii="Times New Roman" w:cs="Times New Roman" w:eastAsia="Times New Roman" w:hAnsi="Times New Roman"/>
          <w:sz w:val="18"/>
          <w:szCs w:val="18"/>
          <w:color w:val="auto"/>
        </w:rPr>
      </w:pPr>
    </w:p>
    <w:p>
      <w:pPr>
        <w:ind w:left="1280" w:hanging="313"/>
        <w:spacing w:after="0" w:line="277" w:lineRule="auto"/>
        <w:tabs>
          <w:tab w:leader="none" w:pos="127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9" w:lineRule="exact"/>
        <w:rPr>
          <w:rFonts w:ascii="Times New Roman" w:cs="Times New Roman" w:eastAsia="Times New Roman" w:hAnsi="Times New Roman"/>
          <w:sz w:val="18"/>
          <w:szCs w:val="18"/>
          <w:color w:val="auto"/>
        </w:rPr>
      </w:pPr>
    </w:p>
    <w:p>
      <w:pPr>
        <w:ind w:left="640" w:right="140" w:hanging="313"/>
        <w:spacing w:after="0" w:line="261"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280" w:right="580" w:hanging="313"/>
        <w:spacing w:after="0" w:line="291" w:lineRule="auto"/>
        <w:tabs>
          <w:tab w:leader="none" w:pos="127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Times New Roman" w:cs="Times New Roman" w:eastAsia="Times New Roman" w:hAnsi="Times New Roman"/>
          <w:sz w:val="17"/>
          <w:szCs w:val="17"/>
          <w:color w:val="auto"/>
        </w:rPr>
      </w:pPr>
    </w:p>
    <w:p>
      <w:pPr>
        <w:ind w:left="1280" w:right="280" w:hanging="313"/>
        <w:spacing w:after="0" w:line="277" w:lineRule="auto"/>
        <w:tabs>
          <w:tab w:leader="none" w:pos="1274"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Thomas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4537075</wp:posOffset>
            </wp:positionH>
            <wp:positionV relativeFrom="paragraph">
              <wp:posOffset>33020</wp:posOffset>
            </wp:positionV>
            <wp:extent cx="26009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7"/>
          <w:szCs w:val="17"/>
          <w:color w:val="auto"/>
        </w:rPr>
        <w:t>Thomas Pike</w:t>
      </w:r>
    </w:p>
    <w:p>
      <w:pPr>
        <w:spacing w:after="0" w:line="4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4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57"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 UNDER SECTION 302</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Jill McConnell, certify that:</w:t>
      </w:r>
    </w:p>
    <w:p>
      <w:pPr>
        <w:spacing w:after="0" w:line="233"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Fortrea Holdings Inc. (the “registrant”);</w:t>
      </w:r>
    </w:p>
    <w:p>
      <w:pPr>
        <w:spacing w:after="0" w:line="153" w:lineRule="exact"/>
        <w:rPr>
          <w:rFonts w:ascii="Times New Roman" w:cs="Times New Roman" w:eastAsia="Times New Roman" w:hAnsi="Times New Roman"/>
          <w:sz w:val="18"/>
          <w:szCs w:val="18"/>
          <w:color w:val="auto"/>
        </w:rPr>
      </w:pPr>
    </w:p>
    <w:p>
      <w:pPr>
        <w:jc w:val="both"/>
        <w:ind w:left="640" w:right="240" w:hanging="313"/>
        <w:spacing w:after="0" w:line="246"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0" w:lineRule="exact"/>
        <w:rPr>
          <w:rFonts w:ascii="Times New Roman" w:cs="Times New Roman" w:eastAsia="Times New Roman" w:hAnsi="Times New Roman"/>
          <w:sz w:val="18"/>
          <w:szCs w:val="18"/>
          <w:color w:val="auto"/>
        </w:rPr>
      </w:pPr>
    </w:p>
    <w:p>
      <w:pPr>
        <w:ind w:left="640" w:right="220" w:hanging="313"/>
        <w:spacing w:after="0" w:line="261"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left="640" w:right="440" w:hanging="313"/>
        <w:spacing w:after="0" w:line="261"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23"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 pursuant to Exchange Act Rules 13a-14(a) and 15d-14(a)];</w:t>
      </w:r>
    </w:p>
    <w:p>
      <w:pPr>
        <w:spacing w:after="0" w:line="166" w:lineRule="exact"/>
        <w:rPr>
          <w:rFonts w:ascii="Times New Roman" w:cs="Times New Roman" w:eastAsia="Times New Roman" w:hAnsi="Times New Roman"/>
          <w:sz w:val="18"/>
          <w:szCs w:val="18"/>
          <w:color w:val="auto"/>
        </w:rPr>
      </w:pPr>
    </w:p>
    <w:p>
      <w:pPr>
        <w:ind w:left="1280" w:hanging="313"/>
        <w:spacing w:after="0" w:line="277" w:lineRule="auto"/>
        <w:tabs>
          <w:tab w:leader="none" w:pos="127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Times New Roman" w:cs="Times New Roman" w:eastAsia="Times New Roman" w:hAnsi="Times New Roman"/>
          <w:sz w:val="18"/>
          <w:szCs w:val="18"/>
          <w:color w:val="auto"/>
        </w:rPr>
      </w:pPr>
    </w:p>
    <w:p>
      <w:pPr>
        <w:jc w:val="both"/>
        <w:ind w:left="1280" w:hanging="313"/>
        <w:spacing w:after="0" w:line="262" w:lineRule="auto"/>
        <w:tabs>
          <w:tab w:leader="none" w:pos="12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9" w:lineRule="exact"/>
        <w:rPr>
          <w:rFonts w:ascii="Times New Roman" w:cs="Times New Roman" w:eastAsia="Times New Roman" w:hAnsi="Times New Roman"/>
          <w:sz w:val="18"/>
          <w:szCs w:val="18"/>
          <w:color w:val="auto"/>
        </w:rPr>
      </w:pPr>
    </w:p>
    <w:p>
      <w:pPr>
        <w:ind w:left="640" w:right="140" w:hanging="313"/>
        <w:spacing w:after="0" w:line="261"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left="1280" w:right="580" w:hanging="313"/>
        <w:spacing w:after="0" w:line="291" w:lineRule="auto"/>
        <w:tabs>
          <w:tab w:leader="none" w:pos="1277"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3" w:lineRule="exact"/>
        <w:rPr>
          <w:rFonts w:ascii="Times New Roman" w:cs="Times New Roman" w:eastAsia="Times New Roman" w:hAnsi="Times New Roman"/>
          <w:sz w:val="17"/>
          <w:szCs w:val="17"/>
          <w:color w:val="auto"/>
        </w:rPr>
      </w:pPr>
    </w:p>
    <w:p>
      <w:pPr>
        <w:ind w:left="1280" w:right="280" w:hanging="313"/>
        <w:spacing w:after="0" w:line="277" w:lineRule="auto"/>
        <w:tabs>
          <w:tab w:leader="none" w:pos="127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4537075</wp:posOffset>
            </wp:positionH>
            <wp:positionV relativeFrom="paragraph">
              <wp:posOffset>33020</wp:posOffset>
            </wp:positionV>
            <wp:extent cx="26009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7"/>
          <w:szCs w:val="17"/>
          <w:color w:val="auto"/>
        </w:rPr>
        <w:t>Jill McConnell</w:t>
      </w:r>
    </w:p>
    <w:p>
      <w:pPr>
        <w:spacing w:after="0" w:line="4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35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18 U.S.C. SECTION 1350</w:t>
      </w:r>
    </w:p>
    <w:p>
      <w:pPr>
        <w:jc w:val="center"/>
        <w:spacing w:after="0" w:line="238" w:lineRule="auto"/>
        <w:rPr>
          <w:sz w:val="20"/>
          <w:szCs w:val="20"/>
          <w:color w:val="auto"/>
        </w:rPr>
      </w:pPr>
      <w:r>
        <w:rPr>
          <w:rFonts w:ascii="Times New Roman" w:cs="Times New Roman" w:eastAsia="Times New Roman" w:hAnsi="Times New Roman"/>
          <w:sz w:val="21"/>
          <w:szCs w:val="21"/>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SARBANES-OXLEY ACT OF 2002</w:t>
      </w: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 Thomas Pike, Chief Executive Officer of Fortrea Holdings Inc. (the “Company”), do hereby certify, pursuant to 18 U.S.C. Section 1350, as adopted pursuant to Section 906 of the Sarbanes-Oxley Act of 2002, that to the best of my knowledge:</w:t>
      </w:r>
    </w:p>
    <w:p>
      <w:pPr>
        <w:spacing w:after="0" w:line="230" w:lineRule="exact"/>
        <w:rPr>
          <w:sz w:val="20"/>
          <w:szCs w:val="20"/>
          <w:color w:val="auto"/>
        </w:rPr>
      </w:pPr>
    </w:p>
    <w:p>
      <w:pPr>
        <w:ind w:left="620" w:right="20" w:hanging="515"/>
        <w:spacing w:after="0" w:line="261" w:lineRule="auto"/>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fully complies with the requirements of Section 13(a) or 15(d) of the Securities Exchange Act of 1934; and</w:t>
      </w:r>
    </w:p>
    <w:p>
      <w:pPr>
        <w:spacing w:after="0" w:line="123" w:lineRule="exact"/>
        <w:rPr>
          <w:rFonts w:ascii="Times New Roman" w:cs="Times New Roman" w:eastAsia="Times New Roman" w:hAnsi="Times New Roman"/>
          <w:sz w:val="18"/>
          <w:szCs w:val="18"/>
          <w:color w:val="auto"/>
        </w:rPr>
      </w:pPr>
    </w:p>
    <w:p>
      <w:pPr>
        <w:ind w:left="740" w:right="20" w:hanging="582"/>
        <w:spacing w:after="0" w:line="261" w:lineRule="auto"/>
        <w:tabs>
          <w:tab w:leader="none" w:pos="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364"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Thomas Pike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4537075</wp:posOffset>
            </wp:positionH>
            <wp:positionV relativeFrom="paragraph">
              <wp:posOffset>33020</wp:posOffset>
            </wp:positionV>
            <wp:extent cx="26009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7"/>
          <w:szCs w:val="17"/>
          <w:color w:val="auto"/>
        </w:rPr>
        <w:t>Thomas Pike</w:t>
      </w:r>
    </w:p>
    <w:p>
      <w:pPr>
        <w:spacing w:after="0" w:line="4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4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5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18 U.S.C. SECTION 1350</w:t>
      </w:r>
    </w:p>
    <w:p>
      <w:pPr>
        <w:jc w:val="center"/>
        <w:spacing w:after="0" w:line="238" w:lineRule="auto"/>
        <w:rPr>
          <w:sz w:val="20"/>
          <w:szCs w:val="20"/>
          <w:color w:val="auto"/>
        </w:rPr>
      </w:pPr>
      <w:r>
        <w:rPr>
          <w:rFonts w:ascii="Times New Roman" w:cs="Times New Roman" w:eastAsia="Times New Roman" w:hAnsi="Times New Roman"/>
          <w:sz w:val="21"/>
          <w:szCs w:val="21"/>
          <w:b w:val="1"/>
          <w:bCs w:val="1"/>
          <w:color w:val="auto"/>
        </w:rPr>
        <w:t>AS ADOPTED PURSUANT TO SECTION 906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SARBANES-OXLEY ACT OF 2002</w:t>
      </w: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 Jill McConnell, Chief Financial Officer of Fortrea Holdings Inc. (the “Company”), do hereby certify, pursuant to 18 U.S.C. Section 1350, as adopted pursuant to Section 906 of the Sarbanes-Oxley Act of 2002, that to the best of my knowledge:</w:t>
      </w:r>
    </w:p>
    <w:p>
      <w:pPr>
        <w:spacing w:after="0" w:line="230" w:lineRule="exact"/>
        <w:rPr>
          <w:sz w:val="20"/>
          <w:szCs w:val="20"/>
          <w:color w:val="auto"/>
        </w:rPr>
      </w:pPr>
    </w:p>
    <w:p>
      <w:pPr>
        <w:ind w:left="620" w:right="20" w:hanging="515"/>
        <w:spacing w:after="0" w:line="261" w:lineRule="auto"/>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fully complies with the requirements of Section 13(a) or 15(d) of the Securities Exchange Act of 1934; and</w:t>
      </w:r>
    </w:p>
    <w:p>
      <w:pPr>
        <w:spacing w:after="0" w:line="123" w:lineRule="exact"/>
        <w:rPr>
          <w:rFonts w:ascii="Times New Roman" w:cs="Times New Roman" w:eastAsia="Times New Roman" w:hAnsi="Times New Roman"/>
          <w:sz w:val="18"/>
          <w:szCs w:val="18"/>
          <w:color w:val="auto"/>
        </w:rPr>
      </w:pPr>
    </w:p>
    <w:p>
      <w:pPr>
        <w:ind w:left="740" w:right="20" w:hanging="582"/>
        <w:spacing w:after="0" w:line="261" w:lineRule="auto"/>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364"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 Jill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4537075</wp:posOffset>
            </wp:positionH>
            <wp:positionV relativeFrom="paragraph">
              <wp:posOffset>33020</wp:posOffset>
            </wp:positionV>
            <wp:extent cx="26009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00960" cy="8255"/>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7140" w:val="left"/>
        </w:tabs>
        <w:rPr>
          <w:sz w:val="20"/>
          <w:szCs w:val="20"/>
          <w:color w:val="auto"/>
        </w:rPr>
      </w:pPr>
      <w:r>
        <w:rPr>
          <w:rFonts w:ascii="Times New Roman" w:cs="Times New Roman" w:eastAsia="Times New Roman" w:hAnsi="Times New Roman"/>
          <w:sz w:val="18"/>
          <w:szCs w:val="18"/>
          <w:color w:val="auto"/>
        </w:rPr>
        <w:t>Date: November 8, 2024</w:t>
      </w:r>
      <w:r>
        <w:rPr>
          <w:sz w:val="20"/>
          <w:szCs w:val="20"/>
          <w:color w:val="auto"/>
        </w:rPr>
        <w:tab/>
      </w:r>
      <w:r>
        <w:rPr>
          <w:rFonts w:ascii="Times New Roman" w:cs="Times New Roman" w:eastAsia="Times New Roman" w:hAnsi="Times New Roman"/>
          <w:sz w:val="17"/>
          <w:szCs w:val="17"/>
          <w:color w:val="auto"/>
        </w:rPr>
        <w:t>Jill McConnell</w:t>
      </w:r>
    </w:p>
    <w:p>
      <w:pPr>
        <w:spacing w:after="0" w:line="45"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9"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5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2"/>
    </w:lvl>
  </w:abstractNum>
  <w:abstractNum w:abstractNumId="4">
    <w:nsid w:val="4DB127F8"/>
    <w:multiLevelType w:val="hybridMultilevel"/>
    <w:lvl w:ilvl="0">
      <w:lvlJc w:val="left"/>
      <w:lvlText w:val="%1."/>
      <w:numFmt w:val="decimal"/>
      <w:start w:val="3"/>
    </w:lvl>
  </w:abstractNum>
  <w:abstractNum w:abstractNumId="5">
    <w:nsid w:val="216231B"/>
    <w:multiLevelType w:val="hybridMultilevel"/>
    <w:lvl w:ilvl="0">
      <w:lvlJc w:val="left"/>
      <w:lvlText w:val="%1."/>
      <w:numFmt w:val="decimal"/>
      <w:start w:val="7"/>
    </w:lvl>
  </w:abstractNum>
  <w:abstractNum w:abstractNumId="6">
    <w:nsid w:val="1F16E9E8"/>
    <w:multiLevelType w:val="hybridMultilevel"/>
    <w:lvl w:ilvl="0">
      <w:lvlJc w:val="left"/>
      <w:lvlText w:val="%1."/>
      <w:numFmt w:val="decimal"/>
      <w:start w:val="14"/>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Roman"/>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decimal"/>
      <w:start w:val="2"/>
    </w:lvl>
  </w:abstractNum>
  <w:abstractNum w:abstractNumId="14">
    <w:nsid w:val="1BEFD79F"/>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2024-11-08T16:39:49Z</dcterms:created>
  <dcterms:modified xsi:type="dcterms:W3CDTF">2024-11-08T16:39:49Z</dcterms:modified>
</cp:coreProperties>
</file>