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8, 2024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Fortrea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920" w:type="dxa"/>
            <w:vAlign w:val="bottom"/>
          </w:tcPr>
          <w:p>
            <w:pPr>
              <w:jc w:val="center"/>
              <w:ind w:right="22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80" w:type="dxa"/>
            <w:vAlign w:val="bottom"/>
          </w:tcPr>
          <w:p>
            <w:pPr>
              <w:jc w:val="center"/>
              <w:ind w:right="1097"/>
              <w:spacing w:after="0"/>
              <w:rPr>
                <w:sz w:val="20"/>
                <w:szCs w:val="20"/>
                <w:color w:val="auto"/>
              </w:rPr>
            </w:pPr>
            <w:r>
              <w:rPr>
                <w:rFonts w:ascii="Times New Roman" w:cs="Times New Roman" w:eastAsia="Times New Roman" w:hAnsi="Times New Roman"/>
                <w:sz w:val="18"/>
                <w:szCs w:val="18"/>
                <w:b w:val="1"/>
                <w:bCs w:val="1"/>
                <w:color w:val="auto"/>
                <w:w w:val="99"/>
              </w:rPr>
              <w:t>001-41704</w:t>
            </w:r>
          </w:p>
        </w:tc>
        <w:tc>
          <w:tcPr>
            <w:tcW w:w="23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92-2796441</w:t>
            </w:r>
          </w:p>
        </w:tc>
      </w:tr>
      <w:tr>
        <w:trPr>
          <w:trHeight w:val="148"/>
        </w:trPr>
        <w:tc>
          <w:tcPr>
            <w:tcW w:w="3920" w:type="dxa"/>
            <w:vAlign w:val="bottom"/>
          </w:tcPr>
          <w:p>
            <w:pPr>
              <w:jc w:val="center"/>
              <w:ind w:right="22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80" w:type="dxa"/>
            <w:vAlign w:val="bottom"/>
          </w:tcPr>
          <w:p>
            <w:pPr>
              <w:jc w:val="center"/>
              <w:ind w:right="1077"/>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80" w:type="dxa"/>
            <w:vAlign w:val="bottom"/>
          </w:tcPr>
          <w:p>
            <w:pPr>
              <w:jc w:val="center"/>
              <w:ind w:left="1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218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80" w:type="dxa"/>
            <w:vAlign w:val="bottom"/>
          </w:tcPr>
          <w:p>
            <w:pPr>
              <w:jc w:val="center"/>
              <w:ind w:right="107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80" w:type="dxa"/>
            <w:vAlign w:val="bottom"/>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920" w:type="dxa"/>
            <w:vAlign w:val="bottom"/>
          </w:tcPr>
          <w:p>
            <w:pPr>
              <w:spacing w:after="0"/>
              <w:rPr>
                <w:sz w:val="24"/>
                <w:szCs w:val="24"/>
                <w:color w:val="auto"/>
              </w:rPr>
            </w:pPr>
          </w:p>
        </w:tc>
        <w:tc>
          <w:tcPr>
            <w:tcW w:w="2480" w:type="dxa"/>
            <w:vAlign w:val="bottom"/>
          </w:tcPr>
          <w:p>
            <w:pPr>
              <w:jc w:val="center"/>
              <w:ind w:right="1077"/>
              <w:spacing w:after="0"/>
              <w:rPr>
                <w:sz w:val="20"/>
                <w:szCs w:val="20"/>
                <w:color w:val="auto"/>
              </w:rPr>
            </w:pPr>
            <w:r>
              <w:rPr>
                <w:rFonts w:ascii="Times New Roman" w:cs="Times New Roman" w:eastAsia="Times New Roman" w:hAnsi="Times New Roman"/>
                <w:sz w:val="18"/>
                <w:szCs w:val="18"/>
                <w:b w:val="1"/>
                <w:bCs w:val="1"/>
                <w:color w:val="auto"/>
                <w:w w:val="99"/>
              </w:rPr>
              <w:t>8 Moore Drive</w:t>
            </w:r>
          </w:p>
        </w:tc>
        <w:tc>
          <w:tcPr>
            <w:tcW w:w="2380" w:type="dxa"/>
            <w:vAlign w:val="bottom"/>
          </w:tcPr>
          <w:p>
            <w:pPr>
              <w:spacing w:after="0"/>
              <w:rPr>
                <w:sz w:val="24"/>
                <w:szCs w:val="24"/>
                <w:color w:val="auto"/>
              </w:rPr>
            </w:pPr>
          </w:p>
        </w:tc>
      </w:tr>
      <w:tr>
        <w:trPr>
          <w:trHeight w:val="214"/>
        </w:trPr>
        <w:tc>
          <w:tcPr>
            <w:tcW w:w="3920" w:type="dxa"/>
            <w:vAlign w:val="bottom"/>
          </w:tcPr>
          <w:p>
            <w:pPr>
              <w:jc w:val="center"/>
              <w:ind w:right="2181"/>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2480" w:type="dxa"/>
            <w:vAlign w:val="bottom"/>
          </w:tcPr>
          <w:p>
            <w:pPr>
              <w:jc w:val="center"/>
              <w:ind w:right="1097"/>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23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27709</w:t>
            </w:r>
          </w:p>
        </w:tc>
      </w:tr>
      <w:tr>
        <w:trPr>
          <w:trHeight w:val="190"/>
        </w:trPr>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80" w:type="dxa"/>
            <w:vAlign w:val="bottom"/>
          </w:tcPr>
          <w:p>
            <w:pPr>
              <w:spacing w:after="0"/>
              <w:rPr>
                <w:sz w:val="16"/>
                <w:szCs w:val="16"/>
                <w:color w:val="auto"/>
              </w:rPr>
            </w:pPr>
          </w:p>
        </w:tc>
        <w:tc>
          <w:tcPr>
            <w:tcW w:w="2380" w:type="dxa"/>
            <w:vAlign w:val="bottom"/>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877-495-0816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FTRE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Principal Accounting Officer  </w:t>
      </w:r>
    </w:p>
    <w:p>
      <w:pPr>
        <w:spacing w:after="0" w:line="121" w:lineRule="exact"/>
        <w:rPr>
          <w:sz w:val="20"/>
          <w:szCs w:val="20"/>
          <w:color w:val="auto"/>
        </w:rPr>
      </w:pPr>
    </w:p>
    <w:p>
      <w:pPr>
        <w:ind w:right="200" w:firstLine="440"/>
        <w:spacing w:after="0" w:line="289" w:lineRule="auto"/>
        <w:rPr>
          <w:sz w:val="20"/>
          <w:szCs w:val="20"/>
          <w:color w:val="auto"/>
        </w:rPr>
      </w:pPr>
      <w:r>
        <w:rPr>
          <w:rFonts w:ascii="Times New Roman" w:cs="Times New Roman" w:eastAsia="Times New Roman" w:hAnsi="Times New Roman"/>
          <w:sz w:val="17"/>
          <w:szCs w:val="17"/>
          <w:color w:val="auto"/>
        </w:rPr>
        <w:t>On July 8, 2024, Robert A. Parks was appointed as Chief Accounting Officer and will assume the role of principal accounting officer of Fortrea Holdings Inc. (the “Company”), effective upon his start date with the Company in August 2024. Amanda M. Warren, who has served as principal accounting officer for the Company since June 2023, is expected to continue to serve as principal accounting officer for the Company until such date.</w:t>
      </w:r>
    </w:p>
    <w:p>
      <w:pPr>
        <w:spacing w:after="0" w:line="158" w:lineRule="exact"/>
        <w:rPr>
          <w:sz w:val="20"/>
          <w:szCs w:val="20"/>
          <w:color w:val="auto"/>
        </w:rPr>
      </w:pPr>
    </w:p>
    <w:p>
      <w:pPr>
        <w:ind w:right="140" w:firstLine="440"/>
        <w:spacing w:after="0" w:line="273" w:lineRule="auto"/>
        <w:rPr>
          <w:sz w:val="20"/>
          <w:szCs w:val="20"/>
          <w:color w:val="auto"/>
        </w:rPr>
      </w:pPr>
      <w:r>
        <w:rPr>
          <w:rFonts w:ascii="Times New Roman" w:cs="Times New Roman" w:eastAsia="Times New Roman" w:hAnsi="Times New Roman"/>
          <w:sz w:val="17"/>
          <w:szCs w:val="17"/>
          <w:color w:val="auto"/>
        </w:rPr>
        <w:t>Mr. Parks, 51, will join the Company from SailPoint Technologies Holdings, Inc., an identity security software solutions company, where he has served as Chief Accounting Officer since September 2023. Prior to that, Mr. Parks served as Chief Accounting Officer of NetApp, Inc. (NASDAQ: NTAP), a global data storage solutions provider, from 2021 to September 2023, and as Chief Accounting Officer of Syneos Health, Inc., a clinical research and commercialization services company, from 2018 to 2021. Mr. Parks also was employed by IQVIA Holdings, Inc. (formerly Quintiles, NYSE: IQV), a leading fully integrated biopharmaceutical services company offering clinical, commercial and consulting solutions worldwide, from 2011 to 2018, holding positions of increasing responsibilities, including Senior Vice President, Corporate Controller and Principal Accounting Officer from 2017 to 2018. Mr. Parks is a Certified Public Accountant and holds a B.S. in Accounting from the University of Maryland, College Park.</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Mr. Parks will receive an annual base salary and is eligible to receive an annual incentive bonus and annual long-term incentive awards in the form of performance share awards and restricted stock units under the Company’s 2023 Omnibus Incentive Plan, a copy of which was filed as an exhibit to the Company’s Annual Report on Form 10-K for the year ended December 31, 2023. Additionally, Mr. Parks is eligible to receive certain sign-on awards, comprising both cash and equity under the Company’s plans. Mr. Parks will also be eligible to participate in the Company’s other benefit plans and programs as described in the Company’s Definitive Proxy Statement for the 2024 Annual Meeting of Stockholders, filed on Schedule 14A with the Securities and Exchange Commission on March 28, 2024.</w:t>
      </w:r>
    </w:p>
    <w:p>
      <w:pPr>
        <w:spacing w:after="0" w:line="187"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Parks and any other person pursuant to which he was appointed as Chief Accounting Officer of the Company, and he is not a party to, nor does he have any direct or indirect material interest in, any transaction requiring disclosure under Item 404(a) of Regulation S-K. He does not have any family relations with any directors or executive officers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July 11, 2024, the Company issued a press release announcing the appointment of a new Chief Accounting Officer. A copy of the press release is furnished as Exhibit 99.1 to this Current Report and is incorporated herein by reference.</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7.01, including the Press Release attached hereto as Exhibit 99.1, is being furnished and shall not be deemed “filed” for the purposes of Section 18 of the Exchange Act, or otherwise subject to the liabilities of that section, nor shall it be deemed incorporated by reference into any registration statement or other filing under the Securities Act, except as shall be expressly set forth by specific reference to such filing.</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74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8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issued by the Company dated July 11, 2024 announcing the appointment of a new Chief Accounting Officer</w:t>
            </w: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220"/>
          </w:cols>
          <w:pgMar w:left="440" w:top="293" w:right="12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Stillman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Stillman Hanson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2024</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6057900</wp:posOffset>
            </wp:positionH>
            <wp:positionV relativeFrom="paragraph">
              <wp:posOffset>173990</wp:posOffset>
            </wp:positionV>
            <wp:extent cx="9347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Appoints Robert Parks as Chief Accounting Officer</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DURHAM, N.C., July 11,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Fortrea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FTRE), a leading global contract research organization (CRO), today announced that Robert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“Bobby” Parks has been appointed as chief accounting officer (CAO), responsible for Fortrea’s accounting function, including financial reporting, risk, controls and compliance in accordance with applicable standards, laws and regulations.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pleased to welcome Bobby to the Fortrea team, bringing his broad and deep experience from CROs and other fast-paced environments,” said Fortrea Chief Financial Officer Jill McConnell. “Bobby has a track record of managing Sarbanes-Oxley Act requirements and internal controls, including for CROs, in a public-company setting. He is a strategic thinker who understands our customers and our business priorities. I look forward to Bobby making a fast start as CAO and a significant contribution to Fortrea’s success.”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Parks brings three decades of experience to the role. Starting his career in public accounting at Ernst &amp; Young LLP, he served clients in global and regulated industries, including defense and construction. He was senior vice president and corporate controller at Quintiles, now IQVIA, and CAO at Syneos, a leading biopharmaceutical solutions organization. Most recently, Parks served as CAO at SailPoint Technologies Holdings, a leader in identity security software. He is a certified public accountant and earned a B.S. in accounting at the University of Maryland.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Parks will join Fortrea in August, reporting to McConnell and will serve on its Finance Leadership Team. He succeeds Amanda Warren in this role, who will serve as an advisor to the CFO from August through November.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Fortrea</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 xml:space="preserve">Fortrea (Nasdaq: FTRE) is a leading global provider of clinical development solutions to the life sciences industry. We partner with emerging and large biopharmaceutical, biotechnology, medical device and diagnostic companies to drive healthcare innovation that accelerates life changing therapies to patients. Fortrea provides phase I-IV clinical trial management, clinical pharmacology and consulting services. Fortrea’s solutions leverage three decades of experience spanning more than 20 therapeutic areas, a passion for scientific rigor, exceptional insights and a strong investigator site network. Our talented and diverse team working in more than 90 countries is scaled to deliver focused and agile solutions to customers globally. Learn more about how Fortrea is becoming a transformative force from pipeline to patient at </w:t>
      </w:r>
      <w:r>
        <w:rPr>
          <w:rFonts w:ascii="Times New Roman" w:cs="Times New Roman" w:eastAsia="Times New Roman" w:hAnsi="Times New Roman"/>
          <w:sz w:val="17"/>
          <w:szCs w:val="17"/>
          <w:u w:val="single" w:color="auto"/>
          <w:color w:val="auto"/>
        </w:rPr>
        <w:t>Fortrea.com</w:t>
      </w:r>
      <w:r>
        <w:rPr>
          <w:rFonts w:ascii="Times New Roman" w:cs="Times New Roman" w:eastAsia="Times New Roman" w:hAnsi="Times New Roman"/>
          <w:sz w:val="17"/>
          <w:szCs w:val="17"/>
          <w:color w:val="auto"/>
        </w:rPr>
        <w:t xml:space="preserve"> and follow us on </w:t>
      </w:r>
      <w:r>
        <w:rPr>
          <w:rFonts w:ascii="Times New Roman" w:cs="Times New Roman" w:eastAsia="Times New Roman" w:hAnsi="Times New Roman"/>
          <w:sz w:val="17"/>
          <w:szCs w:val="17"/>
          <w:u w:val="single" w:color="auto"/>
          <w:color w:val="auto"/>
        </w:rPr>
        <w:t>LinkedIn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(formerly Twitter).</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Fortrea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Hima Inguva (Investors) – 877-495-0816, </w:t>
      </w:r>
      <w:r>
        <w:rPr>
          <w:rFonts w:ascii="Times New Roman" w:cs="Times New Roman" w:eastAsia="Times New Roman" w:hAnsi="Times New Roman"/>
          <w:sz w:val="18"/>
          <w:szCs w:val="18"/>
          <w:u w:val="single" w:color="auto"/>
          <w:color w:val="auto"/>
        </w:rPr>
        <w:t>hima.inguva@fortrea.com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Sue Zaranek (Media) – 919-943-5422, </w:t>
      </w:r>
      <w:r>
        <w:rPr>
          <w:rFonts w:ascii="Times New Roman" w:cs="Times New Roman" w:eastAsia="Times New Roman" w:hAnsi="Times New Roman"/>
          <w:sz w:val="18"/>
          <w:szCs w:val="18"/>
          <w:u w:val="single" w:color="auto"/>
          <w:color w:val="auto"/>
        </w:rPr>
        <w:t>media@fortrea.com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Kate Dillon (Media) – 646-818-9115, </w:t>
      </w:r>
      <w:r>
        <w:rPr>
          <w:rFonts w:ascii="Times New Roman" w:cs="Times New Roman" w:eastAsia="Times New Roman" w:hAnsi="Times New Roman"/>
          <w:sz w:val="18"/>
          <w:szCs w:val="18"/>
          <w:u w:val="single" w:color="auto"/>
          <w:color w:val="auto"/>
        </w:rPr>
        <w:t>kdillon@prosek.com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2024-07-11T07:22:04Z</dcterms:created>
  <dcterms:modified xsi:type="dcterms:W3CDTF">2024-07-11T07:22:04Z</dcterms:modified>
</cp:coreProperties>
</file>