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11, 2025</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Fortrea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920" w:type="dxa"/>
            <w:vAlign w:val="bottom"/>
          </w:tcPr>
          <w:p>
            <w:pPr>
              <w:jc w:val="center"/>
              <w:ind w:right="22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80" w:type="dxa"/>
            <w:vAlign w:val="bottom"/>
          </w:tcPr>
          <w:p>
            <w:pPr>
              <w:jc w:val="center"/>
              <w:ind w:right="1097"/>
              <w:spacing w:after="0"/>
              <w:rPr>
                <w:sz w:val="20"/>
                <w:szCs w:val="20"/>
                <w:color w:val="auto"/>
              </w:rPr>
            </w:pPr>
            <w:r>
              <w:rPr>
                <w:rFonts w:ascii="Times New Roman" w:cs="Times New Roman" w:eastAsia="Times New Roman" w:hAnsi="Times New Roman"/>
                <w:sz w:val="18"/>
                <w:szCs w:val="18"/>
                <w:b w:val="1"/>
                <w:bCs w:val="1"/>
                <w:color w:val="auto"/>
                <w:w w:val="99"/>
              </w:rPr>
              <w:t>001-41704</w:t>
            </w:r>
          </w:p>
        </w:tc>
        <w:tc>
          <w:tcPr>
            <w:tcW w:w="23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92-2796441</w:t>
            </w:r>
          </w:p>
        </w:tc>
      </w:tr>
      <w:tr>
        <w:trPr>
          <w:trHeight w:val="148"/>
        </w:trPr>
        <w:tc>
          <w:tcPr>
            <w:tcW w:w="3920" w:type="dxa"/>
            <w:vAlign w:val="bottom"/>
          </w:tcPr>
          <w:p>
            <w:pPr>
              <w:jc w:val="center"/>
              <w:ind w:right="220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80" w:type="dxa"/>
            <w:vAlign w:val="bottom"/>
          </w:tcPr>
          <w:p>
            <w:pPr>
              <w:jc w:val="center"/>
              <w:ind w:right="1077"/>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380" w:type="dxa"/>
            <w:vAlign w:val="bottom"/>
          </w:tcPr>
          <w:p>
            <w:pPr>
              <w:jc w:val="center"/>
              <w:ind w:left="11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20" w:type="dxa"/>
            <w:vAlign w:val="bottom"/>
          </w:tcPr>
          <w:p>
            <w:pPr>
              <w:jc w:val="center"/>
              <w:ind w:right="218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80" w:type="dxa"/>
            <w:vAlign w:val="bottom"/>
          </w:tcPr>
          <w:p>
            <w:pPr>
              <w:jc w:val="center"/>
              <w:ind w:right="1077"/>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380" w:type="dxa"/>
            <w:vAlign w:val="bottom"/>
          </w:tcPr>
          <w:p>
            <w:pPr>
              <w:jc w:val="center"/>
              <w:ind w:left="11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920" w:type="dxa"/>
            <w:vAlign w:val="bottom"/>
          </w:tcPr>
          <w:p>
            <w:pPr>
              <w:spacing w:after="0"/>
              <w:rPr>
                <w:sz w:val="24"/>
                <w:szCs w:val="24"/>
                <w:color w:val="auto"/>
              </w:rPr>
            </w:pPr>
          </w:p>
        </w:tc>
        <w:tc>
          <w:tcPr>
            <w:tcW w:w="2480" w:type="dxa"/>
            <w:vAlign w:val="bottom"/>
          </w:tcPr>
          <w:p>
            <w:pPr>
              <w:jc w:val="center"/>
              <w:ind w:right="1077"/>
              <w:spacing w:after="0"/>
              <w:rPr>
                <w:sz w:val="20"/>
                <w:szCs w:val="20"/>
                <w:color w:val="auto"/>
              </w:rPr>
            </w:pPr>
            <w:r>
              <w:rPr>
                <w:rFonts w:ascii="Times New Roman" w:cs="Times New Roman" w:eastAsia="Times New Roman" w:hAnsi="Times New Roman"/>
                <w:sz w:val="18"/>
                <w:szCs w:val="18"/>
                <w:b w:val="1"/>
                <w:bCs w:val="1"/>
                <w:color w:val="auto"/>
                <w:w w:val="99"/>
              </w:rPr>
              <w:t>8 Moore Drive</w:t>
            </w:r>
          </w:p>
        </w:tc>
        <w:tc>
          <w:tcPr>
            <w:tcW w:w="2380" w:type="dxa"/>
            <w:vAlign w:val="bottom"/>
          </w:tcPr>
          <w:p>
            <w:pPr>
              <w:spacing w:after="0"/>
              <w:rPr>
                <w:sz w:val="24"/>
                <w:szCs w:val="24"/>
                <w:color w:val="auto"/>
              </w:rPr>
            </w:pPr>
          </w:p>
        </w:tc>
      </w:tr>
      <w:tr>
        <w:trPr>
          <w:trHeight w:val="214"/>
        </w:trPr>
        <w:tc>
          <w:tcPr>
            <w:tcW w:w="3920" w:type="dxa"/>
            <w:vAlign w:val="bottom"/>
          </w:tcPr>
          <w:p>
            <w:pPr>
              <w:jc w:val="center"/>
              <w:ind w:right="2181"/>
              <w:spacing w:after="0"/>
              <w:rPr>
                <w:sz w:val="20"/>
                <w:szCs w:val="20"/>
                <w:color w:val="auto"/>
              </w:rPr>
            </w:pPr>
            <w:r>
              <w:rPr>
                <w:rFonts w:ascii="Times New Roman" w:cs="Times New Roman" w:eastAsia="Times New Roman" w:hAnsi="Times New Roman"/>
                <w:sz w:val="18"/>
                <w:szCs w:val="18"/>
                <w:b w:val="1"/>
                <w:bCs w:val="1"/>
                <w:color w:val="auto"/>
              </w:rPr>
              <w:t>Durham,</w:t>
            </w:r>
          </w:p>
        </w:tc>
        <w:tc>
          <w:tcPr>
            <w:tcW w:w="2480" w:type="dxa"/>
            <w:vAlign w:val="bottom"/>
          </w:tcPr>
          <w:p>
            <w:pPr>
              <w:jc w:val="center"/>
              <w:ind w:right="1097"/>
              <w:spacing w:after="0"/>
              <w:rPr>
                <w:sz w:val="20"/>
                <w:szCs w:val="20"/>
                <w:color w:val="auto"/>
              </w:rPr>
            </w:pPr>
            <w:r>
              <w:rPr>
                <w:rFonts w:ascii="Times New Roman" w:cs="Times New Roman" w:eastAsia="Times New Roman" w:hAnsi="Times New Roman"/>
                <w:sz w:val="18"/>
                <w:szCs w:val="18"/>
                <w:b w:val="1"/>
                <w:bCs w:val="1"/>
                <w:color w:val="auto"/>
                <w:w w:val="99"/>
              </w:rPr>
              <w:t>North Carolina</w:t>
            </w:r>
          </w:p>
        </w:tc>
        <w:tc>
          <w:tcPr>
            <w:tcW w:w="23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27709</w:t>
            </w:r>
          </w:p>
        </w:tc>
      </w:tr>
      <w:tr>
        <w:trPr>
          <w:trHeight w:val="190"/>
        </w:trPr>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80" w:type="dxa"/>
            <w:vAlign w:val="bottom"/>
          </w:tcPr>
          <w:p>
            <w:pPr>
              <w:spacing w:after="0"/>
              <w:rPr>
                <w:sz w:val="16"/>
                <w:szCs w:val="16"/>
                <w:color w:val="auto"/>
              </w:rPr>
            </w:pPr>
          </w:p>
        </w:tc>
        <w:tc>
          <w:tcPr>
            <w:tcW w:w="2380" w:type="dxa"/>
            <w:vAlign w:val="bottom"/>
          </w:tcPr>
          <w:p>
            <w:pPr>
              <w:jc w:val="center"/>
              <w:ind w:left="11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877-495-0816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FTRE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300" w:firstLine="440"/>
        <w:spacing w:after="0" w:line="272" w:lineRule="auto"/>
        <w:rPr>
          <w:sz w:val="20"/>
          <w:szCs w:val="20"/>
          <w:color w:val="auto"/>
        </w:rPr>
      </w:pPr>
      <w:r>
        <w:rPr>
          <w:rFonts w:ascii="Times New Roman" w:cs="Times New Roman" w:eastAsia="Times New Roman" w:hAnsi="Times New Roman"/>
          <w:sz w:val="17"/>
          <w:szCs w:val="17"/>
          <w:color w:val="auto"/>
        </w:rPr>
        <w:t>On June 11, 2025, Fortrea Holdings Inc. (the “Company”) announced that the Board of Directors of the Company (the “Board”) has appointed Anshul Thakral as President and Chief Executive Officer of the Company, effective upon his start date with the Company on August 4, 2025 (the “Effective Date”). Mr. Thakral will replace Peter M. Neupert, who has served as Interim Chief Executive Officer since May 13, 2025, although</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Mr. Neupert will continue to serve as a director of the Company and Chairman of the Board. In connection with Mr. Thakral’s appointment as President and Chief Executive Officer, the Board also appointed Mr. Thakral as a Class III director, effective as of the Effective Date, with his term in office expiring upon the Company’s 2026 Annual Meeting of Stockholders and until his successor is duly elected and qualified or until his earlier death, resignation or removal.</w:t>
      </w:r>
    </w:p>
    <w:p>
      <w:pPr>
        <w:spacing w:after="0" w:line="189"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Thakral and any other person pursuant to which he was appointed as President and Chief Executive Officer of the Company and as a director of the Company, and he is not a party to, nor does he have any direct or indirect material interest in, any transaction requiring disclosure under Item 404(a) of Regulation S-K. He does not have any family relations with any directors or executive officers of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Biographical Information</w:t>
      </w:r>
    </w:p>
    <w:p>
      <w:pPr>
        <w:spacing w:after="0" w:line="119"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Mr. Thakral has over 20 years of experience in the CRO, pharmaceutical and biotech industries as a general manager, management consultant, commercial leader and entrepreneur. Mr. Thakral has served as Co-Founder and Chief Executive Officer of Launch Therapeutics since its founding in March 2022. From July 2016 to February 2022, Mr. Thakral served in increasing levels of seniority at PPD, from Global Head of PPD Biotech to Chief Commercial Officer and Executive Vice President of Peri- and Post-Approval Services at PPD. Before PPD, Mr. Thakral ran the global life sciences business unit at Gerson Lehrman Group (GLG) from March 2014 to June 2016 and served as a consultant at McKinsey &amp; Company from August 2006 to March 2014, where he was an associate principal in the healthcare practice, counselling senior management and CEOs of global pharmaceutical and biotechnology companies. Mr. Thakral currently serves on the board of directors of TriNetX, a data infrastructure and analytics company that works in partnership with healthcare providers, Saama Technologies, a software development company focused on developing life science solutions and Orsini Specialty Pharmacy, a leader in pharmacy solutions for rare disease and complex therapy programs. Mr. Thakral earned his Bachelor of Science and Master of Science in Engineering in Biomedical Engineering from Johns Hopkins University and his Master of Business Administration from the Wharton School at the University of Pennsylvania.</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w:t>
      </w:r>
    </w:p>
    <w:p>
      <w:pPr>
        <w:spacing w:after="0" w:line="11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Mr. Thakral’s appointment as President and Chief Executive Officer, the Company provided an employment offer letter to Mr. Thakral with the terms and conditions of his employment (the “Offer Letter”).</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Pursuant to the terms of the Offer Letter, effective as of the Effective Date, Mr. Thakral will be entitled to the following: (a) an annual base salary of $1,100,000, less applicable withholdings and other payroll deductions, and (b) a target annual bonus of 150% of the base salary (the “Target Bonus”), which may be earned based on the achievement of short-term corporate and individual performance goals established by the Company’s Management Development and Compensation Committee (the “MDCC”) in accordance with the Company’s 2023 Omnibus Incentive Plan (the “Incentive Plan”), subject to his continued employment with the Company through the date of payment and the terms and conditions of the Incentive Plan. For the calendar year 2025, Mr. Thakral’s Target Bonus will be prorated.</w:t>
      </w:r>
    </w:p>
    <w:p>
      <w:pPr>
        <w:spacing w:after="0" w:line="187"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As a material inducement to Mr. Thakral’s employment and in accordance with Nasdaq Listing Rule 5635(c)(4), the MDCC approved employment inducement award grants to Mr. Thakral outside of the Incentive Plan to be made on the Effective Date or as soon as administratively practicable thereafter. The composition of these awards is designed to include a significant</w:t>
      </w:r>
    </w:p>
    <w:p>
      <w:pPr>
        <w:sectPr>
          <w:pgSz w:w="11900" w:h="16838" w:orient="portrait"/>
          <w:cols w:equalWidth="0" w:num="1">
            <w:col w:w="11000"/>
          </w:cols>
          <w:pgMar w:left="440" w:top="293" w:right="459" w:bottom="1440" w:gutter="0" w:footer="0" w:header="0"/>
        </w:sectPr>
      </w:pPr>
    </w:p>
    <w:bookmarkStart w:id="2" w:name="page3"/>
    <w:bookmarkEnd w:id="2"/>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amount of performance-based awards in order to directly tie a significant portion of Mr. Thakral’s compensation package to building stockholder value of performance, with 50% of the at-target value to be in the form of performance share awards (“PSAs”) and the remaining 50% in the form of time-based restricted stock units (“RSUs”). The awards consist of (i) RSUs with an aggregate grant date fair value of approximately $6,250,000 (subject to minimum and maximum amounts imposed in the Offer Letter of no less than 1,250,000 RSUs and no more than 1,400,000 RSUs), which vest in three equal annual installments from the Effective Date, and (ii) PSAs with an aggregate grant date fair value of approximately $6,250,000 (subject to minimum and maximum target amounts imposed in the Offer Letter of no less than 1,250,000 PSAs and no more than 1,400,000 PSAs), which vest, if at all, at the end of a three-year vesting period and are contingent upon achieving certain performance goals tied to Revenue and Adjusted EBITDA margin using a formula that is generally consistent with the formula used for PSA grants to other Company employees, as determined by the Board, except that the goals for 2025 will be modified for the truncated 2025 performance year to provide for certain individual objectives and the relative weighting of the three performance years during the period will be 20%, 40% and 40%, respectively. In each case, vesting of the PSAs and RSUs is subject to</w:t>
      </w:r>
    </w:p>
    <w:p>
      <w:pPr>
        <w:spacing w:after="0" w:line="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Mr. Thakral’s continuous employment through the applicable vesting date or earlier vesting due to a change of control and certain termination events to be set out in the form of award agreement. These grants of RSUs and PSA shall not be made under the Fortrea Holdings Inc. 2023 Omnibus Incentive Plan (the “Omnibus Incentive Plan”) but will be subject to the terms and conditions of that plan. The aggregate grant date fair value of the RSUs and PSAs will be determined using the average closing price of the Company’s common stock over the thirty (30) trading days immediately preceding the Effective Date, subject to the minimum and maximum share amounts described above. The Offer Letter provides that Mr. Thakral’s future long-term incentive equity grants, which will be subject to the Omnibus Incentive Plan, will take the form of 50% RSUs and 50% PSAs. The first annual grant to Mr. Thakral will not be made until the 2027 grant cycle and will have an aggregate grant date fair market value of $2,500,000, and subsequent annual grants will have a target aggregate grant date fair value that will place Mr. Thakral at least at the 75th percentile of the Company’s peer group.</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Fortrea Inc. Master Senior Executive Severance Plan</w:t>
      </w:r>
    </w:p>
    <w:p>
      <w:pPr>
        <w:spacing w:after="0" w:line="119" w:lineRule="exact"/>
        <w:rPr>
          <w:sz w:val="20"/>
          <w:szCs w:val="20"/>
          <w:color w:val="auto"/>
        </w:rPr>
      </w:pPr>
    </w:p>
    <w:p>
      <w:pPr>
        <w:ind w:right="60" w:firstLine="4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Mr. Thakral’s appointment as President and Chief Executive Officer and effective as of the Effective Date, the Board amended the Fortrea Inc. Master Senior Executive Severance Plan, a copy of which was filed as </w:t>
      </w:r>
      <w:hyperlink r:id="rId19">
        <w:r>
          <w:rPr>
            <w:rFonts w:ascii="Times New Roman" w:cs="Times New Roman" w:eastAsia="Times New Roman" w:hAnsi="Times New Roman"/>
            <w:sz w:val="18"/>
            <w:szCs w:val="18"/>
            <w:u w:val="single" w:color="auto"/>
            <w:color w:val="0000EE"/>
          </w:rPr>
          <w:t>Exhibit 10.16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Form 10-K for the year ended December 31, 2024 (the “Severance Plan”) to add the Company’s Chief Executive Officer to the designated group, alongside the Company’s Executive Vice Presidents, that is covered by the Severance Plan. Except for adding the Chief Executive Officer to the designated group, the Severance Plan will remain as currently in effect.</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Offer Letter, and the amendment to the Severance Plan do not purport to be complete and are qualified in their entirety by reference to the full text of such documents, copies of which will be filed with the Company’s Quarterly Report on Form 10-Q for the quarter ending June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On June 11, 2025, the Company issued a press release announcing the appointment of Mr. Thakral. A copy of the press release is furnished as Exhibit 99.1 to this Current Report and is incorporated herein by reference.</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General Instruction B.2 of Current Report on Form 8-K, the information contained in, or incorporated into, Item 7.01, including the Press Release attached hereto as Exhibit 99.1, is being furnished and shall not be deemed “filed” for the purposes of Section 18 of the Exchange Act, or otherwise subject to the liabilities of that section, nor shall it be deemed incorporated by reference into any registration statement or other filing under the Securities Act, except as shall be expressly set forth by specific reference to such filing.</w:t>
      </w:r>
    </w:p>
    <w:p>
      <w:pPr>
        <w:sectPr>
          <w:pgSz w:w="11900" w:h="16838" w:orient="portrait"/>
          <w:cols w:equalWidth="0" w:num="1">
            <w:col w:w="11000"/>
          </w:cols>
          <w:pgMar w:left="440" w:top="29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740" w:type="dxa"/>
            <w:vAlign w:val="bottom"/>
          </w:tcPr>
          <w:p>
            <w:pPr>
              <w:spacing w:after="0"/>
              <w:rPr>
                <w:sz w:val="14"/>
                <w:szCs w:val="14"/>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24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Press Release dated June 11, 2025</w:t>
            </w:r>
          </w:p>
        </w:tc>
        <w:tc>
          <w:tcPr>
            <w:tcW w:w="3300" w:type="dxa"/>
            <w:vAlign w:val="bottom"/>
          </w:tcPr>
          <w:p>
            <w:pPr>
              <w:spacing w:after="0"/>
              <w:rPr>
                <w:sz w:val="24"/>
                <w:szCs w:val="24"/>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019"/>
          </w:cols>
          <w:pgMar w:left="440" w:top="293" w:right="1440"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Stillman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Stillman Hanson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2025</w:t>
      </w:r>
    </w:p>
    <w:p>
      <w:pPr>
        <w:sectPr>
          <w:pgSz w:w="11900" w:h="16838" w:orient="portrait"/>
          <w:cols w:equalWidth="0" w:num="1">
            <w:col w:w="10260"/>
          </w:cols>
          <w:pgMar w:left="440" w:top="293"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173990</wp:posOffset>
            </wp:positionV>
            <wp:extent cx="197993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9799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Names Anshul Thakral Chief Executive Officer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Thakral succeeds Interim CEO, Peter M. Neupert, who will remain chairman of the board</w:t>
      </w:r>
    </w:p>
    <w:p>
      <w:pPr>
        <w:spacing w:after="0" w:line="223"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DURHAM, N.C., June 11, 2025 </w:t>
      </w:r>
      <w:r>
        <w:rPr>
          <w:rFonts w:ascii="Times New Roman" w:cs="Times New Roman" w:eastAsia="Times New Roman" w:hAnsi="Times New Roman"/>
          <w:sz w:val="17"/>
          <w:szCs w:val="17"/>
          <w:color w:val="auto"/>
        </w:rPr>
        <w:t>– Fortrea (Nasdaq: FTRE) (the “Company”), a leading global contract research organization (CRO), today announced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Fortrea’s Board of Directors (the “Board”) named Anshul Thakral as Fortrea’s CEO, effective August 4, 2025. He was also appointed to serve as a director on the Company’s Board, effective as of that date. Thakral succeeds Interim CEO, Peter M. Neupert, who will remain as chairman of the Board.</w:t>
      </w:r>
    </w:p>
    <w:p>
      <w:pPr>
        <w:spacing w:after="0" w:line="15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Thakral brings more than 20 years of experience in life sciences as an executive and commercial leader, advisor and entrepreneur. He will focus on executing the Company’s transformation plan and sharpening Fortrea’s focus on profitable growth. Further, he will oversee additional value creation efforts for customers, employees and shareholders.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“Anshul is an exceptional leader with extensive life sciences experience, deep familiarity with the CRO industry, a commitment to innovation and a proven record of building companies and growing revenue,” said Neupert. “His strong business development capabilities, commercial insights and relentless focus on customer engagement make him ideally suited to lead Fortrea. Further, he also shares the Company’s commitment to modernizing the clinical trials process and combining the best talent, science and technology to effectively and efficiently respond to changing customer and patient needs. We are delighted to welcome Anshul to Fortrea as we seek to capitalize on the significant growth opportunities we see ahead and meet our customers’ needs.”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“Since its founding, the Fortrea team has earned a strong reputation for leading with science and creating a differentiated customer experience,” said Thakral. “I share the team’s passion for customers and the patients they serve, and I’m honored to take the reins at this pivotal moment. It is an exciting opportunity to lead the organization as it continues to deliver flexible and agile drug development solutions that accelerate the delivery of life-changing treatments to patients. I’m confident this company can execute on its patient and customer-focused mission while delivering profitable growth, which ultimately delivers value for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Anshul Thakral</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Thakral joins Fortrea from Launch Therapeutics, a company he co-founded at which he served as CEO. Previously, he held several executive leadership roles at PPD, a leading CRO, including chief commercial officer and executive vice president of Peri- and Post-Approval Services. He led PPD Biotech, which contributed to PPD’s growth. Prior to PPD, Thakral ran the global life sciences business unit at Gerson Lehrman Group and served as an Associate Principal at McKinsey &amp; Company in the healthcare practice. He currently serves on the board of directors of TriNetX, Saama Technologies and Orsini Specialty Pharmacy. He earned his B.S. and M.S.E. in Biomedical Engineering from Johns Hopkins University and his MBA from the Wharton School at the University of Pennsylvania.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Fortrea</w:t>
      </w:r>
    </w:p>
    <w:p>
      <w:pPr>
        <w:spacing w:after="0" w:line="12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Fortrea (Nasdaq: FTRE) is a leading global provider of clinical development solutions to the life sciences industry. We partner with emerging and large biopharmaceutical, biotechnology, medical device and diagnostic companies to drive healthcare innovation that accelerates life changing therapies to patients. Fortrea provides phase I-IV clinical trial management, clinical pharmacology and consulting services. Fortrea’s solutions leverage three decades of experience spanning more than 20 therapeutic areas, a passion for scientific rigor, exceptional insights and a strong investigator site network. Our talented and diverse team working in about 100 countries is scaled to deliver focused and agile solutions to customers globally. Learn more about how Fortrea is becoming a transformative force from pipeline to patient at Fortrea.com and follow us on LinkedIn and X (formerly Twitter).</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173990</wp:posOffset>
            </wp:positionV>
            <wp:extent cx="1979930"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9799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federal securities laws, including Section 27A of the Securities Act of 1933, as amended, and Section 21E of the Securities Exchange Act of 1934, as amended, including, without limitation, the Company’s growth opportunities. In this context, forward-looking statements often address expected future business and financial performance and financial condition, and often contain words such as “guidance,” “expect,” “assume,” “anticipate,” “intend,” “plan,” “forecast,” “believe,” “seek,” “see,” “will,” “would,” “target,” similar expressions, and variations or negatives of these words that are intended to identify forward-looking statements, although not all forward-looking statements contain these identifying words. Actual results may differ materially from the Company’s expectations due to a number of factors, including, but not limited to, the following: the Company’s ability to successfully implement its business strategies and execute its long-term value creation strategy; risks and expenses associated with the Company’s international operations, tariff policies, trade sanctions and other trade restrictions and currency fluctuations; the Company’s customer or therapeutic area concentrations; any further deterioration in the macroeconomic environment or further changes in government regulations and funding, which could lead to defaults or cancellations by the Company’s customers; the risk that the Company’s backlog and net new business may not be indicative of the Company’s future revenues and that the Company might not realize all of the anticipated future revenue reflected in the Company’s backlog; the Company’s ability to generate sufficient net new business awards, or the possibility that net new business awards are delayed, terminated, reduced in scope, or fail to go to contract; if the Company underprices its contracts, overruns its cost estimates, or fails to receive approval for, or experiences delays in documentation of change orders; and other factors described from time to time in documents that the Company files with the SEC. For a further discussion of the risks relating to the Company’s business, see the “Risk Factors” Section of the Company’s Annual Report on Form 10-K for the year ended December 31, 2024, as filed with the Securities and Exchange Commission (the “SEC”), as such factors may be amended or updated from time to time in the Company’s subsequent periodic and other filings with the SEC, which are accessible on the SEC’s website at www.sec.gov. These factors should not be construed as exhaustive and should be read in conjunction with the other cautionary statements that are included in this release and in the Company’s filings with the SEC. All forward-looking statements are made only as of the date of this release and the Company does not undertake any obligation, other than as may be required by law, to update or revise any forward-looking statements to reflect future events or developments.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Hima Inguva (Investors) – 877-495-0816, hima.inguva@fortrea.com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Sue Zaranek (Media) – 919-943-5422, media@fortrea.com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Dillon (Media) – 646-818-9115, kdillon@prosek.com</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jpeg"/><Relationship Id="rId19" Type="http://schemas.openxmlformats.org/officeDocument/2006/relationships/hyperlink" Target="http://www.sec.gov/Archives/edgar/data/1965040/000162828023018115/exhibit106-10x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2025-06-11T15:25:57Z</dcterms:created>
  <dcterms:modified xsi:type="dcterms:W3CDTF">2025-06-11T15:25:57Z</dcterms:modified>
</cp:coreProperties>
</file>