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 SECTION 13 OR 15(d) OF THE SECURITIES EXCHANGE ACT OF 1934</w:t>
      </w:r>
    </w:p>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September 9,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(Date of earliest event reported)</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Fortrea Holdings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before="0" w:after="0"/>
        <w:jc w:val="center"/>
        <w:rPr/>
      </w:pPr>
      <w:r>
        <w:rPr/>
      </w:r>
    </w:p>
    <w:p>
      <w:pPr>
        <w:pStyle w:val="TextBody"/>
        <w:bidi w:val="0"/>
        <w:spacing w:before="0" w:after="0"/>
        <w:jc w:val="center"/>
        <w:rPr/>
      </w:pPr>
      <w:r>
        <w:rPr/>
      </w:r>
    </w:p>
    <w:tbl>
      <w:tblPr>
        <w:tblW w:w="9651" w:type="dxa"/>
        <w:jc w:val="center"/>
        <w:tblInd w:w="0" w:type="dxa"/>
        <w:tblLayout w:type="fixed"/>
        <w:tblCellMar>
          <w:top w:w="28" w:type="dxa"/>
          <w:left w:w="28" w:type="dxa"/>
          <w:bottom w:w="28" w:type="dxa"/>
          <w:right w:w="28" w:type="dxa"/>
        </w:tblCellMar>
      </w:tblPr>
      <w:tblGrid>
        <w:gridCol w:w="1328"/>
        <w:gridCol w:w="1167"/>
        <w:gridCol w:w="1179"/>
        <w:gridCol w:w="109"/>
        <w:gridCol w:w="109"/>
        <w:gridCol w:w="109"/>
        <w:gridCol w:w="762"/>
        <w:gridCol w:w="762"/>
        <w:gridCol w:w="770"/>
        <w:gridCol w:w="109"/>
        <w:gridCol w:w="109"/>
        <w:gridCol w:w="109"/>
        <w:gridCol w:w="884"/>
        <w:gridCol w:w="884"/>
        <w:gridCol w:w="1261"/>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001-41704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92-2796441</w:t>
            </w:r>
          </w:p>
        </w:tc>
      </w:tr>
      <w:tr>
        <w:trPr/>
        <w:tc>
          <w:tcPr>
            <w:tcW w:w="3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before="0" w:after="0"/>
        <w:jc w:val="center"/>
        <w:rPr/>
      </w:pPr>
      <w:r>
        <w:rPr/>
      </w:r>
    </w:p>
    <w:tbl>
      <w:tblPr>
        <w:tblW w:w="4660" w:type="dxa"/>
        <w:jc w:val="left"/>
        <w:tblInd w:w="0" w:type="dxa"/>
        <w:tblLayout w:type="fixed"/>
        <w:tblCellMar>
          <w:top w:w="28" w:type="dxa"/>
          <w:left w:w="28" w:type="dxa"/>
          <w:bottom w:w="28" w:type="dxa"/>
          <w:right w:w="28" w:type="dxa"/>
        </w:tblCellMar>
      </w:tblPr>
      <w:tblGrid>
        <w:gridCol w:w="457"/>
        <w:gridCol w:w="399"/>
        <w:gridCol w:w="402"/>
        <w:gridCol w:w="672"/>
        <w:gridCol w:w="672"/>
        <w:gridCol w:w="696"/>
        <w:gridCol w:w="109"/>
        <w:gridCol w:w="109"/>
        <w:gridCol w:w="109"/>
        <w:gridCol w:w="303"/>
        <w:gridCol w:w="303"/>
        <w:gridCol w:w="429"/>
      </w:tblGrid>
      <w:tr>
        <w:trPr/>
        <w:tc>
          <w:tcPr>
            <w:tcW w:w="457"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298" w:type="dxa"/>
            <w:gridSpan w:val="6"/>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8 Moore Drive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8"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Durham,</w:t>
            </w:r>
          </w:p>
        </w:tc>
        <w:tc>
          <w:tcPr>
            <w:tcW w:w="20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North Carolina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27713</w:t>
            </w:r>
          </w:p>
        </w:tc>
      </w:tr>
      <w:tr>
        <w:trPr/>
        <w:tc>
          <w:tcPr>
            <w:tcW w:w="329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before="0" w:after="0"/>
        <w:jc w:val="left"/>
        <w:rPr/>
      </w:pPr>
      <w:r>
        <w:rPr/>
      </w:r>
    </w:p>
    <w:p>
      <w:pPr>
        <w:pStyle w:val="TextBody"/>
        <w:bidi w:val="0"/>
        <w:spacing w:lineRule="auto" w:line="417" w:before="0" w:after="0"/>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877-495-0816</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center"/>
        <w:rPr/>
      </w:pPr>
      <w:r>
        <w:rPr/>
      </w:r>
    </w:p>
    <w:tbl>
      <w:tblPr>
        <w:tblW w:w="9522" w:type="dxa"/>
        <w:jc w:val="center"/>
        <w:tblInd w:w="0" w:type="dxa"/>
        <w:tblLayout w:type="fixed"/>
        <w:tblCellMar>
          <w:top w:w="28" w:type="dxa"/>
          <w:left w:w="28" w:type="dxa"/>
          <w:bottom w:w="28" w:type="dxa"/>
          <w:right w:w="28" w:type="dxa"/>
        </w:tblCellMar>
      </w:tblPr>
      <w:tblGrid>
        <w:gridCol w:w="124"/>
        <w:gridCol w:w="109"/>
        <w:gridCol w:w="109"/>
        <w:gridCol w:w="2684"/>
        <w:gridCol w:w="2684"/>
        <w:gridCol w:w="38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4" w:type="dxa"/>
            <w:tcBorders/>
            <w:vAlign w:val="center"/>
          </w:tcPr>
          <w:p>
            <w:pPr>
              <w:pStyle w:val="TableContents"/>
              <w:bidi w:val="0"/>
              <w:spacing w:before="0" w:after="283"/>
              <w:jc w:val="left"/>
              <w:rPr>
                <w:sz w:val="4"/>
                <w:szCs w:val="4"/>
              </w:rPr>
            </w:pPr>
            <w:r>
              <w:rPr>
                <w:sz w:val="4"/>
                <w:szCs w:val="4"/>
              </w:rPr>
            </w:r>
          </w:p>
        </w:tc>
        <w:tc>
          <w:tcPr>
            <w:tcW w:w="2684" w:type="dxa"/>
            <w:tcBorders/>
            <w:vAlign w:val="center"/>
          </w:tcPr>
          <w:p>
            <w:pPr>
              <w:pStyle w:val="TableContents"/>
              <w:bidi w:val="0"/>
              <w:spacing w:before="0" w:after="283"/>
              <w:jc w:val="left"/>
              <w:rPr>
                <w:sz w:val="4"/>
                <w:szCs w:val="4"/>
              </w:rPr>
            </w:pPr>
            <w:r>
              <w:rPr>
                <w:sz w:val="4"/>
                <w:szCs w:val="4"/>
              </w:rPr>
            </w:r>
          </w:p>
        </w:tc>
        <w:tc>
          <w:tcPr>
            <w:tcW w:w="38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Written communication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417"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Exchange Act.</w:t>
      </w:r>
    </w:p>
    <w:tbl>
      <w:tblPr>
        <w:tblW w:w="8159" w:type="dxa"/>
        <w:jc w:val="left"/>
        <w:tblInd w:w="0" w:type="dxa"/>
        <w:tblLayout w:type="fixed"/>
        <w:tblCellMar>
          <w:top w:w="28" w:type="dxa"/>
          <w:left w:w="28" w:type="dxa"/>
          <w:bottom w:w="28" w:type="dxa"/>
          <w:right w:w="28" w:type="dxa"/>
        </w:tblCellMar>
      </w:tblPr>
      <w:tblGrid>
        <w:gridCol w:w="1027"/>
        <w:gridCol w:w="899"/>
        <w:gridCol w:w="909"/>
        <w:gridCol w:w="539"/>
        <w:gridCol w:w="539"/>
        <w:gridCol w:w="541"/>
        <w:gridCol w:w="1085"/>
        <w:gridCol w:w="1085"/>
        <w:gridCol w:w="1535"/>
      </w:tblGrid>
      <w:tr>
        <w:trPr/>
        <w:tc>
          <w:tcPr>
            <w:tcW w:w="1027"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83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$0.001 par value</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FTRE</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before="0" w:after="0"/>
        <w:jc w:val="left"/>
        <w:rPr/>
      </w:pPr>
      <w:r>
        <w:rPr/>
      </w:r>
    </w:p>
    <w:p>
      <w:pPr>
        <w:pStyle w:val="TextBody"/>
        <w:bidi w:val="0"/>
        <w:spacing w:lineRule="auto" w:line="288" w:before="60" w:after="6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60" w:after="60"/>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60" w:after="6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September 9, 2026, the Board of Directors (the “Board”) of Fortrea Holdings, Inc. (the “Company”) reinstated Jason Knoblauch as Chief Financial Officer and designated Mr. Knoblauch as principal financial officer of the Company. Mr. Knoblauch will continue to receive the same compensation package after his reinstatement, as previously disclosed in the Company’s Current Report on Form 8-K filed with the Securities and Exchange Commission on June 26, 2026 (the “Prior Form 8-K”). Please see the Prior Form 8-K for a description of Mr. Knoblauch’s biographical information and other required disclosure.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As previously disclosed, on July 25, 2026, the Delaware Court of Chancery granted a temporary restraining order preventing Mr. Knoblauch from working for the Company as Chief Financial Officer pending further order of the Court. The order was issued in a lawsuit filed by Mr. Knoblauch’s prior employer against him and the Company alleging that Mr. Knoblauch violated certain restrictive covenants and retained confidential information belonging to his prior employer. Mr. Knoblauch, the Company and Mr. Knoblauch’s former employer entered into a settlement agreement and mutual release to resolve the matter.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David Smith, a current director on the Board, had acted as Interim Chief Financial Officer and principal financial officer during Mr. Knoblauch’s leave of absence. In connection with Mr. Knoblauch’s reinstatement, Mr. Smith stepped down from the Interim CFO position but will remain a member of the Board.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8" w:after="283"/>
        <w:ind w:left="0" w:right="0" w:firstLine="562"/>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before="0" w:after="0"/>
        <w:ind w:left="0" w:right="0" w:firstLine="720"/>
        <w:jc w:val="left"/>
        <w:rPr/>
      </w:pPr>
      <w:r>
        <w:rPr/>
      </w:r>
    </w:p>
    <w:tbl>
      <w:tblPr>
        <w:tblW w:w="3881"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918"/>
        <w:gridCol w:w="918"/>
        <w:gridCol w:w="12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r>
      <w:tr>
        <w:trPr/>
        <w:tc>
          <w:tcPr>
            <w:tcW w:w="38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Fortrea Holdings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313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/s/ Agnieszka M. Gallagher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Name: Agnieszka M. Gallagher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Title: General Counsel and Secretary</w:t>
            </w:r>
          </w:p>
        </w:tc>
      </w:tr>
    </w:tbl>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Date: September 10, 2026</w:t>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588</Words>
  <Characters>3315</Characters>
  <CharactersWithSpaces>3855</CharactersWithSpaces>
  <Paragraphs>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