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Pike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Fortrea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Moore Drive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Durham, North Carolina 27703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Fortrea Holdings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10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0001965040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Thomas Pike: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 Draft Registration Statement on Form 10, submitted April 5, 2023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5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1 and your revised disclosure on the cover page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noting that "the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spinoff is not contingent upon NASDAQ's approval of [y]our listing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application." Given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have filed this registration statement on Form 10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12(b)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Exchange Act, please tell us how you anticipate moving forward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listing application not be approved by Nasdaq.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this filing should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Questions and Answers About the Spinoff, page 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4 and your revised disclosure on page 4 noting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differences between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3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rights held by the existing Labcorp common stock holders and Thomas Pike</w:t>
      </w:r>
    </w:p>
    <w:p>
      <w:pPr>
        <w:spacing w:after="0"/>
        <w:tabs>
          <w:tab w:leader="none" w:pos="126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LastNameThomas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Pike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Fortrea Holdings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NameFortrea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219, 2023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rights held by the Fortrea common stock holders. Please revise this disclosure further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explain the specific material differences between the rights of Labcorp common stock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and Fortrea common stock holders. For instance, and without limitation, please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which stockholders will have a "heightened voting standard" to amend your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and Restated Bylaws and certain provisions of your Amended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 of Incorporation and please explain what "heightened"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means in this context.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Liquidity, Capital Resources and Financial Position, page 79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discussion analyzing the company's material cash requirements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known contractual and other obligations in accordance with Item 303(b)(1)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S-K, or explain to us why these disclosures are not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Goodwill and Intangible Assets, page F-26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see here that you have reported no goodwill impairments for the year ended December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2022. Please explain to us whether the $260.0 million goodwill impairment reported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Laboratory Corporation of America Holdings in its December 31, 2022 Form 10-K for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early development reporting unit in the DD segment is related to the Clinical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 and Commercialization Services Business (CDCS). And if so,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an analysis as to how you have allocated goodwill to CDCS, and your basis for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recognizing any goodwill impairment at CDCS in 2022.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of "Ukraine/Russia conflict costs" on page 78</w:t>
      </w:r>
    </w:p>
    <w:p>
      <w:pPr>
        <w:spacing w:after="0" w:line="4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stating that "[d]ue to the Russia and Ukraine crisis and economic sanctions, the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incurred incremental costs and determined that certain receivables and long-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lived assets related to its Russia and Ukraine operations were impaired." Please revise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where appropriate to further describe the direct or indirect impact of</w:t>
      </w:r>
    </w:p>
    <w:p>
      <w:pPr>
        <w:ind w:left="96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Russia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invasion of Ukraine on your business. In addition,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consider any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impact: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55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resulting from sanctions, limitations on obtaining relevant government approvals,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currency exchange limitations, or export or capital controls, including the impact of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that may impede your ability to sell assets located in Russia, Belarus, or Ukraine,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due to sanctions affecting potential purchasers;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75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resulting from the reaction of your investors, employees, customers, and/or other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stakeholders to any action or inaction arising from or relating to the invasion, including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payment of taxes to the Russian Federation; and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may result if Russia or another government nationalizes your assets or operations in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Russia, Belarus, or Ukraine.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Pike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Fortrea Holdings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 Xiao at 202-551-4391 or Kevin Kuhar at 202-551-3662 if you have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Cindy Polynice at 202-551-8707 or Joshua Gorsky at 202-551-7836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Pike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NameFortrea Holdings Inc.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2023 Page 3</w:t>
      </w:r>
    </w:p>
    <w:p>
      <w:pPr>
        <w:ind w:right="7179" w:firstLine="8"/>
        <w:spacing w:after="0" w:line="238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Short, Esq. 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2023-07-17T00:22:21Z</dcterms:created>
  <dcterms:modified xsi:type="dcterms:W3CDTF">2023-07-17T00:22:21Z</dcterms:modified>
</cp:coreProperties>
</file>