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November 27, 2023</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001-41704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92-2796441</w:t>
            </w:r>
          </w:p>
        </w:tc>
        <w:tc>
          <w:tcPr>
            <w:tcW w:w="104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8"/>
        </w:trPr>
        <w:tc>
          <w:tcPr>
            <w:tcW w:w="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19"/>
                <w:szCs w:val="19"/>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9"/>
                <w:szCs w:val="19"/>
                <w:color w:val="auto"/>
              </w:rPr>
            </w:pPr>
          </w:p>
        </w:tc>
        <w:tc>
          <w:tcPr>
            <w:tcW w:w="3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16"/>
        </w:trPr>
        <w:tc>
          <w:tcPr>
            <w:tcW w:w="80" w:type="dxa"/>
            <w:vAlign w:val="bottom"/>
          </w:tcPr>
          <w:p>
            <w:pPr>
              <w:spacing w:after="0"/>
              <w:rPr>
                <w:sz w:val="24"/>
                <w:szCs w:val="24"/>
                <w:color w:val="auto"/>
              </w:rPr>
            </w:pPr>
          </w:p>
        </w:tc>
        <w:tc>
          <w:tcPr>
            <w:tcW w:w="426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8"/>
              </w:rPr>
              <w:t>8 Moore Drive</w:t>
            </w: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0" w:type="dxa"/>
            <w:vAlign w:val="bottom"/>
          </w:tcPr>
          <w:p>
            <w:pPr>
              <w:spacing w:after="0"/>
              <w:rPr>
                <w:sz w:val="22"/>
                <w:szCs w:val="22"/>
                <w:color w:val="auto"/>
              </w:rPr>
            </w:pPr>
          </w:p>
        </w:tc>
        <w:tc>
          <w:tcPr>
            <w:tcW w:w="42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Durham,</w:t>
            </w:r>
          </w:p>
        </w:tc>
        <w:tc>
          <w:tcPr>
            <w:tcW w:w="31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66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27709</w:t>
            </w:r>
          </w:p>
        </w:tc>
        <w:tc>
          <w:tcPr>
            <w:tcW w:w="1040" w:type="dxa"/>
            <w:vAlign w:val="bottom"/>
          </w:tcPr>
          <w:p>
            <w:pPr>
              <w:spacing w:after="0"/>
              <w:rPr>
                <w:sz w:val="22"/>
                <w:szCs w:val="22"/>
                <w:color w:val="auto"/>
              </w:rPr>
            </w:pPr>
          </w:p>
        </w:tc>
      </w:tr>
      <w:tr>
        <w:trPr>
          <w:trHeight w:val="27"/>
        </w:trPr>
        <w:tc>
          <w:tcPr>
            <w:tcW w:w="80" w:type="dxa"/>
            <w:vAlign w:val="bottom"/>
          </w:tcPr>
          <w:p>
            <w:pPr>
              <w:spacing w:after="0"/>
              <w:rPr>
                <w:sz w:val="2"/>
                <w:szCs w:val="2"/>
                <w:color w:val="auto"/>
              </w:rPr>
            </w:pPr>
          </w:p>
        </w:tc>
        <w:tc>
          <w:tcPr>
            <w:tcW w:w="7020" w:type="dxa"/>
            <w:vAlign w:val="bottom"/>
            <w:gridSpan w:val="3"/>
          </w:tcPr>
          <w:p>
            <w:pPr>
              <w:spacing w:after="0"/>
              <w:rPr>
                <w:sz w:val="2"/>
                <w:szCs w:val="2"/>
                <w:color w:val="auto"/>
              </w:rPr>
            </w:pPr>
          </w:p>
        </w:tc>
        <w:tc>
          <w:tcPr>
            <w:tcW w:w="380" w:type="dxa"/>
            <w:vAlign w:val="bottom"/>
            <w:gridSpan w:val="3"/>
          </w:tcPr>
          <w:p>
            <w:pPr>
              <w:spacing w:after="0"/>
              <w:rPr>
                <w:sz w:val="2"/>
                <w:szCs w:val="2"/>
                <w:color w:val="auto"/>
              </w:rPr>
            </w:pPr>
          </w:p>
        </w:tc>
        <w:tc>
          <w:tcPr>
            <w:tcW w:w="3700" w:type="dxa"/>
            <w:vAlign w:val="bottom"/>
            <w:gridSpan w:val="2"/>
          </w:tcPr>
          <w:p>
            <w:pPr>
              <w:spacing w:after="0"/>
              <w:rPr>
                <w:sz w:val="2"/>
                <w:szCs w:val="2"/>
                <w:color w:val="auto"/>
              </w:rPr>
            </w:pPr>
          </w:p>
        </w:tc>
      </w:tr>
      <w:tr>
        <w:trPr>
          <w:trHeight w:val="228"/>
        </w:trPr>
        <w:tc>
          <w:tcPr>
            <w:tcW w:w="80" w:type="dxa"/>
            <w:vAlign w:val="bottom"/>
            <w:tcBorders>
              <w:top w:val="single" w:sz="8" w:color="auto"/>
            </w:tcBorders>
          </w:tcPr>
          <w:p>
            <w:pPr>
              <w:spacing w:after="0"/>
              <w:rPr>
                <w:sz w:val="19"/>
                <w:szCs w:val="19"/>
                <w:color w:val="auto"/>
              </w:rPr>
            </w:pPr>
          </w:p>
        </w:tc>
        <w:tc>
          <w:tcPr>
            <w:tcW w:w="7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220" w:type="dxa"/>
            <w:vAlign w:val="bottom"/>
            <w:tcBorders>
              <w:top w:val="single" w:sz="8" w:color="auto"/>
            </w:tcBorders>
            <w:gridSpan w:val="2"/>
          </w:tcPr>
          <w:p>
            <w:pPr>
              <w:spacing w:after="0"/>
              <w:rPr>
                <w:sz w:val="19"/>
                <w:szCs w:val="19"/>
                <w:color w:val="auto"/>
              </w:rPr>
            </w:pPr>
          </w:p>
        </w:tc>
        <w:tc>
          <w:tcPr>
            <w:tcW w:w="26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(Zip Code)</w:t>
            </w:r>
          </w:p>
        </w:tc>
        <w:tc>
          <w:tcPr>
            <w:tcW w:w="1040" w:type="dxa"/>
            <w:vAlign w:val="bottom"/>
          </w:tcPr>
          <w:p>
            <w:pPr>
              <w:spacing w:after="0"/>
              <w:rPr>
                <w:sz w:val="19"/>
                <w:szCs w:val="19"/>
                <w:color w:val="auto"/>
              </w:rPr>
            </w:pPr>
          </w:p>
        </w:tc>
      </w:tr>
    </w:tbl>
    <w:p>
      <w:pPr>
        <w:spacing w:after="0" w:line="3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877-495-0816</w:t>
      </w:r>
    </w:p>
    <w:p>
      <w:pPr>
        <w:spacing w:after="0" w:line="297" w:lineRule="exact"/>
        <w:rPr>
          <w:sz w:val="24"/>
          <w:szCs w:val="24"/>
          <w:color w:val="auto"/>
        </w:rPr>
      </w:pPr>
    </w:p>
    <w:p>
      <w:pPr>
        <w:jc w:val="center"/>
        <w:ind w:left="400" w:right="2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46" w:lineRule="exact"/>
        <w:rPr>
          <w:sz w:val="24"/>
          <w:szCs w:val="24"/>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 Name of exchange on which registered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$0.001 par value FTRE The NASDAQ Stock Market LLC</w:t>
      </w:r>
    </w:p>
    <w:p>
      <w:pPr>
        <w:spacing w:after="0" w:line="288"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7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Fortrea’s Response to Inaccurate Reports of Trial Conduct</w:t>
      </w:r>
    </w:p>
    <w:p>
      <w:pPr>
        <w:spacing w:after="0" w:line="246"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On November 27, 2023, ACELYRIN, INC issued a press release and fled an 8-K that included references to two clinical trials on its investgatonal product, for which Fortrea served as its CRO. Fortrea disputes the accuracy of statements that ACELYRIN has made and the characterizaton of those statements in subsequent media reports.</w:t>
      </w:r>
    </w:p>
    <w:p>
      <w:pPr>
        <w:spacing w:after="0" w:line="119" w:lineRule="exact"/>
        <w:rPr>
          <w:sz w:val="20"/>
          <w:szCs w:val="20"/>
          <w:color w:val="auto"/>
        </w:rPr>
      </w:pPr>
    </w:p>
    <w:p>
      <w:pPr>
        <w:jc w:val="both"/>
        <w:spacing w:after="0" w:line="230" w:lineRule="auto"/>
        <w:rPr>
          <w:sz w:val="20"/>
          <w:szCs w:val="20"/>
          <w:color w:val="auto"/>
        </w:rPr>
      </w:pPr>
      <w:r>
        <w:rPr>
          <w:rFonts w:ascii="Calibri" w:cs="Calibri" w:eastAsia="Calibri" w:hAnsi="Calibri"/>
          <w:sz w:val="20"/>
          <w:szCs w:val="20"/>
          <w:color w:val="auto"/>
        </w:rPr>
        <w:t>First, as part of those disclosures, ACELYRIN implied, and media reported that the trial evaluatng the product in the treatment of Hidradenits Suppuratva (HS) was not conducted properly by Fortrea and that this may have impacted the outcome of the trial. Fortrea objects to the implicatons that Fortrea’s study conduct impacted the trial outcomes. Fortrea stands behind its conduct of the HS clinical trial in accordance with the protocol and applicable regulatory requirements.</w:t>
      </w:r>
    </w:p>
    <w:p>
      <w:pPr>
        <w:spacing w:after="0" w:line="117"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Second, in the trial evaluatng the product in the treatment of Psoriatc Arthrits (PsA), the descripton of events related to testng processes and the identfcaton of the third-party programming error are neither accurate nor complete. Specifcally, we object to the statements related to “the provider’s testng processes” and who uncovered the third-party error. Furthermore, the sequencing issue is isolated to two arms of the PsA trial and is not related to the HS trial. ACELYRIN has concluded that there is no risk to patent safety resultng from the sequencing errors in the PsA trial.</w:t>
      </w:r>
    </w:p>
    <w:p>
      <w:pPr>
        <w:spacing w:after="0" w:line="111" w:lineRule="exact"/>
        <w:rPr>
          <w:sz w:val="20"/>
          <w:szCs w:val="20"/>
          <w:color w:val="auto"/>
        </w:rPr>
      </w:pPr>
    </w:p>
    <w:p>
      <w:pPr>
        <w:spacing w:after="0"/>
        <w:rPr>
          <w:sz w:val="20"/>
          <w:szCs w:val="20"/>
          <w:color w:val="auto"/>
        </w:rPr>
      </w:pPr>
      <w:r>
        <w:rPr>
          <w:rFonts w:ascii="Calibri" w:cs="Calibri" w:eastAsia="Calibri" w:hAnsi="Calibri"/>
          <w:sz w:val="20"/>
          <w:szCs w:val="20"/>
          <w:color w:val="auto"/>
        </w:rPr>
        <w:t>Fortrea will contnue to work with ACELYRIN to complete the analysis of the PsA trial and help it navigate the best path forward.</w:t>
      </w:r>
    </w:p>
    <w:p>
      <w:pPr>
        <w:spacing w:after="0" w:line="10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Fortrea has successfully conducted thousands of clinical trials for more than 30 years, all while upholding the highest standards of integrity for all our customers. We have an unwavering commitment to the safety and well-being of patents and clinical trial partcipants, to data integrity, and to the ethical conduct of clinical trials.</w:t>
      </w:r>
    </w:p>
    <w:p>
      <w:pPr>
        <w:spacing w:after="0" w:line="103"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Note: The third-party responsible for programming cannot be named due to contractual commitments. However, it is not endpoint Clinical, which is afliated with Fortrea.</w:t>
      </w:r>
    </w:p>
    <w:p>
      <w:pPr>
        <w:spacing w:after="0" w:line="91" w:lineRule="exact"/>
        <w:rPr>
          <w:sz w:val="20"/>
          <w:szCs w:val="20"/>
          <w:color w:val="auto"/>
        </w:rPr>
      </w:pPr>
    </w:p>
    <w:p>
      <w:pPr>
        <w:ind w:right="100"/>
        <w:spacing w:after="0" w:line="221" w:lineRule="auto"/>
        <w:rPr>
          <w:sz w:val="20"/>
          <w:szCs w:val="20"/>
          <w:color w:val="auto"/>
        </w:rPr>
      </w:pPr>
      <w:r>
        <w:rPr>
          <w:rFonts w:ascii="Calibri" w:cs="Calibri" w:eastAsia="Calibri" w:hAnsi="Calibri"/>
          <w:sz w:val="20"/>
          <w:szCs w:val="20"/>
          <w:color w:val="auto"/>
        </w:rPr>
        <w:t>The informaton provided pursuant to this Item 7.01 is “furnished” and shall not be deemed to be “fled” for the purposes of Secton 18 of the Securites Exchange Act of 1934, as amended (the “Exchange Act”), or otherwise subject to the liabilites of that secton, nor shall it be deemed incorporated by reference into any registraton statement or other fling under the Securites Act of 1933, as amended, or the Exchange Act, except as shall be expressly set forth by specifc reference in any such flings. The furnishing of such informaton is not intended to consttute a representaton that such furnishing is required by Regulaton FD or that such informaton includes material investor informaton that is not otherwise publicly available.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Statement Regarding Forward-Looking Statements</w:t>
      </w:r>
    </w:p>
    <w:p>
      <w:pPr>
        <w:spacing w:after="0" w:line="103"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This Current Report on Form 8-K contains “forward-looking statements” within the meaning of the federal securites laws, including Secton 27A of the Securites Act of 1933, as amended, and Secton 21E of the Securites Exchange Act of 1934, as amended, including, without limitaton, the Company’s ability to contnue to work with ACECLYRIN on its clinical trials. In this context, forward-looking statements ofen address expected future business and fnancial performance and fnancial conditon, and ofen contain words such as “guidance,” “expect,” “assume,” “antcipate,” “intend,” “plan,” “forecast,” “believe,” “seek,” “see,” “will,” “would,” “target,” similar expressions, and variatons or negatves of these words that are intended to identfy forward-looking statements, although not all forward-looking statements contain these identfying words. Actual results may difer materially from the Company’s expectatons due to a number of factors, including, but not limited to, the factors described from tme to tme in documents that the Company fles with the SEC. For a further discussion of the risks relatng to the Company’s business, see the “Risk Factors” Secton of the Company’s Informaton Statement fled with the Company’s Registraton Statement on Form 10, as amended (the “Form 10”), as fled with the Securites and Exchange Commission (the "SEC"), as such factors may be amended or updated from tme to tme in the Company’s subsequent periodic and other flings with the SEC, which are accessible on the SEC’s website at www.sec.gov. These factors should not be construed as exhaustve and should be read in conjuncton with the other cautonary statements that are included in this Current Report and in the Company’s flings with the SEC. Comparisons of results for current and any prior periods are not intended to express any future, or indicatons of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both"/>
        <w:spacing w:after="0" w:line="222" w:lineRule="auto"/>
        <w:rPr>
          <w:sz w:val="20"/>
          <w:szCs w:val="20"/>
          <w:color w:val="auto"/>
        </w:rPr>
      </w:pPr>
      <w:r>
        <w:rPr>
          <w:rFonts w:ascii="Calibri" w:cs="Calibri" w:eastAsia="Calibri" w:hAnsi="Calibri"/>
          <w:sz w:val="20"/>
          <w:szCs w:val="20"/>
          <w:color w:val="auto"/>
        </w:rPr>
        <w:t>performance, unless expressed as such, and should only be viewed as historical data. All forward-looking statements are made only as of the date of this Current Report and the Company does not undertake any obligaton, other than as may be required by law, to update or revise any forward-looking statements to refect future events or developments.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6"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00" w:lineRule="exact"/>
        <w:rPr>
          <w:sz w:val="20"/>
          <w:szCs w:val="20"/>
          <w:color w:val="auto"/>
        </w:rPr>
      </w:pPr>
    </w:p>
    <w:p>
      <w:pPr>
        <w:spacing w:after="0" w:line="37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Stillman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35560</wp:posOffset>
            </wp:positionV>
            <wp:extent cx="2348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4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Name: Stillman Hanson</w:t>
      </w:r>
    </w:p>
    <w:p>
      <w:pPr>
        <w:spacing w:after="0" w:line="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sectPr>
      <w:pgSz w:w="11900" w:h="16838" w:orient="portrait"/>
      <w:cols w:equalWidth="0" w:num="1">
        <w:col w:w="11200"/>
      </w:cols>
      <w:pgMar w:left="320" w:top="123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2023-11-29T07:05:34Z</dcterms:created>
  <dcterms:modified xsi:type="dcterms:W3CDTF">2023-11-29T07:05:34Z</dcterms:modified>
</cp:coreProperties>
</file>