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Hanson James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4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 MOORE DRIVE</w:t>
            </w:r>
          </w:p>
        </w:tc>
        <w:tc>
          <w:tcPr>
            <w:tcW w:w="160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27709</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Fortrea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FTRE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640" w:type="dxa"/>
            <w:vAlign w:val="bottom"/>
            <w:tcBorders>
              <w:top w:val="single" w:sz="8" w:color="0000EE"/>
            </w:tcBorders>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18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03/13/2024</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03/13/2024</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8,996</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8,996</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32,120</w:t>
            </w:r>
            <w:r>
              <w:rPr>
                <w:rFonts w:ascii="Times New Roman" w:cs="Times New Roman" w:eastAsia="Times New Roman" w:hAnsi="Times New Roman"/>
                <w:sz w:val="21"/>
                <w:szCs w:val="21"/>
                <w:color w:val="008000"/>
                <w:vertAlign w:val="superscript"/>
              </w:rPr>
              <w:t>(3)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right to receive, at settlement, one share of Fortrea Holdings Inc. ("Fortrea") Common Stock. This transaction represents the settlement of RSUs in shares of Common Stock on their scheduled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three equal annual installments beginning on March 13,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aggregate number of RSUs held by the reporting person.</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James Stillman Hanson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03/15/2024</w:t>
            </w: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4887" TargetMode="External"/><Relationship Id="rId13" Type="http://schemas.openxmlformats.org/officeDocument/2006/relationships/hyperlink" Target="http://www.sec.gov/cgi-bin/browse-edgar?action=getcompany&amp;CIK=0001965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2024-03-15T16:13:18Z</dcterms:created>
  <dcterms:modified xsi:type="dcterms:W3CDTF">2024-03-15T16:13:18Z</dcterms:modified>
</cp:coreProperties>
</file>