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1260"/>
        <w:jc w:val="left"/>
        <w:rPr/>
      </w:pPr>
      <w:hyperlink w:anchor="i68e8a57ea873451e9eac398c89dff935_7">
        <w:r>
          <w:rPr>
            <w:rStyle w:val="InternetLink"/>
            <w:rFonts w:ascii="Times New Roman;serif" w:hAnsi="Times New Roman;serif"/>
            <w:b w:val="false"/>
            <w:color w:val="0000FF"/>
            <w:sz w:val="20"/>
            <w:u w:val="single"/>
          </w:rPr>
          <w:t>INDEX</w:t>
        </w:r>
      </w:hyperlink>
    </w:p>
    <w:p>
      <w:pPr>
        <w:pStyle w:val="TextBody"/>
        <w:bidi w:val="0"/>
        <w:spacing w:before="200" w:after="283"/>
        <w:ind w:left="0" w:right="0" w:firstLine="720"/>
        <w:jc w:val="left"/>
        <w:rPr/>
      </w:pPr>
      <w:r>
        <w:r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001-41704</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FORTREA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94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92-2796441</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 Moore Drive Durham,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27713</w:t>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u w:val="single"/>
        </w:rPr>
        <w:t>(877)-495-0816</w:t>
      </w:r>
    </w:p>
    <w:p>
      <w:pPr>
        <w:pStyle w:val="TextBody"/>
        <w:bidi w:val="0"/>
        <w:spacing w:before="0" w:after="0"/>
        <w:jc w:val="center"/>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938"/>
        <w:gridCol w:w="1661"/>
        <w:gridCol w:w="1680"/>
        <w:gridCol w:w="508"/>
        <w:gridCol w:w="508"/>
        <w:gridCol w:w="510"/>
        <w:gridCol w:w="994"/>
        <w:gridCol w:w="994"/>
        <w:gridCol w:w="1412"/>
      </w:tblGrid>
      <w:tr>
        <w:trPr/>
        <w:tc>
          <w:tcPr>
            <w:tcW w:w="193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5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5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FTRE</w:t>
            </w:r>
          </w:p>
        </w:tc>
        <w:tc>
          <w:tcPr>
            <w:tcW w:w="34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2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Rights to Purchase Series A Preferred Stock, par value $0.001 per share</w:t>
            </w:r>
          </w:p>
        </w:tc>
        <w:tc>
          <w:tcPr>
            <w:tcW w:w="15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rFonts w:ascii="Wingdings;sans-serif" w:hAnsi="Wingdings;sans-serif"/>
          <w:b w:val="false"/>
          <w:color w:val="000000"/>
          <w:sz w:val="20"/>
        </w:rPr>
        <w:t xml:space="preserve">o </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ind w:left="0" w:right="0" w:hanging="1260"/>
        <w:jc w:val="left"/>
        <w:rPr/>
      </w:pPr>
      <w:hyperlink w:anchor="i68e8a57ea873451e9eac398c89dff935_7">
        <w:r>
          <w:rPr>
            <w:rStyle w:val="InternetLink"/>
            <w:rFonts w:ascii="Times New Roman;serif" w:hAnsi="Times New Roman;serif"/>
            <w:b w:val="false"/>
            <w:color w:val="0000FF"/>
            <w:sz w:val="20"/>
            <w:u w:val="single"/>
          </w:rPr>
          <w:t>INDEX</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18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outstanding 92.4 million shares of common stock as of November 3,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0"/>
        <w:jc w:val="left"/>
        <w:rPr/>
      </w:pPr>
      <w:hyperlink w:anchor="i68e8a57ea873451e9eac398c89dff935_7">
        <w:r>
          <w:rPr>
            <w:rStyle w:val="InternetLink"/>
            <w:rFonts w:ascii="Times New Roman;serif" w:hAnsi="Times New Roman;serif"/>
            <w:b w:val="false"/>
            <w:color w:val="0000FF"/>
            <w:sz w:val="20"/>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w:t>
      </w:r>
    </w:p>
    <w:tbl>
      <w:tblPr>
        <w:tblW w:w="9734" w:type="dxa"/>
        <w:jc w:val="left"/>
        <w:tblInd w:w="0" w:type="dxa"/>
        <w:tblLayout w:type="fixed"/>
        <w:tblCellMar>
          <w:top w:w="28" w:type="dxa"/>
          <w:left w:w="28" w:type="dxa"/>
          <w:bottom w:w="28" w:type="dxa"/>
          <w:right w:w="28" w:type="dxa"/>
        </w:tblCellMar>
      </w:tblPr>
      <w:tblGrid>
        <w:gridCol w:w="409"/>
        <w:gridCol w:w="360"/>
        <w:gridCol w:w="360"/>
        <w:gridCol w:w="2455"/>
        <w:gridCol w:w="2455"/>
        <w:gridCol w:w="2455"/>
        <w:gridCol w:w="360"/>
        <w:gridCol w:w="360"/>
        <w:gridCol w:w="52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8e8a57ea873451e9eac398c89dff935_10">
              <w:r>
                <w:rPr>
                  <w:rStyle w:val="InternetLink"/>
                  <w:rFonts w:ascii="Times New Roman;serif" w:hAnsi="Times New Roman;serif"/>
                  <w:b/>
                  <w:color w:val="000080"/>
                  <w:sz w:val="20"/>
                </w:rPr>
                <w:t>PART I.</w:t>
              </w:r>
            </w:hyperlink>
            <w:r>
              <w:rPr>
                <w:rFonts w:ascii="Times New Roman;serif" w:hAnsi="Times New Roman;serif"/>
                <w:b/>
                <w:color w:val="000000"/>
                <w:sz w:val="20"/>
              </w:rPr>
              <w:t xml:space="preserve"> FINANCIAL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3">
              <w:r>
                <w:rPr>
                  <w:rStyle w:val="InternetLink"/>
                  <w:rFonts w:ascii="Times New Roman;serif" w:hAnsi="Times New Roman;serif"/>
                  <w:b w:val="false"/>
                  <w:color w:val="0000FF"/>
                  <w:sz w:val="20"/>
                  <w:u w:val="single"/>
                </w:rPr>
                <w:t>Financial Statements (unaudited)</w:t>
              </w:r>
            </w:hyperlink>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6">
              <w:r>
                <w:rPr>
                  <w:rStyle w:val="InternetLink"/>
                  <w:rFonts w:ascii="Times New Roman;serif" w:hAnsi="Times New Roman;serif"/>
                  <w:b w:val="false"/>
                  <w:color w:val="0000FF"/>
                  <w:sz w:val="20"/>
                  <w:u w:val="single"/>
                </w:rPr>
                <w:t>Condensed Consolidated Balance Sheets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30, 2025 and December 31,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6">
              <w:r>
                <w:rPr>
                  <w:rStyle w:val="InternetLink"/>
                  <w:rFonts w:ascii="Times New Roman;serif" w:hAnsi="Times New Roman;serif"/>
                  <w:b w:val="false"/>
                  <w:color w:val="0000FF"/>
                  <w:sz w:val="20"/>
                  <w:u w:val="single"/>
                </w:rPr>
                <w:t>2</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9">
              <w:r>
                <w:rPr>
                  <w:rStyle w:val="InternetLink"/>
                  <w:rFonts w:ascii="Times New Roman;serif" w:hAnsi="Times New Roman;serif"/>
                  <w:b w:val="false"/>
                  <w:color w:val="0000FF"/>
                  <w:sz w:val="20"/>
                  <w:u w:val="single"/>
                </w:rPr>
                <w:t>Condensed Consolidated Statements of Operations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9">
              <w:r>
                <w:rPr>
                  <w:rStyle w:val="InternetLink"/>
                  <w:rFonts w:ascii="Times New Roman;serif" w:hAnsi="Times New Roman;serif"/>
                  <w:b w:val="false"/>
                  <w:color w:val="0000FF"/>
                  <w:sz w:val="20"/>
                  <w:u w:val="single"/>
                </w:rPr>
                <w:t>3</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22">
              <w:r>
                <w:rPr>
                  <w:rStyle w:val="InternetLink"/>
                  <w:rFonts w:ascii="Times New Roman;serif" w:hAnsi="Times New Roman;serif"/>
                  <w:b w:val="false"/>
                  <w:color w:val="0000FF"/>
                  <w:sz w:val="20"/>
                  <w:u w:val="single"/>
                </w:rPr>
                <w:t>Condensed Consolidated Statements of Comprehensive (Loss) Income</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22">
              <w:r>
                <w:rPr>
                  <w:rStyle w:val="InternetLink"/>
                  <w:rFonts w:ascii="Times New Roman;serif" w:hAnsi="Times New Roman;serif"/>
                  <w:b w:val="false"/>
                  <w:color w:val="0000FF"/>
                  <w:sz w:val="20"/>
                  <w:u w:val="single"/>
                </w:rPr>
                <w:t>4</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25">
              <w:r>
                <w:rPr>
                  <w:rStyle w:val="InternetLink"/>
                  <w:rFonts w:ascii="Times New Roman;serif" w:hAnsi="Times New Roman;serif"/>
                  <w:b w:val="false"/>
                  <w:color w:val="000080"/>
                  <w:sz w:val="20"/>
                  <w:u w:val="single"/>
                </w:rPr>
                <w:t xml:space="preserve">Condensed </w:t>
              </w:r>
            </w:hyperlink>
            <w:hyperlink w:anchor="i68e8a57ea873451e9eac398c89dff935_16">
              <w:r>
                <w:rPr>
                  <w:rStyle w:val="InternetLink"/>
                  <w:rFonts w:ascii="Times New Roman;serif" w:hAnsi="Times New Roman;serif"/>
                  <w:b w:val="false"/>
                  <w:color w:val="000080"/>
                  <w:sz w:val="20"/>
                  <w:u w:val="single"/>
                </w:rPr>
                <w:t>Consolidated</w:t>
              </w:r>
            </w:hyperlink>
            <w:hyperlink w:anchor="i68e8a57ea873451e9eac398c89dff935_25">
              <w:r>
                <w:rPr>
                  <w:rStyle w:val="InternetLink"/>
                  <w:rFonts w:ascii="Times New Roman;serif" w:hAnsi="Times New Roman;serif"/>
                  <w:b w:val="false"/>
                  <w:color w:val="000080"/>
                  <w:sz w:val="20"/>
                  <w:u w:val="single"/>
                </w:rPr>
                <w:t xml:space="preserve"> Statements of Changes in Equity</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and nine months ended September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25">
              <w:r>
                <w:rPr>
                  <w:rStyle w:val="InternetLink"/>
                  <w:rFonts w:ascii="Times New Roman;serif" w:hAnsi="Times New Roman;serif"/>
                  <w:b w:val="false"/>
                  <w:color w:val="0000FF"/>
                  <w:sz w:val="20"/>
                  <w:u w:val="single"/>
                </w:rPr>
                <w:t>5</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28">
              <w:r>
                <w:rPr>
                  <w:rStyle w:val="InternetLink"/>
                  <w:rFonts w:ascii="Times New Roman;serif" w:hAnsi="Times New Roman;serif"/>
                  <w:b w:val="false"/>
                  <w:color w:val="000080"/>
                  <w:sz w:val="20"/>
                  <w:u w:val="single"/>
                </w:rPr>
                <w:t xml:space="preserve">Condensed </w:t>
              </w:r>
            </w:hyperlink>
            <w:hyperlink w:anchor="i68e8a57ea873451e9eac398c89dff935_16">
              <w:r>
                <w:rPr>
                  <w:rStyle w:val="InternetLink"/>
                  <w:rFonts w:ascii="Times New Roman;serif" w:hAnsi="Times New Roman;serif"/>
                  <w:b w:val="false"/>
                  <w:color w:val="000080"/>
                  <w:sz w:val="20"/>
                  <w:u w:val="single"/>
                </w:rPr>
                <w:t>Consolidated</w:t>
              </w:r>
            </w:hyperlink>
            <w:hyperlink w:anchor="i68e8a57ea873451e9eac398c89dff935_28">
              <w:r>
                <w:rPr>
                  <w:rStyle w:val="InternetLink"/>
                  <w:rFonts w:ascii="Times New Roman;serif" w:hAnsi="Times New Roman;serif"/>
                  <w:b w:val="false"/>
                  <w:color w:val="000080"/>
                  <w:sz w:val="20"/>
                  <w:u w:val="single"/>
                </w:rPr>
                <w:t xml:space="preserve"> Statements of Cash Flows</w:t>
              </w:r>
            </w:hyperlink>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Nine months ended September 30, 2025 and 2024</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28">
              <w:r>
                <w:rPr>
                  <w:rStyle w:val="InternetLink"/>
                  <w:rFonts w:ascii="Times New Roman;serif" w:hAnsi="Times New Roman;serif"/>
                  <w:b w:val="false"/>
                  <w:color w:val="0000FF"/>
                  <w:sz w:val="20"/>
                  <w:u w:val="single"/>
                </w:rPr>
                <w:t>7</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31">
              <w:r>
                <w:rPr>
                  <w:rStyle w:val="InternetLink"/>
                  <w:rFonts w:ascii="Times New Roman;serif" w:hAnsi="Times New Roman;serif"/>
                  <w:b w:val="false"/>
                  <w:color w:val="0000FF"/>
                  <w:sz w:val="20"/>
                  <w:u w:val="single"/>
                </w:rPr>
                <w:t>Notes to Unaudited Condensed Consolidated Financial Statements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31">
              <w:r>
                <w:rPr>
                  <w:rStyle w:val="InternetLink"/>
                  <w:rFonts w:ascii="Times New Roman;serif" w:hAnsi="Times New Roman;serif"/>
                  <w:b w:val="false"/>
                  <w:color w:val="0000FF"/>
                  <w:sz w:val="20"/>
                  <w:u w:val="single"/>
                </w:rPr>
                <w:t>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15">
              <w:r>
                <w:rPr>
                  <w:rStyle w:val="InternetLink"/>
                  <w:rFonts w:ascii="Times New Roman;serif" w:hAnsi="Times New Roman;serif"/>
                  <w:b w:val="false"/>
                  <w:color w:val="000000"/>
                  <w:sz w:val="20"/>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1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15">
              <w:r>
                <w:rPr>
                  <w:rStyle w:val="InternetLink"/>
                  <w:rFonts w:ascii="Times New Roman;serif" w:hAnsi="Times New Roman;serif"/>
                  <w:b w:val="false"/>
                  <w:color w:val="0000FF"/>
                  <w:sz w:val="20"/>
                  <w:u w:val="single"/>
                </w:rPr>
                <w:t>26</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33">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33">
              <w:r>
                <w:rPr>
                  <w:rStyle w:val="InternetLink"/>
                  <w:rFonts w:ascii="Times New Roman;serif" w:hAnsi="Times New Roman;serif"/>
                  <w:b w:val="false"/>
                  <w:color w:val="0000FF"/>
                  <w:sz w:val="20"/>
                  <w:u w:val="single"/>
                </w:rPr>
                <w:t>Quantitative and Qualitative Disclosures About Market Risk</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33">
              <w:r>
                <w:rPr>
                  <w:rStyle w:val="InternetLink"/>
                  <w:rFonts w:ascii="Times New Roman;serif" w:hAnsi="Times New Roman;serif"/>
                  <w:b w:val="false"/>
                  <w:color w:val="0000FF"/>
                  <w:sz w:val="20"/>
                  <w:u w:val="single"/>
                </w:rPr>
                <w:t>35</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36">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36">
              <w:r>
                <w:rPr>
                  <w:rStyle w:val="InternetLink"/>
                  <w:rFonts w:ascii="Times New Roman;serif" w:hAnsi="Times New Roman;serif"/>
                  <w:b w:val="false"/>
                  <w:color w:val="0000FF"/>
                  <w:sz w:val="20"/>
                  <w:u w:val="single"/>
                </w:rPr>
                <w:t>Controls and Procedures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36">
              <w:r>
                <w:rPr>
                  <w:rStyle w:val="InternetLink"/>
                  <w:rFonts w:ascii="Times New Roman;serif" w:hAnsi="Times New Roman;serif"/>
                  <w:b w:val="false"/>
                  <w:color w:val="0000FF"/>
                  <w:sz w:val="20"/>
                  <w:u w:val="single"/>
                </w:rPr>
                <w:t>36</w:t>
              </w:r>
            </w:hyperlink>
          </w:p>
        </w:tc>
      </w:tr>
      <w:tr>
        <w:trPr/>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4"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68e8a57ea873451e9eac398c89dff935_139">
              <w:r>
                <w:rPr>
                  <w:rStyle w:val="InternetLink"/>
                  <w:rFonts w:ascii="Times New Roman;serif" w:hAnsi="Times New Roman;serif"/>
                  <w:b/>
                  <w:color w:val="000080"/>
                  <w:sz w:val="20"/>
                </w:rPr>
                <w:t>PART II.</w:t>
              </w:r>
            </w:hyperlink>
            <w:r>
              <w:rPr>
                <w:rFonts w:ascii="Times New Roman;serif" w:hAnsi="Times New Roman;serif"/>
                <w:b/>
                <w:color w:val="000000"/>
                <w:sz w:val="20"/>
              </w:rPr>
              <w:t xml:space="preserve"> OTHER INFORMATION</w:t>
            </w:r>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42">
              <w:r>
                <w:rPr>
                  <w:rStyle w:val="InternetLink"/>
                  <w:rFonts w:ascii="Times New Roman;serif" w:hAnsi="Times New Roman;serif"/>
                  <w:b w:val="false"/>
                  <w:color w:val="000000"/>
                  <w:sz w:val="20"/>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42">
              <w:r>
                <w:rPr>
                  <w:rStyle w:val="InternetLink"/>
                  <w:rFonts w:ascii="Times New Roman;serif" w:hAnsi="Times New Roman;serif"/>
                  <w:b w:val="false"/>
                  <w:color w:val="0000FF"/>
                  <w:sz w:val="20"/>
                  <w:u w:val="single"/>
                </w:rPr>
                <w:t>Legal Proceedings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42">
              <w:r>
                <w:rPr>
                  <w:rStyle w:val="InternetLink"/>
                  <w:rFonts w:ascii="Times New Roman;serif" w:hAnsi="Times New Roman;serif"/>
                  <w:b w:val="false"/>
                  <w:color w:val="0000FF"/>
                  <w:sz w:val="20"/>
                  <w:u w:val="single"/>
                </w:rPr>
                <w:t>36</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45">
              <w:r>
                <w:rPr>
                  <w:rStyle w:val="InternetLink"/>
                  <w:rFonts w:ascii="Times New Roman;serif" w:hAnsi="Times New Roman;serif"/>
                  <w:b w:val="false"/>
                  <w:color w:val="000080"/>
                  <w:sz w:val="20"/>
                </w:rPr>
                <w:t xml:space="preserve">Item </w:t>
              </w:r>
            </w:hyperlink>
            <w:r>
              <w:rPr>
                <w:rFonts w:ascii="Times New Roman;serif" w:hAnsi="Times New Roman;serif"/>
                <w:b w:val="false"/>
                <w:color w:val="000000"/>
                <w:sz w:val="20"/>
              </w:rPr>
              <w:t>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45">
              <w:r>
                <w:rPr>
                  <w:rStyle w:val="InternetLink"/>
                  <w:rFonts w:ascii="Times New Roman;serif" w:hAnsi="Times New Roman;serif"/>
                  <w:b w:val="false"/>
                  <w:color w:val="0000FF"/>
                  <w:sz w:val="20"/>
                  <w:u w:val="single"/>
                </w:rPr>
                <w:t>Risk Factors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45">
              <w:r>
                <w:rPr>
                  <w:rStyle w:val="InternetLink"/>
                  <w:rFonts w:ascii="Times New Roman;serif" w:hAnsi="Times New Roman;serif"/>
                  <w:b w:val="false"/>
                  <w:color w:val="0000FF"/>
                  <w:sz w:val="20"/>
                  <w:u w:val="single"/>
                </w:rPr>
                <w:t>36</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48">
              <w:r>
                <w:rPr>
                  <w:rStyle w:val="InternetLink"/>
                  <w:rFonts w:ascii="Times New Roman;serif" w:hAnsi="Times New Roman;serif"/>
                  <w:b w:val="false"/>
                  <w:color w:val="000000"/>
                  <w:sz w:val="20"/>
                </w:rPr>
                <w:t xml:space="preserve">Item 2. </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48">
              <w:r>
                <w:rPr>
                  <w:rStyle w:val="InternetLink"/>
                  <w:rFonts w:ascii="Times New Roman;serif" w:hAnsi="Times New Roman;serif"/>
                  <w:b w:val="false"/>
                  <w:color w:val="0000FF"/>
                  <w:sz w:val="20"/>
                  <w:u w:val="single"/>
                </w:rPr>
                <w:t>Unregistered Sales of Equity Securities and Use of Proceeds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48">
              <w:r>
                <w:rPr>
                  <w:rStyle w:val="InternetLink"/>
                  <w:rFonts w:ascii="Times New Roman;serif" w:hAnsi="Times New Roman;serif"/>
                  <w:b w:val="false"/>
                  <w:color w:val="0000FF"/>
                  <w:sz w:val="20"/>
                  <w:u w:val="single"/>
                </w:rPr>
                <w:t>38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51">
              <w:r>
                <w:rPr>
                  <w:rStyle w:val="InternetLink"/>
                  <w:rFonts w:ascii="Times New Roman;serif" w:hAnsi="Times New Roman;serif"/>
                  <w:b w:val="false"/>
                  <w:color w:val="000000"/>
                  <w:sz w:val="20"/>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51">
              <w:r>
                <w:rPr>
                  <w:rStyle w:val="InternetLink"/>
                  <w:rFonts w:ascii="Times New Roman;serif" w:hAnsi="Times New Roman;serif"/>
                  <w:b w:val="false"/>
                  <w:color w:val="0000FF"/>
                  <w:sz w:val="20"/>
                  <w:u w:val="single"/>
                </w:rPr>
                <w:t>Defaults Upon Senior Securities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51">
              <w:r>
                <w:rPr>
                  <w:rStyle w:val="InternetLink"/>
                  <w:rFonts w:ascii="Times New Roman;serif" w:hAnsi="Times New Roman;serif"/>
                  <w:b w:val="false"/>
                  <w:color w:val="0000FF"/>
                  <w:sz w:val="20"/>
                  <w:u w:val="single"/>
                </w:rPr>
                <w:t>38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54">
              <w:r>
                <w:rPr>
                  <w:rStyle w:val="InternetLink"/>
                  <w:rFonts w:ascii="Times New Roman;serif" w:hAnsi="Times New Roman;serif"/>
                  <w:b w:val="false"/>
                  <w:color w:val="000000"/>
                  <w:sz w:val="20"/>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54">
              <w:r>
                <w:rPr>
                  <w:rStyle w:val="InternetLink"/>
                  <w:rFonts w:ascii="Times New Roman;serif" w:hAnsi="Times New Roman;serif"/>
                  <w:b w:val="false"/>
                  <w:color w:val="0000FF"/>
                  <w:sz w:val="20"/>
                  <w:u w:val="single"/>
                </w:rPr>
                <w:t>Mine Safety Disclosures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54">
              <w:r>
                <w:rPr>
                  <w:rStyle w:val="InternetLink"/>
                  <w:rFonts w:ascii="Times New Roman;serif" w:hAnsi="Times New Roman;serif"/>
                  <w:b w:val="false"/>
                  <w:color w:val="0000FF"/>
                  <w:sz w:val="20"/>
                  <w:u w:val="single"/>
                </w:rPr>
                <w:t>38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57">
              <w:r>
                <w:rPr>
                  <w:rStyle w:val="InternetLink"/>
                  <w:rFonts w:ascii="Times New Roman;serif" w:hAnsi="Times New Roman;serif"/>
                  <w:b w:val="false"/>
                  <w:color w:val="0000FF"/>
                  <w:sz w:val="20"/>
                  <w:u w:val="single"/>
                </w:rPr>
                <w:t>Other Information</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57">
              <w:r>
                <w:rPr>
                  <w:rStyle w:val="InternetLink"/>
                  <w:rFonts w:ascii="Times New Roman;serif" w:hAnsi="Times New Roman;serif"/>
                  <w:b w:val="false"/>
                  <w:color w:val="0000FF"/>
                  <w:sz w:val="20"/>
                  <w:u w:val="single"/>
                </w:rPr>
                <w:t>38</w:t>
              </w:r>
            </w:hyperlink>
          </w:p>
        </w:tc>
      </w:tr>
      <w:tr>
        <w:trPr/>
        <w:tc>
          <w:tcPr>
            <w:tcW w:w="11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60">
              <w:r>
                <w:rPr>
                  <w:rStyle w:val="InternetLink"/>
                  <w:rFonts w:ascii="Times New Roman;serif" w:hAnsi="Times New Roman;serif"/>
                  <w:b w:val="false"/>
                  <w:color w:val="000000"/>
                  <w:sz w:val="20"/>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8e8a57ea873451e9eac398c89dff935_160">
              <w:r>
                <w:rPr>
                  <w:rStyle w:val="InternetLink"/>
                  <w:rFonts w:ascii="Times New Roman;serif" w:hAnsi="Times New Roman;serif"/>
                  <w:b w:val="false"/>
                  <w:color w:val="0000FF"/>
                  <w:sz w:val="20"/>
                  <w:u w:val="single"/>
                </w:rPr>
                <w:t>Exhibits</w:t>
              </w:r>
            </w:hyperlink>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e8a57ea873451e9eac398c89dff935_160">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6"/>
        <w:gridCol w:w="2162"/>
        <w:gridCol w:w="2168"/>
        <w:gridCol w:w="296"/>
        <w:gridCol w:w="1046"/>
        <w:gridCol w:w="164"/>
        <w:gridCol w:w="109"/>
        <w:gridCol w:w="109"/>
        <w:gridCol w:w="109"/>
        <w:gridCol w:w="282"/>
        <w:gridCol w:w="997"/>
        <w:gridCol w:w="227"/>
      </w:tblGrid>
      <w:tr>
        <w:trPr/>
        <w:tc>
          <w:tcPr>
            <w:tcW w:w="253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unbilled services, net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1,710.4 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655.7 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operating lease liabilities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949.5 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1,049.7 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tax liabilities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9)</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92.2 and 89.7 shares outstanding at September 30, 2025 and December 31, 2024, respectively</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2,042.2 </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w:t>
            </w:r>
          </w:p>
        </w:tc>
        <w:tc>
          <w:tcPr>
            <w:tcW w:w="2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1,362.4 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3,579.2 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9"/>
        <w:gridCol w:w="1473"/>
        <w:gridCol w:w="1484"/>
        <w:gridCol w:w="237"/>
        <w:gridCol w:w="695"/>
        <w:gridCol w:w="122"/>
        <w:gridCol w:w="122"/>
        <w:gridCol w:w="122"/>
        <w:gridCol w:w="122"/>
        <w:gridCol w:w="237"/>
        <w:gridCol w:w="695"/>
        <w:gridCol w:w="122"/>
        <w:gridCol w:w="109"/>
        <w:gridCol w:w="109"/>
        <w:gridCol w:w="109"/>
        <w:gridCol w:w="215"/>
        <w:gridCol w:w="782"/>
        <w:gridCol w:w="111"/>
        <w:gridCol w:w="111"/>
        <w:gridCol w:w="111"/>
        <w:gridCol w:w="111"/>
        <w:gridCol w:w="215"/>
        <w:gridCol w:w="782"/>
        <w:gridCol w:w="170"/>
      </w:tblGrid>
      <w:tr>
        <w:trPr/>
        <w:tc>
          <w:tcPr>
            <w:tcW w:w="183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Earnings (loss) per common share</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from continuing operations</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from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42"/>
        <w:gridCol w:w="1476"/>
        <w:gridCol w:w="1506"/>
        <w:gridCol w:w="255"/>
        <w:gridCol w:w="701"/>
        <w:gridCol w:w="131"/>
        <w:gridCol w:w="131"/>
        <w:gridCol w:w="131"/>
        <w:gridCol w:w="131"/>
        <w:gridCol w:w="255"/>
        <w:gridCol w:w="701"/>
        <w:gridCol w:w="131"/>
        <w:gridCol w:w="109"/>
        <w:gridCol w:w="109"/>
        <w:gridCol w:w="109"/>
        <w:gridCol w:w="228"/>
        <w:gridCol w:w="741"/>
        <w:gridCol w:w="118"/>
        <w:gridCol w:w="118"/>
        <w:gridCol w:w="118"/>
        <w:gridCol w:w="118"/>
        <w:gridCol w:w="228"/>
        <w:gridCol w:w="741"/>
        <w:gridCol w:w="177"/>
      </w:tblGrid>
      <w:tr>
        <w:trPr/>
        <w:tc>
          <w:tcPr>
            <w:tcW w:w="174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derivative instruments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for income tax related to items of comprehensive income</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29"/>
        <w:gridCol w:w="560"/>
        <w:gridCol w:w="562"/>
        <w:gridCol w:w="255"/>
        <w:gridCol w:w="256"/>
        <w:gridCol w:w="196"/>
        <w:gridCol w:w="109"/>
        <w:gridCol w:w="109"/>
        <w:gridCol w:w="109"/>
        <w:gridCol w:w="218"/>
        <w:gridCol w:w="419"/>
        <w:gridCol w:w="114"/>
        <w:gridCol w:w="109"/>
        <w:gridCol w:w="109"/>
        <w:gridCol w:w="109"/>
        <w:gridCol w:w="250"/>
        <w:gridCol w:w="910"/>
        <w:gridCol w:w="129"/>
        <w:gridCol w:w="109"/>
        <w:gridCol w:w="109"/>
        <w:gridCol w:w="109"/>
        <w:gridCol w:w="109"/>
        <w:gridCol w:w="109"/>
        <w:gridCol w:w="227"/>
        <w:gridCol w:w="859"/>
        <w:gridCol w:w="117"/>
        <w:gridCol w:w="109"/>
        <w:gridCol w:w="109"/>
        <w:gridCol w:w="109"/>
        <w:gridCol w:w="269"/>
        <w:gridCol w:w="806"/>
        <w:gridCol w:w="141"/>
        <w:gridCol w:w="109"/>
        <w:gridCol w:w="109"/>
        <w:gridCol w:w="109"/>
        <w:gridCol w:w="211"/>
        <w:gridCol w:w="766"/>
        <w:gridCol w:w="158"/>
      </w:tblGrid>
      <w:tr>
        <w:trPr/>
        <w:tc>
          <w:tcPr>
            <w:tcW w:w="92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FORTREA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22"/>
        <w:gridCol w:w="416"/>
        <w:gridCol w:w="417"/>
        <w:gridCol w:w="255"/>
        <w:gridCol w:w="256"/>
        <w:gridCol w:w="196"/>
        <w:gridCol w:w="109"/>
        <w:gridCol w:w="109"/>
        <w:gridCol w:w="109"/>
        <w:gridCol w:w="218"/>
        <w:gridCol w:w="419"/>
        <w:gridCol w:w="114"/>
        <w:gridCol w:w="109"/>
        <w:gridCol w:w="109"/>
        <w:gridCol w:w="109"/>
        <w:gridCol w:w="223"/>
        <w:gridCol w:w="811"/>
        <w:gridCol w:w="115"/>
        <w:gridCol w:w="109"/>
        <w:gridCol w:w="109"/>
        <w:gridCol w:w="109"/>
        <w:gridCol w:w="109"/>
        <w:gridCol w:w="109"/>
        <w:gridCol w:w="240"/>
        <w:gridCol w:w="720"/>
        <w:gridCol w:w="125"/>
        <w:gridCol w:w="109"/>
        <w:gridCol w:w="109"/>
        <w:gridCol w:w="109"/>
        <w:gridCol w:w="269"/>
        <w:gridCol w:w="806"/>
        <w:gridCol w:w="141"/>
        <w:gridCol w:w="109"/>
        <w:gridCol w:w="109"/>
        <w:gridCol w:w="109"/>
        <w:gridCol w:w="211"/>
        <w:gridCol w:w="766"/>
        <w:gridCol w:w="109"/>
        <w:gridCol w:w="109"/>
        <w:gridCol w:w="109"/>
        <w:gridCol w:w="109"/>
        <w:gridCol w:w="109"/>
        <w:gridCol w:w="109"/>
        <w:gridCol w:w="158"/>
      </w:tblGrid>
      <w:tr>
        <w:trPr/>
        <w:tc>
          <w:tcPr>
            <w:tcW w:w="82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tax payments from issuance of stock to employees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plans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share settlement tax payments from issuance of stock to employees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FORTREA HOLDINGS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 millions)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(unaudited)</w:t>
      </w:r>
    </w:p>
    <w:tbl>
      <w:tblPr>
        <w:tblW w:w="9274" w:type="dxa"/>
        <w:jc w:val="center"/>
        <w:tblInd w:w="0" w:type="dxa"/>
        <w:tblLayout w:type="fixed"/>
        <w:tblCellMar>
          <w:top w:w="28" w:type="dxa"/>
          <w:left w:w="28" w:type="dxa"/>
          <w:bottom w:w="28" w:type="dxa"/>
          <w:right w:w="28" w:type="dxa"/>
        </w:tblCellMar>
      </w:tblPr>
      <w:tblGrid>
        <w:gridCol w:w="2285"/>
        <w:gridCol w:w="2010"/>
        <w:gridCol w:w="2020"/>
        <w:gridCol w:w="250"/>
        <w:gridCol w:w="805"/>
        <w:gridCol w:w="139"/>
        <w:gridCol w:w="139"/>
        <w:gridCol w:w="139"/>
        <w:gridCol w:w="139"/>
        <w:gridCol w:w="250"/>
        <w:gridCol w:w="805"/>
        <w:gridCol w:w="139"/>
        <w:gridCol w:w="154"/>
      </w:tblGrid>
      <w:tr>
        <w:trPr/>
        <w:tc>
          <w:tcPr>
            <w:tcW w:w="228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for) provided by operating activities: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expense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expense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 impairment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asset impairments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movements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debt issuance costs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receivable and unbilled services, net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(increase) in prepaid expenses and other</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(Decrease) increase in accounts payable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Increase in unearned revenue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accrued expenses and other</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provided by operating activities</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 net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facilities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long-term debt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stock awards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cash flows related to discontinued operations have not been segregated and are included in the condensed consolidated statements of cash flows.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b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BASIS OF FINANCIAL STATEMENT PRESENTATION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Holdings Inc. (“Fortrea” or the “Company”), a Delaware corporation incorporated on January 31, 2023, is a leading global contract research organization (“CRO”) providing biopharmaceutical product and medical device development solutions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more than 30 years across more than 20 therapeutic areas. The Company leverages its global scale, clinical data insights, scientific and therapeutic expertise, technology innovation, industry network and decades of experience as a standalone company and as a business unit prior to its spin-off from Labcorp Holdings Inc. to deliver tailored solutions to its customers. With what the Company believes is a distinctive market offering, Fortrea meets growing global demand for clinical development services. The Company has established access to all key markets worldwide through a strategic footprint of primary office locations in five countries (the United States, the United Kingdom, China, India and Japan) with field operations in other jurisdictions worldwide.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Reportable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manages its business in one reportable segment, Clinical Services, that provides development and consulting services across the clinical pharmacology and clinical development spectrum.</w:t>
      </w:r>
    </w:p>
    <w:p>
      <w:pPr>
        <w:pStyle w:val="TextBody"/>
        <w:bidi w:val="0"/>
        <w:spacing w:lineRule="auto" w:line="288" w:before="0" w:after="180"/>
        <w:jc w:val="left"/>
        <w:rPr/>
      </w:pPr>
      <w:r>
        <w:rPr>
          <w:rFonts w:ascii="Times New Roman;serif" w:hAnsi="Times New Roman;serif"/>
          <w:b w:val="false"/>
          <w:color w:val="000000"/>
          <w:sz w:val="20"/>
        </w:rPr>
        <w:t>On March 9, 2024, the Company, together with its wholly-owned subsidiary, Fortrea Inc., entered into an Asset Purchase Agreement (the “Purchase Agreement”) with Endeavor Buyer LLC, an affiliate of Arsenal Capital Partners, to sell the operations of Fortrea Patient Access Inc. and its subsidiaries and Endpoint Clinical, Inc. and its subsidiaries; which are all collectively referred to as the Enabling Services Segment. The Transaction closed during the second quarter of 2024. Refer to Note 2, “Discontinued Operations” for further discussion</w:t>
      </w:r>
      <w:r>
        <w:rPr>
          <w:rFonts w:ascii="Times New Roman;serif" w:hAnsi="Times New Roman;serif"/>
          <w:b w:val="false"/>
          <w:i/>
          <w:color w:val="000000"/>
          <w:sz w:val="2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all periods presented, the Company's consolidated revenues from continuing operations were generated from the Clinical Services segment, which provides phase I-IV clinical trials, including clinical pharmacology and comprehensive clinical development capabilities. The Company’s chief operating decision maker allocates resources and assesses performance for the Clinical Services segment. For further financial information about the segment, see Note 14, “Business Segment Information”.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accordance with the definition of discontinued operations, the Company's decision to sell the assets relating to the Enabling Services Segment represented a strategic shift that had a major effect on the Company's results of operations for the periods presented. The operations of the Enabling Services Segment have been classified as income (loss) from discontinued operations on the condensed consolidated statements of operations for all periods presented.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noted, discussion within these notes to the condensed consolidated financial statements relates to the Company’s continuing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unaudited condensed consolidated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As such, the information included in this Quarterly Report on Form 10-Q should be read in conjunction with the Company’s audited consolidated and combined financial statements included in the Company’s Annual Report on Form 10-K for the fiscal year ended December 31, 2024.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accounts receivable and unbilled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accounts receivable and unbilled services are with companies in the pharmaceutical, biotechnology and medical device industries. As of September 30, 2025, one pharmaceutical customer accounted for approximately 23.4% of the Company's combined gross accounts receivable and unbilled services. As of December 31, 2024, two pharmaceutical companies accounted for approximately 22.2% and 13.8% of the Company's combined gross accounts receivable and unbilled services. Additionally, for the three months ended September 30, 2025, one customer accounted for approximately 19.8% of revenues, and for the nine months ended September 30, 2025, one customer accounted for approximately 18.3% of revenues. For the three months ended September 30, 2024, one customer accounted for approximately 15.1% of revenues, and for the nine months ended September 30, 2024, two customers accounted for approximately 14.2% and 10.4%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and Adopted Accounting Standards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guidance to require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income taxes paid by jurisdiction. This guidance is effective for fiscal years beginning after December 15, 2024, with early adoption permitted. The amendments should be applied prospectively; however, retrospective application is also permitted. The Company does not expect the adoption of this standard to have a material impact on its consolidated financial statements.</w:t>
      </w:r>
    </w:p>
    <w:p>
      <w:pPr>
        <w:pStyle w:val="TextBody"/>
        <w:bidi w:val="0"/>
        <w:spacing w:lineRule="auto" w:line="288" w:before="0" w:after="18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Disaggregation of Income Statement Expenses. The new guidance requires disclosure of certain costs and expenses in the notes to the financial statements. This guidance is effective for fiscal years beginning after December 15, 2026 and interim reporting periods beginning after December 15, 2027. Early adoption is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this guidance will have on its financial statement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new guidance simplifies the accounting for internally developed software by replacing the existing phase-based capitalization model with a principles-based approach that focuses on management’s authorization and the probability of project completion. The guidance is effective for fiscal years beginning after December 15, 2027, including interim periods within those fiscal years. Entities may apply the guidance using a prospective, retrospective, or modified transition approach, and early adoption is permitted. The Company is currently evaluating the impact this guidance will have on its consolidated financial statements and disclosures.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entered into the Purchase Agreement with Endeavor Buyer LLC, an affiliate of Arsenal Capital Partners, pursuant to which Fortrea Inc. agreed to sell, and to cause its affiliates to sell, net assets relating to its Enabling Services Segment (the “Transaction”), specifically its Patient Access and Endpoint businesses,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The Transaction closed during the second quarter of 2024. The first milestone payment in the amount of $20.0 was received in the first quarter of 2025. The second and final milestone payment in the amount of $25.0 was received in the third quarter of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Financial Information of Discontinued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line items included in income (loss) from discontinued operations, net of income tax in the condensed consolidated statements of operations for the three and nine months ended September 30, 2024:</w:t>
      </w:r>
    </w:p>
    <w:tbl>
      <w:tblPr>
        <w:tblW w:w="10205" w:type="dxa"/>
        <w:jc w:val="left"/>
        <w:tblInd w:w="0" w:type="dxa"/>
        <w:tblLayout w:type="fixed"/>
        <w:tblCellMar>
          <w:top w:w="28" w:type="dxa"/>
          <w:left w:w="28" w:type="dxa"/>
          <w:bottom w:w="28" w:type="dxa"/>
          <w:right w:w="28" w:type="dxa"/>
        </w:tblCellMar>
      </w:tblPr>
      <w:tblGrid>
        <w:gridCol w:w="1996"/>
        <w:gridCol w:w="1638"/>
        <w:gridCol w:w="1649"/>
        <w:gridCol w:w="109"/>
        <w:gridCol w:w="109"/>
        <w:gridCol w:w="590"/>
        <w:gridCol w:w="1177"/>
        <w:gridCol w:w="306"/>
        <w:gridCol w:w="109"/>
        <w:gridCol w:w="109"/>
        <w:gridCol w:w="109"/>
        <w:gridCol w:w="109"/>
        <w:gridCol w:w="109"/>
        <w:gridCol w:w="448"/>
        <w:gridCol w:w="1307"/>
        <w:gridCol w:w="331"/>
      </w:tblGrid>
      <w:tr>
        <w:trPr/>
        <w:tc>
          <w:tcPr>
            <w:tcW w:w="199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exclusive of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and goodwill asset impairments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a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181" w:type="dxa"/>
        <w:jc w:val="left"/>
        <w:tblInd w:w="0" w:type="dxa"/>
        <w:tblLayout w:type="fixed"/>
        <w:tblCellMar>
          <w:top w:w="28" w:type="dxa"/>
          <w:left w:w="28" w:type="dxa"/>
          <w:bottom w:w="28" w:type="dxa"/>
          <w:right w:w="28" w:type="dxa"/>
        </w:tblCellMar>
      </w:tblPr>
      <w:tblGrid>
        <w:gridCol w:w="1485"/>
        <w:gridCol w:w="1302"/>
        <w:gridCol w:w="1308"/>
        <w:gridCol w:w="109"/>
        <w:gridCol w:w="109"/>
        <w:gridCol w:w="764"/>
        <w:gridCol w:w="1523"/>
        <w:gridCol w:w="397"/>
        <w:gridCol w:w="109"/>
        <w:gridCol w:w="109"/>
        <w:gridCol w:w="109"/>
        <w:gridCol w:w="109"/>
        <w:gridCol w:w="109"/>
        <w:gridCol w:w="585"/>
        <w:gridCol w:w="1627"/>
        <w:gridCol w:w="427"/>
      </w:tblGrid>
      <w:tr>
        <w:trPr/>
        <w:tc>
          <w:tcPr>
            <w:tcW w:w="148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of discontinued component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4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2024, as a result of the negotiated sale price of the Patient Access and Endpoint businesses, the Company evaluated the Enabling Services Segment for impairment and determined that it was more likely than not that the carrying value of the assets exceeded its fair value. Accordingly, an impairment analysis was performed, which resulted in a goodwill impairment charge of $24.0.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the condensed consolidated statements of cash flows. The following table summarizes depreciation and amortization, capital expenditures and the significant cash flow and noncash items from discontinued operations for the nine months ended September 30, 2024:</w:t>
      </w:r>
    </w:p>
    <w:tbl>
      <w:tblPr>
        <w:tblW w:w="5670" w:type="dxa"/>
        <w:jc w:val="left"/>
        <w:tblInd w:w="0" w:type="dxa"/>
        <w:tblLayout w:type="fixed"/>
        <w:tblCellMar>
          <w:top w:w="28" w:type="dxa"/>
          <w:left w:w="28" w:type="dxa"/>
          <w:bottom w:w="28" w:type="dxa"/>
          <w:right w:w="28" w:type="dxa"/>
        </w:tblCellMar>
      </w:tblPr>
      <w:tblGrid>
        <w:gridCol w:w="939"/>
        <w:gridCol w:w="826"/>
        <w:gridCol w:w="829"/>
        <w:gridCol w:w="109"/>
        <w:gridCol w:w="109"/>
        <w:gridCol w:w="754"/>
        <w:gridCol w:w="1451"/>
        <w:gridCol w:w="390"/>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were no significant operating or investing noncash items related to discontinued operations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revenues by geography for the three and nine months ended September 30, 2025 and 2024 are as follows:</w:t>
      </w:r>
    </w:p>
    <w:tbl>
      <w:tblPr>
        <w:tblW w:w="105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0858" w:type="dxa"/>
        <w:jc w:val="left"/>
        <w:tblInd w:w="0" w:type="dxa"/>
        <w:tblLayout w:type="fixed"/>
        <w:tblCellMar>
          <w:top w:w="28" w:type="dxa"/>
          <w:left w:w="28" w:type="dxa"/>
          <w:bottom w:w="28" w:type="dxa"/>
          <w:right w:w="28" w:type="dxa"/>
        </w:tblCellMar>
      </w:tblPr>
      <w:tblGrid>
        <w:gridCol w:w="266"/>
        <w:gridCol w:w="234"/>
        <w:gridCol w:w="2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the United States comprises substantially all revenue in North America.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 balances:</w:t>
      </w:r>
    </w:p>
    <w:tbl>
      <w:tblPr>
        <w:tblW w:w="5486" w:type="dxa"/>
        <w:jc w:val="left"/>
        <w:tblInd w:w="0" w:type="dxa"/>
        <w:tblLayout w:type="fixed"/>
        <w:tblCellMar>
          <w:top w:w="28" w:type="dxa"/>
          <w:left w:w="28" w:type="dxa"/>
          <w:bottom w:w="28" w:type="dxa"/>
          <w:right w:w="28" w:type="dxa"/>
        </w:tblCellMar>
      </w:tblPr>
      <w:tblGrid>
        <w:gridCol w:w="750"/>
        <w:gridCol w:w="659"/>
        <w:gridCol w:w="661"/>
        <w:gridCol w:w="392"/>
        <w:gridCol w:w="949"/>
        <w:gridCol w:w="204"/>
        <w:gridCol w:w="109"/>
        <w:gridCol w:w="109"/>
        <w:gridCol w:w="109"/>
        <w:gridCol w:w="372"/>
        <w:gridCol w:w="901"/>
        <w:gridCol w:w="271"/>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commission assets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Amortization related to sales commission assets for the three months ended September 30, 2025 and 2024 was $3.0 and $2.9, respectively, and for the nine months ended September 30, 2025 and 2024 was $8.9 and $8.5, respectively. Amortization related to deferred contract costs for the three months ended September 30, 2025 and 2024 was $0.2 and $0.6, respectively, and for the nine months ended September 30, 2025 and 2024 was $0.6 and $1.5, respectively. The Company applies the practical expedient to n</w:t>
      </w:r>
      <w:r>
        <w:rPr>
          <w:rFonts w:ascii="Times New Roman;serif" w:hAnsi="Times New Roman;serif"/>
          <w:b w:val="false"/>
          <w:color w:val="000000"/>
          <w:sz w:val="20"/>
          <w:shd w:fill="FFFFFF" w:val="clear"/>
        </w:rPr>
        <w:t>ot recognize the effect of financing in its contracts with customers when the difference in timing of payment and performance is one year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Accounts Receivable, Unbilled Services and Unearned Revenue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services and unearned revenue from contracts with customers:</w:t>
      </w:r>
    </w:p>
    <w:tbl>
      <w:tblPr>
        <w:tblW w:w="6131" w:type="dxa"/>
        <w:jc w:val="left"/>
        <w:tblInd w:w="0" w:type="dxa"/>
        <w:tblLayout w:type="fixed"/>
        <w:tblCellMar>
          <w:top w:w="28" w:type="dxa"/>
          <w:left w:w="28" w:type="dxa"/>
          <w:bottom w:w="28" w:type="dxa"/>
          <w:right w:w="28" w:type="dxa"/>
        </w:tblCellMar>
      </w:tblPr>
      <w:tblGrid>
        <w:gridCol w:w="984"/>
        <w:gridCol w:w="864"/>
        <w:gridCol w:w="867"/>
        <w:gridCol w:w="348"/>
        <w:gridCol w:w="1017"/>
        <w:gridCol w:w="180"/>
        <w:gridCol w:w="109"/>
        <w:gridCol w:w="109"/>
        <w:gridCol w:w="109"/>
        <w:gridCol w:w="332"/>
        <w:gridCol w:w="970"/>
        <w:gridCol w:w="242"/>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services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 xml:space="preserve">Revenue recognized during the period that was included in the unearned revenue balance at the beginning of the period was $217.9 and $147.6 for the nine months ended September 30, 2025 and 2024, respectively. Additionally, as of the quarter ended September 30, 2025, the Company had sold $300.0 of receivables as described in the </w:t>
      </w:r>
      <w:r>
        <w:rPr>
          <w:rFonts w:ascii="Times New Roman;serif" w:hAnsi="Times New Roman;serif"/>
          <w:b w:val="false"/>
          <w:i/>
          <w:color w:val="000000"/>
          <w:sz w:val="20"/>
        </w:rPr>
        <w:t>Receivables Securitization Program</w:t>
      </w:r>
      <w:r>
        <w:rPr>
          <w:color w:val="000000"/>
        </w:rPr>
        <w:t xml:space="preserve"> </w:t>
      </w:r>
      <w:r>
        <w:rPr>
          <w:rFonts w:ascii="Times New Roman;serif" w:hAnsi="Times New Roman;serif"/>
          <w:b w:val="false"/>
          <w:color w:val="000000"/>
          <w:sz w:val="20"/>
        </w:rPr>
        <w:t>section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Loss Rollforward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future expected losses on accounts receivable and unbilled services over the remaining collection period of the instrument.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rollforward for the allowance for credit losses for the nine months ended September 30, 2025 is as follows:</w:t>
      </w:r>
    </w:p>
    <w:tbl>
      <w:tblPr>
        <w:tblW w:w="5256" w:type="dxa"/>
        <w:jc w:val="left"/>
        <w:tblInd w:w="0" w:type="dxa"/>
        <w:tblLayout w:type="fixed"/>
        <w:tblCellMar>
          <w:top w:w="28" w:type="dxa"/>
          <w:left w:w="28" w:type="dxa"/>
          <w:bottom w:w="28" w:type="dxa"/>
          <w:right w:w="28" w:type="dxa"/>
        </w:tblCellMar>
      </w:tblPr>
      <w:tblGrid>
        <w:gridCol w:w="1587"/>
        <w:gridCol w:w="1392"/>
        <w:gridCol w:w="1401"/>
        <w:gridCol w:w="211"/>
        <w:gridCol w:w="51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 Under Long-Term Contracts</w:t>
      </w:r>
    </w:p>
    <w:p>
      <w:pPr>
        <w:pStyle w:val="TextBody"/>
        <w:bidi w:val="0"/>
        <w:spacing w:lineRule="auto" w:line="288" w:before="0" w:after="180"/>
        <w:jc w:val="left"/>
        <w:rPr/>
      </w:pPr>
      <w:r>
        <w:rPr>
          <w:rFonts w:ascii="Times New Roman;serif" w:hAnsi="Times New Roman;serif"/>
          <w:b w:val="false"/>
          <w:color w:val="000000"/>
          <w:sz w:val="20"/>
        </w:rPr>
        <w:t>As of September 30, 2025, approximately $4,547.7 of revenues are expected to be recognized from remaining performance obligations. The Company expects to recognize approximately 29% of the existing performance obligations as of September 30, 2025 as revenue over the next 12 months and the remaining balance thereafter. The Company’s long-term contracts generally range from one to</w:t>
      </w:r>
      <w:r>
        <w:rPr>
          <w:color w:val="EE2724"/>
        </w:rPr>
        <w:t xml:space="preserve"> </w:t>
      </w:r>
      <w:r>
        <w:rPr>
          <w:rFonts w:ascii="Times New Roman;serif" w:hAnsi="Times New Roman;serif"/>
          <w:b w:val="false"/>
          <w:color w:val="000000"/>
          <w:sz w:val="20"/>
        </w:rPr>
        <w:t>eight years.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there were reductions of approximately $10 and $26, respectively, in revenue related to performance obligations partially satisfied in previous periods. For the three months ended September 30, 2025, the majority of the change was associated with changes in estimated effort to complete customer contract obligations and a smaller portion related to changes in scope or price. For the nine months ended September 30, 2025, the change was associated with both changes in estimated effort to complete customer contract obligations and changes in scope or price. For the three months ended September 30, 2025, the change in estimate resulted in an estimated reduction to revenue of $7, and an increase in loss from continuing operations of $4 and in loss per share of $0.04. For the nine months ended September 30, 2025, the change in estimate resulted in an estimated reduction to revenue of $13, and an increase in loss from continuing operations of $13 and in loss per share of $0.14.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2024, there were reductions of approximately $6 and $58, respectively, in revenue related to performance obligations partially satisfied in previous periods. For the three months ended September 30, 2024, the majority of the change was associated with changes in estimated effort to complete customer contract obligations and a smaller portion related to changes in scope or price. For the three months ended September 30, 2024, the change in estimate resulted in an estimated reduction to revenue of $4, and an increase in loss from continuing operations of $2 and in loss per share of $0.02. For the nine months ended September 30, 2024, the change in estimate resulted in an estimated reduction to revenue of $25, and an increase in loss from continuing operations of $25 and in loss per share of $0.28. </w:t>
      </w:r>
    </w:p>
    <w:p>
      <w:pPr>
        <w:pStyle w:val="TextBody"/>
        <w:bidi w:val="0"/>
        <w:spacing w:lineRule="auto" w:line="276" w:before="0" w:after="180"/>
        <w:jc w:val="left"/>
        <w:rPr/>
      </w:pPr>
      <w:r>
        <w:rPr>
          <w:rFonts w:ascii="Times New Roman;serif" w:hAnsi="Times New Roman;serif"/>
          <w:b w:val="false"/>
          <w:color w:val="000000"/>
          <w:sz w:val="20"/>
          <w:shd w:fill="FFFFFF" w:val="clear"/>
        </w:rPr>
        <w:t>The Company applies the practical expedient and does not disclose information about remaining performance obligations</w:t>
      </w:r>
      <w:r>
        <w:rPr>
          <w:color w:val="000000"/>
        </w:rPr>
        <w:t xml:space="preserve"> </w:t>
      </w:r>
      <w:r>
        <w:rPr>
          <w:rFonts w:ascii="Times New Roman;serif" w:hAnsi="Times New Roman;serif"/>
          <w:b w:val="false"/>
          <w:color w:val="000000"/>
          <w:sz w:val="20"/>
        </w:rPr>
        <w:t>where (i) the performance obligation is part of a contract that has an original expected duration of one year or less or (ii) when the Company recognizes revenue from the satisfaction of the performance obligation in accordance with the right-to-invoice practical expedient.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Receivables Securitization Program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2024, the Company entered into a three-year $300.0 accounts receivable securitization program (the “Receivables Facility”). Under this program, Fortrea Inc. conveys receivable balances to a wholly-owned, bankruptcy-remote special purpose entity (“SPE”), who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 held by the SPE are pledged as collateral to secure the collectability of the sold receivables. The Receivables Facility is scheduled to terminate on May 6, 2027, unless terminated earlier pursuant to its terms. </w:t>
      </w:r>
    </w:p>
    <w:p>
      <w:pPr>
        <w:pStyle w:val="TextBody"/>
        <w:bidi w:val="0"/>
        <w:spacing w:lineRule="auto" w:line="288" w:before="0" w:after="180"/>
        <w:jc w:val="left"/>
        <w:rPr/>
      </w:pPr>
      <w:r>
        <w:rPr>
          <w:rFonts w:ascii="Times New Roman;serif" w:hAnsi="Times New Roman;serif"/>
          <w:b w:val="false"/>
          <w:color w:val="000000"/>
          <w:sz w:val="20"/>
        </w:rPr>
        <w:t xml:space="preserve">As of September 30, 2025, the Company had sold $300.0 of receivables, which were derecognized from the Company’s consolidated balance sheet as described in the </w:t>
      </w:r>
      <w:r>
        <w:rPr>
          <w:rFonts w:ascii="Times New Roman;serif" w:hAnsi="Times New Roman;serif"/>
          <w:b w:val="false"/>
          <w:i/>
          <w:color w:val="000000"/>
          <w:sz w:val="20"/>
        </w:rPr>
        <w:t>Accounts Receivable, Unbilled Services and Unearned Revenue</w:t>
      </w:r>
      <w:r>
        <w:rPr>
          <w:color w:val="000000"/>
        </w:rPr>
        <w:t xml:space="preserve"> </w:t>
      </w:r>
      <w:r>
        <w:rPr>
          <w:rFonts w:ascii="Times New Roman;serif" w:hAnsi="Times New Roman;serif"/>
          <w:b w:val="false"/>
          <w:color w:val="000000"/>
          <w:sz w:val="20"/>
        </w:rPr>
        <w:t xml:space="preserve">section above. Total costs associated with the sale were $4.5 and $13.4 for the three and nine months ended September 30, 2025, and $5.3 and $7.4 for the three and nine months ended September 30, 2024, respectively. These costs are included within selling, general and administrative costs in the condensed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RESTRUCTURING AND OTHER CHARGES</w:t>
      </w:r>
    </w:p>
    <w:p>
      <w:pPr>
        <w:pStyle w:val="TextBody"/>
        <w:bidi w:val="0"/>
        <w:spacing w:lineRule="auto" w:line="288" w:before="0" w:after="180"/>
        <w:jc w:val="left"/>
        <w:rPr/>
      </w:pPr>
      <w:r>
        <w:rPr>
          <w:rFonts w:ascii="Times New Roman;serif" w:hAnsi="Times New Roman;serif"/>
          <w:b w:val="false"/>
          <w:color w:val="000000"/>
          <w:sz w:val="20"/>
        </w:rPr>
        <w:t xml:space="preserve">In the fourth quarter of 2024, the Company approved a restructuring plan to streamline its operations and eliminate redundant positions. This plan, which relates primarily to severance benefits, was accounted for under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Action under this restructuring plan is expected to continue through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Company’s restructuring accrual activities for the periods indicated:</w:t>
      </w:r>
    </w:p>
    <w:tbl>
      <w:tblPr>
        <w:tblW w:w="9419" w:type="dxa"/>
        <w:jc w:val="left"/>
        <w:tblInd w:w="0" w:type="dxa"/>
        <w:tblLayout w:type="fixed"/>
        <w:tblCellMar>
          <w:top w:w="28" w:type="dxa"/>
          <w:left w:w="28" w:type="dxa"/>
          <w:bottom w:w="28" w:type="dxa"/>
          <w:right w:w="28" w:type="dxa"/>
        </w:tblCellMar>
      </w:tblPr>
      <w:tblGrid>
        <w:gridCol w:w="1152"/>
        <w:gridCol w:w="1011"/>
        <w:gridCol w:w="1017"/>
        <w:gridCol w:w="714"/>
        <w:gridCol w:w="1734"/>
        <w:gridCol w:w="372"/>
        <w:gridCol w:w="109"/>
        <w:gridCol w:w="109"/>
        <w:gridCol w:w="109"/>
        <w:gridCol w:w="549"/>
        <w:gridCol w:w="1057"/>
        <w:gridCol w:w="283"/>
        <w:gridCol w:w="109"/>
        <w:gridCol w:w="109"/>
        <w:gridCol w:w="109"/>
        <w:gridCol w:w="211"/>
        <w:gridCol w:w="51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38" w:type="dxa"/>
        <w:jc w:val="left"/>
        <w:tblInd w:w="0" w:type="dxa"/>
        <w:tblLayout w:type="fixed"/>
        <w:tblCellMar>
          <w:top w:w="28" w:type="dxa"/>
          <w:left w:w="28" w:type="dxa"/>
          <w:bottom w:w="28" w:type="dxa"/>
          <w:right w:w="28" w:type="dxa"/>
        </w:tblCellMar>
      </w:tblPr>
      <w:tblGrid>
        <w:gridCol w:w="1233"/>
        <w:gridCol w:w="1082"/>
        <w:gridCol w:w="1089"/>
        <w:gridCol w:w="818"/>
        <w:gridCol w:w="1576"/>
        <w:gridCol w:w="426"/>
        <w:gridCol w:w="109"/>
        <w:gridCol w:w="109"/>
        <w:gridCol w:w="109"/>
        <w:gridCol w:w="549"/>
        <w:gridCol w:w="1057"/>
        <w:gridCol w:w="283"/>
        <w:gridCol w:w="109"/>
        <w:gridCol w:w="109"/>
        <w:gridCol w:w="109"/>
        <w:gridCol w:w="211"/>
        <w:gridCol w:w="406"/>
        <w:gridCol w:w="154"/>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 and Other 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prior restructuring accruals</w:t>
            </w:r>
          </w:p>
        </w:tc>
        <w:tc>
          <w:tcPr>
            <w:tcW w:w="2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 adjustments</w:t>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restructuring liabilities are current as of September 30, 2025 and December 31, 2024 and are included in accrued expenses and other current liabilities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EARNINGS (LOSS)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share units (“PSUs”).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from continuing operations per share. </w:t>
      </w:r>
    </w:p>
    <w:tbl>
      <w:tblPr>
        <w:tblW w:w="10205" w:type="dxa"/>
        <w:jc w:val="left"/>
        <w:tblInd w:w="0" w:type="dxa"/>
        <w:tblLayout w:type="fixed"/>
        <w:tblCellMar>
          <w:top w:w="28" w:type="dxa"/>
          <w:left w:w="28" w:type="dxa"/>
          <w:bottom w:w="28" w:type="dxa"/>
          <w:right w:w="28" w:type="dxa"/>
        </w:tblCellMar>
      </w:tblPr>
      <w:tblGrid>
        <w:gridCol w:w="1067"/>
        <w:gridCol w:w="937"/>
        <w:gridCol w:w="940"/>
        <w:gridCol w:w="109"/>
        <w:gridCol w:w="109"/>
        <w:gridCol w:w="109"/>
        <w:gridCol w:w="211"/>
        <w:gridCol w:w="549"/>
        <w:gridCol w:w="109"/>
        <w:gridCol w:w="109"/>
        <w:gridCol w:w="109"/>
        <w:gridCol w:w="109"/>
        <w:gridCol w:w="255"/>
        <w:gridCol w:w="256"/>
        <w:gridCol w:w="186"/>
        <w:gridCol w:w="109"/>
        <w:gridCol w:w="109"/>
        <w:gridCol w:w="109"/>
        <w:gridCol w:w="254"/>
        <w:gridCol w:w="672"/>
        <w:gridCol w:w="131"/>
        <w:gridCol w:w="109"/>
        <w:gridCol w:w="109"/>
        <w:gridCol w:w="109"/>
        <w:gridCol w:w="211"/>
        <w:gridCol w:w="549"/>
        <w:gridCol w:w="109"/>
        <w:gridCol w:w="109"/>
        <w:gridCol w:w="109"/>
        <w:gridCol w:w="109"/>
        <w:gridCol w:w="255"/>
        <w:gridCol w:w="256"/>
        <w:gridCol w:w="186"/>
        <w:gridCol w:w="109"/>
        <w:gridCol w:w="109"/>
        <w:gridCol w:w="109"/>
        <w:gridCol w:w="252"/>
        <w:gridCol w:w="666"/>
        <w:gridCol w:w="192"/>
      </w:tblGrid>
      <w:tr>
        <w:trPr/>
        <w:tc>
          <w:tcPr>
            <w:tcW w:w="106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7"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continuing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2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987"/>
        <w:gridCol w:w="866"/>
        <w:gridCol w:w="869"/>
        <w:gridCol w:w="109"/>
        <w:gridCol w:w="109"/>
        <w:gridCol w:w="109"/>
        <w:gridCol w:w="211"/>
        <w:gridCol w:w="652"/>
        <w:gridCol w:w="109"/>
        <w:gridCol w:w="109"/>
        <w:gridCol w:w="109"/>
        <w:gridCol w:w="109"/>
        <w:gridCol w:w="255"/>
        <w:gridCol w:w="256"/>
        <w:gridCol w:w="186"/>
        <w:gridCol w:w="109"/>
        <w:gridCol w:w="109"/>
        <w:gridCol w:w="109"/>
        <w:gridCol w:w="238"/>
        <w:gridCol w:w="741"/>
        <w:gridCol w:w="122"/>
        <w:gridCol w:w="109"/>
        <w:gridCol w:w="109"/>
        <w:gridCol w:w="109"/>
        <w:gridCol w:w="211"/>
        <w:gridCol w:w="652"/>
        <w:gridCol w:w="109"/>
        <w:gridCol w:w="109"/>
        <w:gridCol w:w="109"/>
        <w:gridCol w:w="109"/>
        <w:gridCol w:w="255"/>
        <w:gridCol w:w="256"/>
        <w:gridCol w:w="186"/>
        <w:gridCol w:w="109"/>
        <w:gridCol w:w="109"/>
        <w:gridCol w:w="109"/>
        <w:gridCol w:w="248"/>
        <w:gridCol w:w="650"/>
        <w:gridCol w:w="184"/>
      </w:tblGrid>
      <w:tr>
        <w:trPr/>
        <w:tc>
          <w:tcPr>
            <w:tcW w:w="98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6"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continuing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represents the computation of basic and diluted earnings (loss) per share from discontinued operations per share. </w:t>
      </w:r>
    </w:p>
    <w:tbl>
      <w:tblPr>
        <w:tblW w:w="10205" w:type="dxa"/>
        <w:jc w:val="left"/>
        <w:tblInd w:w="0" w:type="dxa"/>
        <w:tblLayout w:type="fixed"/>
        <w:tblCellMar>
          <w:top w:w="28" w:type="dxa"/>
          <w:left w:w="28" w:type="dxa"/>
          <w:bottom w:w="28" w:type="dxa"/>
          <w:right w:w="28" w:type="dxa"/>
        </w:tblCellMar>
      </w:tblPr>
      <w:tblGrid>
        <w:gridCol w:w="1203"/>
        <w:gridCol w:w="1055"/>
        <w:gridCol w:w="1060"/>
        <w:gridCol w:w="109"/>
        <w:gridCol w:w="109"/>
        <w:gridCol w:w="109"/>
        <w:gridCol w:w="211"/>
        <w:gridCol w:w="406"/>
        <w:gridCol w:w="109"/>
        <w:gridCol w:w="109"/>
        <w:gridCol w:w="109"/>
        <w:gridCol w:w="109"/>
        <w:gridCol w:w="203"/>
        <w:gridCol w:w="203"/>
        <w:gridCol w:w="186"/>
        <w:gridCol w:w="109"/>
        <w:gridCol w:w="109"/>
        <w:gridCol w:w="109"/>
        <w:gridCol w:w="294"/>
        <w:gridCol w:w="567"/>
        <w:gridCol w:w="152"/>
        <w:gridCol w:w="109"/>
        <w:gridCol w:w="109"/>
        <w:gridCol w:w="109"/>
        <w:gridCol w:w="211"/>
        <w:gridCol w:w="447"/>
        <w:gridCol w:w="109"/>
        <w:gridCol w:w="109"/>
        <w:gridCol w:w="109"/>
        <w:gridCol w:w="109"/>
        <w:gridCol w:w="255"/>
        <w:gridCol w:w="256"/>
        <w:gridCol w:w="186"/>
        <w:gridCol w:w="109"/>
        <w:gridCol w:w="109"/>
        <w:gridCol w:w="109"/>
        <w:gridCol w:w="257"/>
        <w:gridCol w:w="681"/>
        <w:gridCol w:w="192"/>
      </w:tblGrid>
      <w:tr>
        <w:trPr/>
        <w:tc>
          <w:tcPr>
            <w:tcW w:w="120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discontinued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73"/>
        <w:gridCol w:w="1028"/>
        <w:gridCol w:w="1033"/>
        <w:gridCol w:w="109"/>
        <w:gridCol w:w="109"/>
        <w:gridCol w:w="109"/>
        <w:gridCol w:w="211"/>
        <w:gridCol w:w="406"/>
        <w:gridCol w:w="109"/>
        <w:gridCol w:w="109"/>
        <w:gridCol w:w="109"/>
        <w:gridCol w:w="109"/>
        <w:gridCol w:w="203"/>
        <w:gridCol w:w="203"/>
        <w:gridCol w:w="186"/>
        <w:gridCol w:w="109"/>
        <w:gridCol w:w="109"/>
        <w:gridCol w:w="109"/>
        <w:gridCol w:w="291"/>
        <w:gridCol w:w="561"/>
        <w:gridCol w:w="150"/>
        <w:gridCol w:w="109"/>
        <w:gridCol w:w="109"/>
        <w:gridCol w:w="109"/>
        <w:gridCol w:w="211"/>
        <w:gridCol w:w="551"/>
        <w:gridCol w:w="109"/>
        <w:gridCol w:w="109"/>
        <w:gridCol w:w="109"/>
        <w:gridCol w:w="109"/>
        <w:gridCol w:w="255"/>
        <w:gridCol w:w="256"/>
        <w:gridCol w:w="186"/>
        <w:gridCol w:w="109"/>
        <w:gridCol w:w="109"/>
        <w:gridCol w:w="109"/>
        <w:gridCol w:w="255"/>
        <w:gridCol w:w="675"/>
        <w:gridCol w:w="191"/>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Per Share Amount</w:t>
            </w:r>
          </w:p>
        </w:tc>
      </w:tr>
      <w:tr>
        <w:trPr/>
        <w:tc>
          <w:tcPr>
            <w:tcW w:w="32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from discontinued operations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 There were no dilutive common shares for any period presented as the inclusion would be antidilutive.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potential common shares not included in the computation of diluted earnings per share because their impact would have been antidilutive:</w:t>
      </w:r>
    </w:p>
    <w:tbl>
      <w:tblPr>
        <w:tblW w:w="10205" w:type="dxa"/>
        <w:jc w:val="left"/>
        <w:tblInd w:w="0" w:type="dxa"/>
        <w:tblLayout w:type="fixed"/>
        <w:tblCellMar>
          <w:top w:w="28" w:type="dxa"/>
          <w:left w:w="28" w:type="dxa"/>
          <w:bottom w:w="28" w:type="dxa"/>
          <w:right w:w="28" w:type="dxa"/>
        </w:tblCellMar>
      </w:tblPr>
      <w:tblGrid>
        <w:gridCol w:w="2216"/>
        <w:gridCol w:w="1900"/>
        <w:gridCol w:w="1912"/>
        <w:gridCol w:w="208"/>
        <w:gridCol w:w="198"/>
        <w:gridCol w:w="159"/>
        <w:gridCol w:w="159"/>
        <w:gridCol w:w="159"/>
        <w:gridCol w:w="159"/>
        <w:gridCol w:w="208"/>
        <w:gridCol w:w="198"/>
        <w:gridCol w:w="159"/>
        <w:gridCol w:w="109"/>
        <w:gridCol w:w="109"/>
        <w:gridCol w:w="109"/>
        <w:gridCol w:w="280"/>
        <w:gridCol w:w="230"/>
        <w:gridCol w:w="225"/>
        <w:gridCol w:w="225"/>
        <w:gridCol w:w="225"/>
        <w:gridCol w:w="225"/>
        <w:gridCol w:w="280"/>
        <w:gridCol w:w="230"/>
        <w:gridCol w:w="323"/>
      </w:tblGrid>
      <w:tr>
        <w:trPr/>
        <w:tc>
          <w:tcPr>
            <w:tcW w:w="221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options and awards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employee stock options and awards excluded based on reporting a net loss for the period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policy is to assess goodwill for impairment annually as of October 1, with more frequent assessments if events or changes in circumstances indicate the carrying amount may not be recoverable. Based on the annual test performed on October 1, 2024, it was previously determined that the fair values of the Company’s reporting units were greater than the carrying values, resulting in no impairment. For the Clinical Development reporting unit, the fair value of the business exceeded the carrying value by approximately 10% as of October 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2025, due to sustained declines in the Company’s share price and uncertainties in global macroeconomic conditions, the Company determined that indicators of impairment existed. As a result, the Company performed interim impairment tests as of March 31, 2025 and June 30, 2025. There were no indicators of impairment for the three months ended September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March 31, 2025, the Company concluded that the fair value of the Clinical Development reporting unit was less than its carrying value and recorded a goodwill impairment of $488.8.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June 30, 2025, the Company concluded that the fair value of the Clinical Development reporting unit was less than its carrying value and recorded a goodwill impairment of $309.1.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goodwill impairment tests, the fair values of the Clinical Development and Clinical Pharmacology reporting units were computed using both income-based and market-based valuation methods. The income-based approach is based on the reporting unit's forecasted future cash flows that are discounted to the present value using the reporting unit's weighted average cost of capital. The discount rate used reflects the risks inherent in realizing the forecasted cash flows and considers the risk-free rate of return on long-term treasury securities, the risk premium associated with investing in equity securities of comparable companies, the beta obtained from the comparable companies and the cost of debt for investment grade issuers. The discount rate used for the Clinical Development reporting unit quantitative assessments as of March 31, 2025 and June 30, 2025 was 10.0% and 10.5%, respectively. The increase in the discount rate was primarily the result of macroeconomic and market factors and impacted the impairment during the second quarter of 2025 by approximately $60.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market-based approach, the Company utilizes a number of factors such as publicly available information regarding the market capitalization of the Company as well as operating results, business plans, market multiples, and present value techniques. Based upon the range of estimated values developed from the income and market-based methods, the Company determines the estimated fair value for the reporting unit. The resulting estimated fair values of the combined reporting units are reconciled to the Company's market capitalization including an estimated implied control premium. The share price used to calculate the Company’s market capitalization was $7.55 per share and $4.94 per share as of March 31, 2025 and June 30, 2025,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nine months ended September 30, 2025 and 2024 are as follows:</w:t>
      </w:r>
    </w:p>
    <w:tbl>
      <w:tblPr>
        <w:tblW w:w="7463" w:type="dxa"/>
        <w:jc w:val="left"/>
        <w:tblInd w:w="0" w:type="dxa"/>
        <w:tblLayout w:type="fixed"/>
        <w:tblCellMar>
          <w:top w:w="28" w:type="dxa"/>
          <w:left w:w="28" w:type="dxa"/>
          <w:bottom w:w="28" w:type="dxa"/>
          <w:right w:w="28" w:type="dxa"/>
        </w:tblCellMar>
      </w:tblPr>
      <w:tblGrid>
        <w:gridCol w:w="1781"/>
        <w:gridCol w:w="1564"/>
        <w:gridCol w:w="1574"/>
        <w:gridCol w:w="211"/>
        <w:gridCol w:w="766"/>
        <w:gridCol w:w="109"/>
        <w:gridCol w:w="109"/>
        <w:gridCol w:w="109"/>
        <w:gridCol w:w="109"/>
        <w:gridCol w:w="211"/>
        <w:gridCol w:w="76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458" w:type="dxa"/>
            <w:gridSpan w:val="6"/>
            <w:tcBorders/>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 and other adjustments to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current portion of long-term debt consisted of the following:</w:t>
      </w:r>
    </w:p>
    <w:tbl>
      <w:tblPr>
        <w:tblW w:w="8861" w:type="dxa"/>
        <w:jc w:val="left"/>
        <w:tblInd w:w="0" w:type="dxa"/>
        <w:tblLayout w:type="fixed"/>
        <w:tblCellMar>
          <w:top w:w="28" w:type="dxa"/>
          <w:left w:w="28" w:type="dxa"/>
          <w:bottom w:w="28" w:type="dxa"/>
          <w:right w:w="28" w:type="dxa"/>
        </w:tblCellMar>
      </w:tblPr>
      <w:tblGrid>
        <w:gridCol w:w="1968"/>
        <w:gridCol w:w="1731"/>
        <w:gridCol w:w="1746"/>
        <w:gridCol w:w="392"/>
        <w:gridCol w:w="949"/>
        <w:gridCol w:w="204"/>
        <w:gridCol w:w="109"/>
        <w:gridCol w:w="109"/>
        <w:gridCol w:w="109"/>
        <w:gridCol w:w="372"/>
        <w:gridCol w:w="901"/>
        <w:gridCol w:w="271"/>
      </w:tblGrid>
      <w:tr>
        <w:trPr/>
        <w:tc>
          <w:tcPr>
            <w:tcW w:w="196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7.5% senior notes due 2030</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 and current portion of long-term debt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6701" w:type="dxa"/>
        <w:jc w:val="left"/>
        <w:tblInd w:w="0" w:type="dxa"/>
        <w:tblLayout w:type="fixed"/>
        <w:tblCellMar>
          <w:top w:w="28" w:type="dxa"/>
          <w:left w:w="28" w:type="dxa"/>
          <w:bottom w:w="28" w:type="dxa"/>
          <w:right w:w="28" w:type="dxa"/>
        </w:tblCellMar>
      </w:tblPr>
      <w:tblGrid>
        <w:gridCol w:w="1188"/>
        <w:gridCol w:w="1045"/>
        <w:gridCol w:w="1051"/>
        <w:gridCol w:w="300"/>
        <w:gridCol w:w="1090"/>
        <w:gridCol w:w="155"/>
        <w:gridCol w:w="109"/>
        <w:gridCol w:w="109"/>
        <w:gridCol w:w="109"/>
        <w:gridCol w:w="288"/>
        <w:gridCol w:w="1047"/>
        <w:gridCol w:w="210"/>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7.5% senior notes due 2030</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A due 2028</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term loan B due 2030</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facility</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discount and fees</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2024, the Company paid down $0.0 and $70.2, respectively, on its senior secured term loan A due 2028 (“term loan A”) and $0.0 and $412.5, respectively, on its senior secured term loan B due 2030 (“term loan B”). Additionally, in the second quarter of 2024, the Company wrote off $12.2 of unamortized debt issuance costs associated with the pay down of debt, which were recorded in interest expense in the condensed consolidated statements of operations during the nine months ended September 30,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bond indenture for the Notes contains an asset sale covenant that effectively requires the Company to utilize a prorated portion of the Net Cash Proceeds from an Asset Sale, each as defined in the indenture, to retire Notes at par. As a result of Fortrea’s sale of assets relating to its Enabling Services Segment, Fortrea intends to repurchase up to $75.7 of the Notes in accordance with the terms of the indenture by the end of November 2025, which amount has been classified as current portion of long-term debt in the consolidated balance sheet as of September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drew on the term loan A and term loan B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September 30, 2025, the effective interest rate on the term loan A and term loan B was 6.26% and 8.06%,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is permitted, subject to certain covenant restrictions, to be used for general corporate purposes, including working capital and capital expenditures. There were no balances outstanding on the Company’s revolving credit facility and there were $2.3 in letters of credit issued under the letter of credit sublimit, resulting in $447.7 available for borrowing as of September 30, 2025. No balances were outstanding as of December 31, 2024. As of September 30, 2025, the effective interest rate on the revolving credit facility was 6.16%, assuming a one-month interest election. There is an annual agency fee associated with the Credit Agreement ($0.1 paid in quarterly installments) and a variable commitment fee associated with the revolving credit facility based on the Company’s Total Leverage Ratio as defined under the Credit Agreement. As of September 30, 2025, the commitment fee was 0.30% (per annum and paid quarterly). The credit facility matures on June 30, 2028.</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February 28, 2025, the Company entered into an amendment to modify certain financial covenants for additional flexibility under the Credit Agreement. The Company was in compliance with all covenants in the Credit Agreement at September 30, 2025 and believes it will be in compliance with all covenants for a period of at least 12 months from the date these financial statements are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DERIVATIVE INSTRUMENTS AND HEDGING ACTIVITIES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Derivative Instruments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addresses its exposure to market risks, principally the market risk associated with changes in interest rates and foreign currency exchange rates, through a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interest rate swaps and foreign currency forward contracts are determined based on observable market inputs (Level 2). The table below presents the fair value of the Company’s derivatives on a gross basis and the balance sheet classification of those instruments:</w:t>
      </w:r>
    </w:p>
    <w:tbl>
      <w:tblPr>
        <w:tblW w:w="10205" w:type="dxa"/>
        <w:jc w:val="left"/>
        <w:tblInd w:w="0" w:type="dxa"/>
        <w:tblLayout w:type="fixed"/>
        <w:tblCellMar>
          <w:top w:w="28" w:type="dxa"/>
          <w:left w:w="28" w:type="dxa"/>
          <w:bottom w:w="28" w:type="dxa"/>
          <w:right w:w="28" w:type="dxa"/>
        </w:tblCellMar>
      </w:tblPr>
      <w:tblGrid>
        <w:gridCol w:w="1495"/>
        <w:gridCol w:w="1313"/>
        <w:gridCol w:w="1321"/>
        <w:gridCol w:w="769"/>
        <w:gridCol w:w="769"/>
        <w:gridCol w:w="771"/>
        <w:gridCol w:w="109"/>
        <w:gridCol w:w="109"/>
        <w:gridCol w:w="109"/>
        <w:gridCol w:w="212"/>
        <w:gridCol w:w="410"/>
        <w:gridCol w:w="109"/>
        <w:gridCol w:w="212"/>
        <w:gridCol w:w="483"/>
        <w:gridCol w:w="109"/>
        <w:gridCol w:w="109"/>
        <w:gridCol w:w="109"/>
        <w:gridCol w:w="109"/>
        <w:gridCol w:w="211"/>
        <w:gridCol w:w="406"/>
        <w:gridCol w:w="109"/>
        <w:gridCol w:w="211"/>
        <w:gridCol w:w="478"/>
        <w:gridCol w:w="163"/>
      </w:tblGrid>
      <w:tr>
        <w:trPr/>
        <w:tc>
          <w:tcPr>
            <w:tcW w:w="149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412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2309"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vMerge w:val="continue"/>
            <w:tcBorders/>
            <w:tcMar>
              <w:top w:w="0" w:type="dxa"/>
              <w:left w:w="0" w:type="dxa"/>
              <w:bottom w:w="0" w:type="dxa"/>
              <w:right w:w="0" w:type="dxa"/>
            </w:tcMar>
            <w:vAlign w:val="center"/>
          </w:tcPr>
          <w:p>
            <w:pPr>
              <w:pStyle w:val="Normal"/>
              <w:bidi w:val="0"/>
              <w:jc w:val="left"/>
              <w:rPr/>
            </w:pPr>
            <w:r>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2309"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3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vMerge w:val="continue"/>
            <w:tcBorders/>
            <w:tcMar>
              <w:top w:w="0" w:type="dxa"/>
              <w:left w:w="0" w:type="dxa"/>
              <w:bottom w:w="0" w:type="dxa"/>
              <w:right w:w="0" w:type="dxa"/>
            </w:tcMar>
            <w:vAlign w:val="center"/>
          </w:tcPr>
          <w:p>
            <w:pPr>
              <w:pStyle w:val="Normal"/>
              <w:bidi w:val="0"/>
              <w:jc w:val="left"/>
              <w:rPr/>
            </w:pPr>
            <w:r>
              <w:rPr/>
            </w:r>
          </w:p>
        </w:tc>
        <w:tc>
          <w:tcPr>
            <w:tcW w:w="23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The notional amounts of the Company’s interest rate swaps and foreign currency forward contracts were $150.0 and $308.6 as of September 30, 2025 and $150.0 and $468.6 as of December 31, 2024, respectively.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pre-tax effects of cash flow hedges included in the Company’s condensed consolidated statements of comprehensive (loss) income: </w:t>
      </w:r>
    </w:p>
    <w:tbl>
      <w:tblPr>
        <w:tblW w:w="7647" w:type="dxa"/>
        <w:jc w:val="left"/>
        <w:tblInd w:w="0" w:type="dxa"/>
        <w:tblLayout w:type="fixed"/>
        <w:tblCellMar>
          <w:top w:w="28" w:type="dxa"/>
          <w:left w:w="28" w:type="dxa"/>
          <w:bottom w:w="28" w:type="dxa"/>
          <w:right w:w="28" w:type="dxa"/>
        </w:tblCellMar>
      </w:tblPr>
      <w:tblGrid>
        <w:gridCol w:w="575"/>
        <w:gridCol w:w="505"/>
        <w:gridCol w:w="509"/>
        <w:gridCol w:w="109"/>
        <w:gridCol w:w="109"/>
        <w:gridCol w:w="109"/>
        <w:gridCol w:w="305"/>
        <w:gridCol w:w="589"/>
        <w:gridCol w:w="157"/>
        <w:gridCol w:w="157"/>
        <w:gridCol w:w="157"/>
        <w:gridCol w:w="157"/>
        <w:gridCol w:w="305"/>
        <w:gridCol w:w="698"/>
        <w:gridCol w:w="157"/>
        <w:gridCol w:w="137"/>
        <w:gridCol w:w="137"/>
        <w:gridCol w:w="137"/>
        <w:gridCol w:w="293"/>
        <w:gridCol w:w="670"/>
        <w:gridCol w:w="151"/>
        <w:gridCol w:w="151"/>
        <w:gridCol w:w="151"/>
        <w:gridCol w:w="151"/>
        <w:gridCol w:w="293"/>
        <w:gridCol w:w="565"/>
        <w:gridCol w:w="213"/>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Pre-Tax Gain (Loss) Included in Other Comprehensive (Loss) Income</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89"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amounts reclassified out of accumulated other comprehensive loss and recognized in the condensed consolidated statements of operations: </w:t>
      </w:r>
    </w:p>
    <w:tbl>
      <w:tblPr>
        <w:tblW w:w="10205" w:type="dxa"/>
        <w:jc w:val="left"/>
        <w:tblInd w:w="0" w:type="dxa"/>
        <w:tblLayout w:type="fixed"/>
        <w:tblCellMar>
          <w:top w:w="28" w:type="dxa"/>
          <w:left w:w="28" w:type="dxa"/>
          <w:bottom w:w="28" w:type="dxa"/>
          <w:right w:w="28" w:type="dxa"/>
        </w:tblCellMar>
      </w:tblPr>
      <w:tblGrid>
        <w:gridCol w:w="547"/>
        <w:gridCol w:w="480"/>
        <w:gridCol w:w="484"/>
        <w:gridCol w:w="915"/>
        <w:gridCol w:w="915"/>
        <w:gridCol w:w="917"/>
        <w:gridCol w:w="109"/>
        <w:gridCol w:w="109"/>
        <w:gridCol w:w="109"/>
        <w:gridCol w:w="286"/>
        <w:gridCol w:w="550"/>
        <w:gridCol w:w="147"/>
        <w:gridCol w:w="147"/>
        <w:gridCol w:w="147"/>
        <w:gridCol w:w="147"/>
        <w:gridCol w:w="286"/>
        <w:gridCol w:w="647"/>
        <w:gridCol w:w="147"/>
        <w:gridCol w:w="147"/>
        <w:gridCol w:w="147"/>
        <w:gridCol w:w="147"/>
        <w:gridCol w:w="286"/>
        <w:gridCol w:w="647"/>
        <w:gridCol w:w="147"/>
        <w:gridCol w:w="147"/>
        <w:gridCol w:w="147"/>
        <w:gridCol w:w="147"/>
        <w:gridCol w:w="286"/>
        <w:gridCol w:w="647"/>
        <w:gridCol w:w="221"/>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Reclassified from Other Comprehensive (Loss) Income into Earnings</w:t>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11"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747"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7"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estimated amount of pre-tax net losses included in other comprehensive (loss) income that is expected to be reclassified into earnings over the twelve months following September 30, 2025, is $0.9. </w:t>
      </w:r>
    </w:p>
    <w:p>
      <w:pPr>
        <w:pStyle w:val="TextBody"/>
        <w:bidi w:val="0"/>
        <w:spacing w:lineRule="auto" w:line="288" w:before="0" w:after="180"/>
        <w:jc w:val="left"/>
        <w:rPr/>
      </w:pPr>
      <w:r>
        <w:rPr>
          <w:rFonts w:ascii="Times New Roman;serif" w:hAnsi="Times New Roman;serif"/>
          <w:b w:val="false"/>
          <w:color w:val="000000"/>
          <w:sz w:val="20"/>
        </w:rPr>
        <w:t>Refer to Note 10, “Preferred Stock and Common Shareholders' Equity” for the impact of the Company’s derivative instruments included in accumulated other</w:t>
      </w:r>
      <w:r>
        <w:rPr>
          <w:color w:val="EE2724"/>
        </w:rPr>
        <w:t xml:space="preserve"> </w:t>
      </w:r>
      <w:r>
        <w:rPr>
          <w:rFonts w:ascii="Times New Roman;serif" w:hAnsi="Times New Roman;serif"/>
          <w:b w:val="false"/>
          <w:color w:val="000000"/>
          <w:sz w:val="20"/>
        </w:rPr>
        <w:t>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gain (loss) for derivative contracts not designated as hedges included in the Company’s condensed consolidated statements of operations:</w:t>
      </w:r>
    </w:p>
    <w:tbl>
      <w:tblPr>
        <w:tblW w:w="10107" w:type="dxa"/>
        <w:jc w:val="left"/>
        <w:tblInd w:w="0" w:type="dxa"/>
        <w:tblLayout w:type="fixed"/>
        <w:tblCellMar>
          <w:top w:w="28" w:type="dxa"/>
          <w:left w:w="28" w:type="dxa"/>
          <w:bottom w:w="28" w:type="dxa"/>
          <w:right w:w="28" w:type="dxa"/>
        </w:tblCellMar>
      </w:tblPr>
      <w:tblGrid>
        <w:gridCol w:w="1065"/>
        <w:gridCol w:w="934"/>
        <w:gridCol w:w="941"/>
        <w:gridCol w:w="969"/>
        <w:gridCol w:w="969"/>
        <w:gridCol w:w="972"/>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Gain (Loss) on Derivatives Recognized in Earnings</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Statement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40" w:type="dxa"/>
            <w:gridSpan w:val="3"/>
            <w:tcBorders/>
            <w:shd w:fill="CCEC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2910"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9.    COMMITMENTS AND CONTINGENT LIABILITIES </w:t>
      </w:r>
    </w:p>
    <w:p>
      <w:pPr>
        <w:pStyle w:val="TextBody"/>
        <w:bidi w:val="0"/>
        <w:spacing w:lineRule="auto" w:line="288" w:before="0" w:after="180"/>
        <w:jc w:val="left"/>
        <w:rPr/>
      </w:pPr>
      <w:r>
        <w:rPr>
          <w:rFonts w:ascii="Times New Roman;serif" w:hAnsi="Times New Roman;serif"/>
          <w:b w:val="false"/>
          <w:color w:val="000000"/>
          <w:sz w:val="20"/>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serif" w:hAnsi="Times New Roman;serif"/>
          <w:b w:val="false"/>
          <w:i/>
          <w:color w:val="000000"/>
          <w:sz w:val="20"/>
        </w:rPr>
        <w:t>Contingencies</w:t>
      </w:r>
      <w:r>
        <w:rPr>
          <w:rFonts w:ascii="Times New Roman;serif" w:hAnsi="Times New Roman;serif"/>
          <w:b w:val="false"/>
          <w:color w:val="000000"/>
          <w:sz w:val="20"/>
        </w:rPr>
        <w:t>, the Company establishes reserves for claims and legal actions when those matters present loss contingencies that are both probable and estimable. When loss contingencies are not both probable and estimable, the Company does not establish reserves. The outcomes of such proceedings are inherently unpredictable and subject to significant uncertainties. When the Company determines that it has a meritorious defense to any claims asserted, the Company defends itself vigorously; however the Company also considers and enters into discussions regarding settlement of disputes, and may enter into settlement agreements, if in management’s judgment, it is in the best interest of the Company to do so. For the three and nine months ended September 30, 2025, the Company recorded legal expenses of $— and $1.9, respectively, related to the settlement of legal matters initiated prior to the spin. The Company does not believe that any liabilities resulting from claims and legal actions will have a material effect on its financial condition, results of operations or cash flows.</w:t>
      </w:r>
    </w:p>
    <w:p>
      <w:pPr>
        <w:pStyle w:val="TextBody"/>
        <w:bidi w:val="0"/>
        <w:spacing w:lineRule="auto" w:line="288" w:before="0" w:after="180"/>
        <w:jc w:val="left"/>
        <w:rPr/>
      </w:pPr>
      <w:r>
        <w:rPr>
          <w:rFonts w:ascii="Times New Roman;serif" w:hAnsi="Times New Roman;serif"/>
          <w:b w:val="false"/>
          <w:color w:val="000000"/>
          <w:sz w:val="20"/>
        </w:rPr>
        <w:t xml:space="preserve">On June 2, 2025, a purported shareholder class action complaint captioned </w:t>
      </w:r>
      <w:r>
        <w:rPr>
          <w:rFonts w:ascii="Times New Roman;serif" w:hAnsi="Times New Roman;serif"/>
          <w:b w:val="false"/>
          <w:i/>
          <w:color w:val="000000"/>
          <w:sz w:val="20"/>
        </w:rPr>
        <w:t>Lucas Deslande v. Fortrea Holdings Inc., et al.</w:t>
      </w:r>
      <w:r>
        <w:rPr>
          <w:rFonts w:ascii="Times New Roman;serif" w:hAnsi="Times New Roman;serif"/>
          <w:b w:val="false"/>
          <w:color w:val="000000"/>
          <w:sz w:val="20"/>
        </w:rPr>
        <w:t>, No 1:25-sv-04630 was filed in the U.S. District Court for the Southern District of New York, naming the Company and certain of its current and former officers as defendants. The complaint alleges that defendants made omissions and misrepresentations to investors that they claim violated certain securities laws. The Construction Industry Laborers Pension Fund and City of Pontiac Reestablished General Employees Retirement System were appointed as lead plaintiffs on September 3, 2025 and the lead plaintiffs have until November 10, 2025 to file an amended complaint, to which the Company will respond. The Company believes it has valid defenses to the claims alleged and intends to vigorously defend itself, but there is no guarantee that the Company will prevail. The case is at a very early stage and the Company is unable to estimate the possible loss or range of loss, if any, associated with this 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It was previously disclosed that there was an issue in a customer’s trial caused by a third-party vendor not affiliated with the Company. As part of working with this customer, the Company made concessions and provided discounts and other consideration to the customer in the amount of $12.5 as part of a multi-party solution to facilitate the ongoing trials, of which $0.9 and $3.0 were recorded as a reduction of revenue for the three and nine months ended September 30, 2024. There were no related reductions of revenue during the three and nine months ended September 30, 2025, as the agreed-upon amount had been satisfied.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PREFERRED STOCK AND COMMON SHAREHOLDERS’ EQUITY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is authorized to issue up to 265.0 shares of common stock, par value $0.001 per share. The Company is authorized to issue up to 30.0 shares of preferred stock, par value $0.001 per share. There were no preferred shares outstanding as of September 30, 2025 and December 31,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June 11, 2025, the Company’s Board of Directors adopted a limited duration stockholder rights plan (the “Rights Agreement”). Pursuant to the Rights Agreement, on June 11, 2025, the Company’s Board of Directors declared a dividend of one preferred share purchase right (a “Right”) for each share of common stock, par value $0.001 per share, of the Company (the “Common Shares”) outstanding on June 23, 2025 to the stockholders of record on that date. Each Right entitles the registered holder to purchase from the Company one one thousandth of a share of Series A Preferred Stock, par value $0.001 per share, of the Company (the “Preferred Shares”) at a price of $50.00 per one one thousandth of a Preferred Share represented by a Right, subject to adjustment.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Initially, the Rights will be attached to all Common Share certificates and no separate certificates evidencing the Rights will be issued. Until the Distribution Date (as defined per the Rights Agreement), the Rights will be transferred with and only with the Common Shares. As long as the Rights are attached to the Common Shares, the Company will issue one Right with each new Common Share so that all such Common Shares will have Rights attached.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are generally exercisable only in the event that a person or group of affiliated or associated persons (such person or group being an “Acquiring Person”), acquires (or commences a tender offer or exchange offer the consummation of which would result in) beneficial ownership of 10% or more of the outstanding Common Shares. In such case (with certain limited exceptions), each holder of a Right (other than the Acquiring Person, whose Rights shall become void) will have the right to receive, upon exercise at the then current exercise price of the Right, Common Shares (or, if the Board so elects, cash, securities, or other property) having a value equal to two times the exercise price of the Right.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Until a Right is exercised, the holder thereof, as such, will have no rights as a stockholder of the Company, including, without limitation, the right to vote or to receive dividends. The Rights will expire at the close of business on June 10, 2026.</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Accumulated Other Comprehensive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loss are as follows:</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tbl>
      <w:tblPr>
        <w:tblW w:w="10205" w:type="dxa"/>
        <w:jc w:val="left"/>
        <w:tblInd w:w="0" w:type="dxa"/>
        <w:tblLayout w:type="fixed"/>
        <w:tblCellMar>
          <w:top w:w="28" w:type="dxa"/>
          <w:left w:w="28" w:type="dxa"/>
          <w:bottom w:w="28" w:type="dxa"/>
          <w:right w:w="28" w:type="dxa"/>
        </w:tblCellMar>
      </w:tblPr>
      <w:tblGrid>
        <w:gridCol w:w="979"/>
        <w:gridCol w:w="656"/>
        <w:gridCol w:w="659"/>
        <w:gridCol w:w="385"/>
        <w:gridCol w:w="1123"/>
        <w:gridCol w:w="215"/>
        <w:gridCol w:w="109"/>
        <w:gridCol w:w="109"/>
        <w:gridCol w:w="109"/>
        <w:gridCol w:w="394"/>
        <w:gridCol w:w="787"/>
        <w:gridCol w:w="220"/>
        <w:gridCol w:w="109"/>
        <w:gridCol w:w="109"/>
        <w:gridCol w:w="109"/>
        <w:gridCol w:w="518"/>
        <w:gridCol w:w="1034"/>
        <w:gridCol w:w="291"/>
        <w:gridCol w:w="109"/>
        <w:gridCol w:w="109"/>
        <w:gridCol w:w="109"/>
        <w:gridCol w:w="403"/>
        <w:gridCol w:w="1175"/>
        <w:gridCol w:w="225"/>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(234.4)</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(241.6)</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instruments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quarter foreign exchange adjustments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 instruments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loss</w:t>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effect of adjustments</w:t>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the Company recognized income tax benefits of $12.8 and $17.3, respectively, which resulted in effective tax rates of 44.6% and 48.3%, respectively. The effective tax rate for the three months ended September 30, 2025 was higher than the Company’s statutory tax rate primarily due to an increase in the Company’s U.S. operating losses partially offset by non-deductible compensation expenses, Base Erosion and Anti-Abuse Tax (“BEAT”), an increase in valuation allowance and withholding taxes for 2025 non-U.S. earnings that are not permanently reinvested. The effective tax rate for the three months ended September 30, 2024 was higher than the Company’s statutory tax rate primarily due to the geographic mix of earnings, partially offset by a forecasted valuation allowance on the deferred tax asset for the carryforward of disallowed interest expense, which impacts the annualized effective tax rate of the Company by approximately 14.8%. This deferred tax asset exists due to limitations imposed under the Internal Revenue Code on the annual deductibility of business interest expense.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the Company recognized income tax expense of $6.3 resulting in an effective tax rate of (0.7)%. For the nine months ended September 30, 2024, the Company recognized income tax benefit of $2.5 resulting in an effective tax rate of 1.2%.The effective tax rate for the nine months ended September 30, 2025 was lower than the Company’s statutory tax rate primarily due to impairment of goodwill that has no tax benefit, non-deductible compensation expenses, BEAT, an increase in valuation allowance and withholding taxes for 2025 non-U.S. earnings that are not permanently reinvested. The effective tax rate for the nine months ended September 30, 2024 was lower than the Company’s statutory tax rate primarily due to the valuation allowance recognized on the deferred tax asset for the carryforward of disallowed interest expense and non-deductible compensation expenses. </w:t>
      </w:r>
    </w:p>
    <w:p>
      <w:pPr>
        <w:pStyle w:val="TextBody"/>
        <w:bidi w:val="0"/>
        <w:spacing w:before="0" w:after="180"/>
        <w:ind w:left="0" w:right="0" w:firstLine="317"/>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ind w:left="0" w:right="0" w:firstLine="317"/>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new legislation commonly referred to as the One Big Beautiful Bill Act of 2025 (the “Tax Act”) was signed into law. The Tax Act includes substantial changes to the U.S. federal tax code and broader fiscal policy for tax year 2025 and forward. The Company has recorded any applicable impacts to its three months ended September 30, 2025 tax provision, which were not significant. There are several provisions of the Tax Act that do not go into effect until future tax years but are also not expected to have a significant impact on tax positions as currently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12.    STOCK COMPENSATION PLANS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granted 1.3 and 7.2 of restricted stock units, respectively, during the three and nine months ended September 30, 2025 with weighted average grant date fair values of $6.63 and $9.65 per share. The Company granted 1.3 and 1.8 of performance share units during the three and nine months ended September 30, 2025 with weighted average grant date fair values of $5.89 and $6.56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and the associated income tax benefits recognized by the Company in the condensed consolidated statements of operations were as follows:</w:t>
      </w:r>
    </w:p>
    <w:tbl>
      <w:tblPr>
        <w:tblW w:w="8085" w:type="dxa"/>
        <w:jc w:val="left"/>
        <w:tblInd w:w="0" w:type="dxa"/>
        <w:tblLayout w:type="fixed"/>
        <w:tblCellMar>
          <w:top w:w="28" w:type="dxa"/>
          <w:left w:w="28" w:type="dxa"/>
          <w:bottom w:w="28" w:type="dxa"/>
          <w:right w:w="28" w:type="dxa"/>
        </w:tblCellMar>
      </w:tblPr>
      <w:tblGrid>
        <w:gridCol w:w="1351"/>
        <w:gridCol w:w="1186"/>
        <w:gridCol w:w="1198"/>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1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13.    SUPPLEMENTAL CASH FLOW INFORMATION</w:t>
      </w:r>
    </w:p>
    <w:tbl>
      <w:tblPr>
        <w:tblW w:w="8049" w:type="dxa"/>
        <w:jc w:val="left"/>
        <w:tblInd w:w="0" w:type="dxa"/>
        <w:tblLayout w:type="fixed"/>
        <w:tblCellMar>
          <w:top w:w="28" w:type="dxa"/>
          <w:left w:w="28" w:type="dxa"/>
          <w:bottom w:w="28" w:type="dxa"/>
          <w:right w:w="28" w:type="dxa"/>
        </w:tblCellMar>
      </w:tblPr>
      <w:tblGrid>
        <w:gridCol w:w="1960"/>
        <w:gridCol w:w="1725"/>
        <w:gridCol w:w="1729"/>
        <w:gridCol w:w="273"/>
        <w:gridCol w:w="663"/>
        <w:gridCol w:w="141"/>
        <w:gridCol w:w="141"/>
        <w:gridCol w:w="141"/>
        <w:gridCol w:w="141"/>
        <w:gridCol w:w="273"/>
        <w:gridCol w:w="663"/>
        <w:gridCol w:w="199"/>
      </w:tblGrid>
      <w:tr>
        <w:trPr/>
        <w:tc>
          <w:tcPr>
            <w:tcW w:w="196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cash flow information:</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period for:</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 of non-cash investing activities:</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property, plant and equipment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related to the sale of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BUSINESS SEGMENT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segment information for the three and nine months ended September 30, 2025 and 2024. The segment information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Fortrea Chief Executive Officer has been identified as the CODM.</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tbl>
      <w:tblPr>
        <w:tblW w:w="14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68e8a57ea873451e9eac398c89dff935_7">
              <w:r>
                <w:rPr>
                  <w:rStyle w:val="InternetLink"/>
                  <w:rFonts w:ascii="Times New Roman;serif" w:hAnsi="Times New Roman;serif"/>
                  <w:b w:val="false"/>
                  <w:color w:val="0000FF"/>
                  <w:sz w:val="20"/>
                  <w:u w:val="single"/>
                </w:rPr>
                <w:t>INDEX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br/>
        <w:t>FORTREA HOLDINGS INC.</w:t>
        <w:br/>
        <w:t>NOTES TO UNAUDITED CONDENSED CONSOLIDATED FINANCIAL STATEMENTS</w:t>
        <w:br/>
        <w:t>(dollars and shares in millions, except per share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CODM allocates resources and assesses performance based on the underlying businesses which determines the Company's operating segments. When determining the reportable segments, the Company aggregated operating segments based on their similar economic and operating characteristics. Subsequent to the sale of the Enabling Services Segment in 2024, the Company reports its business in one reportable segment: Clinical Services, which provides phase I-IV clinical trials, including clinical pharmacology and comprehensive clinical development capabilities. The measure of segment profit or loss that the CODM uses to evaluates performance and allocate resources is segment operating income. The CODM uses segment operating income to monitor budget versus actual results and to make decisions about resources to be allocated to the segment and assess its performance.</w:t>
      </w:r>
    </w:p>
    <w:p>
      <w:pPr>
        <w:pStyle w:val="TextBody"/>
        <w:bidi w:val="0"/>
        <w:spacing w:lineRule="auto" w:line="288" w:before="0" w:after="180"/>
        <w:jc w:val="left"/>
        <w:rPr/>
      </w:pPr>
      <w:r>
        <w:rPr>
          <w:rFonts w:ascii="Times New Roman;serif" w:hAnsi="Times New Roman;serif"/>
          <w:b w:val="false"/>
          <w:color w:val="000000"/>
          <w:sz w:val="20"/>
        </w:rPr>
        <w:t>In accordance with ASU 2023-07,</w:t>
      </w:r>
      <w:r>
        <w:rPr>
          <w:color w:val="000000"/>
        </w:rPr>
        <w:t xml:space="preserve"> </w:t>
      </w:r>
      <w:r>
        <w:rPr>
          <w:rFonts w:ascii="Times New Roman;serif" w:hAnsi="Times New Roman;serif"/>
          <w:b w:val="false"/>
          <w:i/>
          <w:color w:val="000000"/>
          <w:sz w:val="20"/>
        </w:rPr>
        <w:t>Improvements to Reportable Segment Disclosures</w:t>
      </w:r>
      <w:r>
        <w:rPr>
          <w:rFonts w:ascii="Times New Roman;serif" w:hAnsi="Times New Roman;serif"/>
          <w:b w:val="false"/>
          <w:color w:val="000000"/>
          <w:sz w:val="20"/>
        </w:rPr>
        <w:t>, significant expenses included within segment operating income have been assessed and disclosed in the table below. Corporate costs not included in the segment operating income measure provided to the CODM are included within “Corporate costs not included in segment operating income.” Segment asset information is not presented because it is not used by the CODM at the segment level.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operating income for the three and nine months ended September 30, 2025 and 2024 is reconciled to loss from continuing operations before income taxes as follows:</w:t>
      </w:r>
    </w:p>
    <w:tbl>
      <w:tblPr>
        <w:tblW w:w="10205" w:type="dxa"/>
        <w:jc w:val="left"/>
        <w:tblInd w:w="0" w:type="dxa"/>
        <w:tblLayout w:type="fixed"/>
        <w:tblCellMar>
          <w:top w:w="28" w:type="dxa"/>
          <w:left w:w="28" w:type="dxa"/>
          <w:bottom w:w="28" w:type="dxa"/>
          <w:right w:w="28" w:type="dxa"/>
        </w:tblCellMar>
      </w:tblPr>
      <w:tblGrid>
        <w:gridCol w:w="1675"/>
        <w:gridCol w:w="1461"/>
        <w:gridCol w:w="1460"/>
        <w:gridCol w:w="253"/>
        <w:gridCol w:w="742"/>
        <w:gridCol w:w="131"/>
        <w:gridCol w:w="131"/>
        <w:gridCol w:w="131"/>
        <w:gridCol w:w="131"/>
        <w:gridCol w:w="253"/>
        <w:gridCol w:w="742"/>
        <w:gridCol w:w="131"/>
        <w:gridCol w:w="109"/>
        <w:gridCol w:w="109"/>
        <w:gridCol w:w="109"/>
        <w:gridCol w:w="218"/>
        <w:gridCol w:w="792"/>
        <w:gridCol w:w="112"/>
        <w:gridCol w:w="112"/>
        <w:gridCol w:w="112"/>
        <w:gridCol w:w="112"/>
        <w:gridCol w:w="218"/>
        <w:gridCol w:w="792"/>
        <w:gridCol w:w="169"/>
      </w:tblGrid>
      <w:tr>
        <w:trPr/>
        <w:tc>
          <w:tcPr>
            <w:tcW w:w="1675"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Pass through costs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costs not included in segment operating income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which was completed on June 30, 2023 (the “Spin” or “the Separation”), Fortrea existed and functioned as part of Labcorp Holdings Inc., which we refer to in this discussion and analysis as “Labcorp” or “Former Parent.” The following discussion and analysis of our financial condition and results of operations should be read in conjunction with our audited consolidated and combined financial statements and corresponding notes included in our Annual Report on Form 10-K for the year ended December 31, 2024 (the “Form 10-K”) and our unaudited condensed consolidated financial statements and corresponding notes in Item 1. “Financial Statements.” Unless otherwise noted, the following information and discussion relates to our continuing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our limited operating history as an independent public company; our dependence on third parties generally to provide services critical to our businesses; the risk that establishment of our accounting and other management systems, and our efforts to improve them, could cost more than anticipated or impact internal controls; the impact of building our brand and increasing our value; our ability to successfully implement our business strategies and execute our long-term value creation strategy; the possibility that Delaware law, our organizational documents, our stockholder rights agreement, and our existing and future debt agreements may impede or discourage a takeover; risks and expenses associated with our international operations including but not limited to currency fluctuations and trade policies; our customer or therapeutic area concentrations; the outcome and impact of pending or future litigation; any deterioration in the macroeconomic environment, which could lead to defaults or cancellations by our customers; the risk that our backlog and net new business may not grow to the extent we anticipate over a specified period of time,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 documentation of change orders; and other factors described in the Form 10-K and from time to time in documents that we file with the SEC.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Fortrea, a Delaware corporation incorporated on January 31, 2023, is a leading global contract research organization (“CRO”) providing biopharmaceutical product and medical device development solutions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and therapeutic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team of more than 14,500 employees is able to conduct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 of Assets Relating to the Enabling Services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March 9, 2024, the Company, together with its wholly-owned subsidiary, Fortrea Inc. (the “Seller”), entered into an Asset Purchase Agreement (the “Purchase Agreement”) with Endeavor Buyer LLC, an affiliate of Arsenal Capital Partners, pursuant to which the Seller agreed to sell, and to cause its affiliates to sell, certain assets relating to its Enabling Services Segment (the “Transaction”),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which includes certain services provided through a Transition Services Agreement. The Transaction closed during the second quarter of 2024. The first milestone payment in the amount of $20.0 was received in the first quarter of 2025. The second and final milestone payment in the amount of $25.0 was received in the third quarter of 2025. The decision to sell such assets relating to the Enabling Services Segment represented a strategic shift that had a significant effect on the Company's results and operations for the periods presented. As a result, the operations of the Enabling Services Segment have been classified as loss from discontinued operations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$7.6 billion as of September 30, 2025.</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Three and Nine Months Ended September 30, 2025 compared with Three and Nine Months Ended September 30, 2024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financial measures that management considers to be the most significant indicators of the Company's performance.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Revenues</w:t>
      </w:r>
    </w:p>
    <w:tbl>
      <w:tblPr>
        <w:tblW w:w="8770" w:type="dxa"/>
        <w:jc w:val="left"/>
        <w:tblInd w:w="0" w:type="dxa"/>
        <w:tblLayout w:type="fixed"/>
        <w:tblCellMar>
          <w:top w:w="28" w:type="dxa"/>
          <w:left w:w="28" w:type="dxa"/>
          <w:bottom w:w="28" w:type="dxa"/>
          <w:right w:w="28" w:type="dxa"/>
        </w:tblCellMar>
      </w:tblPr>
      <w:tblGrid>
        <w:gridCol w:w="332"/>
        <w:gridCol w:w="291"/>
        <w:gridCol w:w="293"/>
        <w:gridCol w:w="257"/>
        <w:gridCol w:w="752"/>
        <w:gridCol w:w="133"/>
        <w:gridCol w:w="133"/>
        <w:gridCol w:w="133"/>
        <w:gridCol w:w="133"/>
        <w:gridCol w:w="257"/>
        <w:gridCol w:w="752"/>
        <w:gridCol w:w="133"/>
        <w:gridCol w:w="109"/>
        <w:gridCol w:w="109"/>
        <w:gridCol w:w="109"/>
        <w:gridCol w:w="203"/>
        <w:gridCol w:w="203"/>
        <w:gridCol w:w="367"/>
        <w:gridCol w:w="109"/>
        <w:gridCol w:w="109"/>
        <w:gridCol w:w="109"/>
        <w:gridCol w:w="219"/>
        <w:gridCol w:w="795"/>
        <w:gridCol w:w="113"/>
        <w:gridCol w:w="113"/>
        <w:gridCol w:w="113"/>
        <w:gridCol w:w="113"/>
        <w:gridCol w:w="219"/>
        <w:gridCol w:w="795"/>
        <w:gridCol w:w="113"/>
        <w:gridCol w:w="109"/>
        <w:gridCol w:w="109"/>
        <w:gridCol w:w="109"/>
        <w:gridCol w:w="203"/>
        <w:gridCol w:w="203"/>
        <w:gridCol w:w="41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674.9 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rPr>
        <w:t>The Company’s revenues for the three months ended September 30, 2025 were $701.3, an increase of 3.9% from revenues of $674.9 in the corresponding period in 2024. The change in revenues was due to an increase in organic revenues of 3.5% and favorable foreign currency translation of 0.4%. The Company defines organic growth as the change in revenues excluding the year over year impact of acquisitions, divestitures and currency. The 3.5% increase in organic revenues was primarily driven by increases in revenue in both our clinical pharmacology and clinical development businesses. The increase in clinical pharmacology was primary driven by higher demand and study mix, including higher levels of pass through costs. Clinical development growth was driven by net new business, including higher pass through costs as projects progress through their lifecycle. These increases were partially offset by changes in portfolio mix on longer duration studies as well as lower functional service provider revenue.</w:t>
      </w:r>
      <w:r>
        <w:rPr>
          <w:color w:val="EE2724"/>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revenues for the nine months ended September 30, 2025 were $2,062.9, an increase of 3.2% from revenues of $1,999.4 in the corresponding period in 2024. The change in revenues was due to an increase in organic revenues of 3.0% and favorable foreign currency translation of 0.2%. The 3.0% increase in organic revenues was primarily driven by an increase in revenue in our clinical pharmacology business, including higher pass through costs. This increase was partially offset by lower clinical development revenues resulting primarily from the mix of complex and longer duration studies in our portfolio as well as lower functional service provider revenue, which more than offset revenue from net new business, including higher pass through costs as projects progress through their lifecycle.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Direct Costs, Exclusive of Depreciation and Amortization</w:t>
      </w:r>
    </w:p>
    <w:tbl>
      <w:tblPr>
        <w:tblW w:w="10205" w:type="dxa"/>
        <w:jc w:val="left"/>
        <w:tblInd w:w="0" w:type="dxa"/>
        <w:tblLayout w:type="fixed"/>
        <w:tblCellMar>
          <w:top w:w="28" w:type="dxa"/>
          <w:left w:w="28" w:type="dxa"/>
          <w:bottom w:w="28" w:type="dxa"/>
          <w:right w:w="28" w:type="dxa"/>
        </w:tblCellMar>
      </w:tblPr>
      <w:tblGrid>
        <w:gridCol w:w="802"/>
        <w:gridCol w:w="686"/>
        <w:gridCol w:w="672"/>
        <w:gridCol w:w="220"/>
        <w:gridCol w:w="645"/>
        <w:gridCol w:w="283"/>
        <w:gridCol w:w="114"/>
        <w:gridCol w:w="114"/>
        <w:gridCol w:w="114"/>
        <w:gridCol w:w="220"/>
        <w:gridCol w:w="645"/>
        <w:gridCol w:w="283"/>
        <w:gridCol w:w="109"/>
        <w:gridCol w:w="109"/>
        <w:gridCol w:w="109"/>
        <w:gridCol w:w="203"/>
        <w:gridCol w:w="203"/>
        <w:gridCol w:w="367"/>
        <w:gridCol w:w="109"/>
        <w:gridCol w:w="109"/>
        <w:gridCol w:w="109"/>
        <w:gridCol w:w="211"/>
        <w:gridCol w:w="766"/>
        <w:gridCol w:w="271"/>
        <w:gridCol w:w="109"/>
        <w:gridCol w:w="109"/>
        <w:gridCol w:w="109"/>
        <w:gridCol w:w="211"/>
        <w:gridCol w:w="766"/>
        <w:gridCol w:w="271"/>
        <w:gridCol w:w="109"/>
        <w:gridCol w:w="109"/>
        <w:gridCol w:w="109"/>
        <w:gridCol w:w="203"/>
        <w:gridCol w:w="203"/>
        <w:gridCol w:w="424"/>
      </w:tblGrid>
      <w:tr>
        <w:trPr/>
        <w:tc>
          <w:tcPr>
            <w:tcW w:w="80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 costs as a % of revenues</w:t>
            </w:r>
          </w:p>
        </w:tc>
        <w:tc>
          <w:tcPr>
            <w:tcW w:w="86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83"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83"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consist primarily of payroll and related benefits for project-related employees, reimbursable expenses (pass through costs), transition services agreement costs, information technology costs, and other direct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 costs increased 9.9% during the three months ended September 30, 2025 as compared with the corresponding period in 2024. Direct costs increased as a percentage of revenues to 82.5% during the three months ended September 30, 2025 as compared to 78.0% in the corresponding period in 2024. The increase in direct costs was primarily due to an increase in pass through costs and stock compensation, as well as lower research and development tax credits. This increase was partially offset by lower headcount and personnel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Direct costs increased 5.2% during the nine months ended September 30, 2025 as compared with the corresponding period in 2024. Direct costs increased as a percentage of revenues to 81.9% during the nine months ended September 30, 2025 as compared to 80.3% in the corresponding period in 2024. The increase in direct costs was primarily due to an increase in pass through costs, stock compensation and direct study related expenses, as well as lower research and development tax credits. This increase was partially offset by lower headcount and personnel costs.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 Exclusive of Depreciation and Amortization</w:t>
      </w:r>
    </w:p>
    <w:tbl>
      <w:tblPr>
        <w:tblW w:w="10205" w:type="dxa"/>
        <w:jc w:val="left"/>
        <w:tblInd w:w="0" w:type="dxa"/>
        <w:tblLayout w:type="fixed"/>
        <w:tblCellMar>
          <w:top w:w="28" w:type="dxa"/>
          <w:left w:w="28" w:type="dxa"/>
          <w:bottom w:w="28" w:type="dxa"/>
          <w:right w:w="28" w:type="dxa"/>
        </w:tblCellMar>
      </w:tblPr>
      <w:tblGrid>
        <w:gridCol w:w="905"/>
        <w:gridCol w:w="794"/>
        <w:gridCol w:w="796"/>
        <w:gridCol w:w="233"/>
        <w:gridCol w:w="683"/>
        <w:gridCol w:w="120"/>
        <w:gridCol w:w="120"/>
        <w:gridCol w:w="120"/>
        <w:gridCol w:w="120"/>
        <w:gridCol w:w="233"/>
        <w:gridCol w:w="683"/>
        <w:gridCol w:w="120"/>
        <w:gridCol w:w="109"/>
        <w:gridCol w:w="109"/>
        <w:gridCol w:w="109"/>
        <w:gridCol w:w="277"/>
        <w:gridCol w:w="277"/>
        <w:gridCol w:w="367"/>
        <w:gridCol w:w="109"/>
        <w:gridCol w:w="109"/>
        <w:gridCol w:w="109"/>
        <w:gridCol w:w="229"/>
        <w:gridCol w:w="670"/>
        <w:gridCol w:w="118"/>
        <w:gridCol w:w="118"/>
        <w:gridCol w:w="118"/>
        <w:gridCol w:w="118"/>
        <w:gridCol w:w="229"/>
        <w:gridCol w:w="670"/>
        <w:gridCol w:w="118"/>
        <w:gridCol w:w="109"/>
        <w:gridCol w:w="109"/>
        <w:gridCol w:w="109"/>
        <w:gridCol w:w="277"/>
        <w:gridCol w:w="277"/>
        <w:gridCol w:w="434"/>
      </w:tblGrid>
      <w:tr>
        <w:trPr/>
        <w:tc>
          <w:tcPr>
            <w:tcW w:w="90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administrative payroll and related benefit charges, transition services agreement costs, information technology costs, other facility charges, advertising and promotional expenses, administrative travel and credit loss provisions.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decreased by 21.6% during the three months ended September 30, 2025 as compared with the corresponding period in 2024. The decrease was primarily due to lower transition service agreement and information technology costs.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by 14.3% during the nine months ended September 30, 2025 as compared with the corresponding period in 2024. The decrease was primarily due to lower transition service agreement and information technology costs. This decrease was partially offset by an increase in costs to support the establishment of our corporate functions as a stand-alone company as well as costs associated with the receivable securitization program.</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Expense</w:t>
      </w:r>
    </w:p>
    <w:tbl>
      <w:tblPr>
        <w:tblW w:w="10085" w:type="dxa"/>
        <w:jc w:val="left"/>
        <w:tblInd w:w="0" w:type="dxa"/>
        <w:tblLayout w:type="fixed"/>
        <w:tblCellMar>
          <w:top w:w="28" w:type="dxa"/>
          <w:left w:w="28" w:type="dxa"/>
          <w:bottom w:w="28" w:type="dxa"/>
          <w:right w:w="28" w:type="dxa"/>
        </w:tblCellMar>
      </w:tblPr>
      <w:tblGrid>
        <w:gridCol w:w="679"/>
        <w:gridCol w:w="597"/>
        <w:gridCol w:w="599"/>
        <w:gridCol w:w="318"/>
        <w:gridCol w:w="612"/>
        <w:gridCol w:w="164"/>
        <w:gridCol w:w="164"/>
        <w:gridCol w:w="164"/>
        <w:gridCol w:w="164"/>
        <w:gridCol w:w="318"/>
        <w:gridCol w:w="612"/>
        <w:gridCol w:w="164"/>
        <w:gridCol w:w="109"/>
        <w:gridCol w:w="109"/>
        <w:gridCol w:w="109"/>
        <w:gridCol w:w="293"/>
        <w:gridCol w:w="293"/>
        <w:gridCol w:w="367"/>
        <w:gridCol w:w="109"/>
        <w:gridCol w:w="109"/>
        <w:gridCol w:w="109"/>
        <w:gridCol w:w="275"/>
        <w:gridCol w:w="666"/>
        <w:gridCol w:w="142"/>
        <w:gridCol w:w="142"/>
        <w:gridCol w:w="142"/>
        <w:gridCol w:w="142"/>
        <w:gridCol w:w="275"/>
        <w:gridCol w:w="666"/>
        <w:gridCol w:w="142"/>
        <w:gridCol w:w="109"/>
        <w:gridCol w:w="109"/>
        <w:gridCol w:w="109"/>
        <w:gridCol w:w="293"/>
        <w:gridCol w:w="293"/>
        <w:gridCol w:w="418"/>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decrease in depreciation expense for the three and nine months ended September 30, 2025, as compared to the corresponding periods in 2024, was due to a decrease in depreciable property, plant and equipment, primarily IT assets.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Amortization Expense</w:t>
      </w:r>
    </w:p>
    <w:tbl>
      <w:tblPr>
        <w:tblW w:w="10205" w:type="dxa"/>
        <w:jc w:val="left"/>
        <w:tblInd w:w="0" w:type="dxa"/>
        <w:tblLayout w:type="fixed"/>
        <w:tblCellMar>
          <w:top w:w="28" w:type="dxa"/>
          <w:left w:w="28" w:type="dxa"/>
          <w:bottom w:w="28" w:type="dxa"/>
          <w:right w:w="28" w:type="dxa"/>
        </w:tblCellMar>
      </w:tblPr>
      <w:tblGrid>
        <w:gridCol w:w="993"/>
        <w:gridCol w:w="872"/>
        <w:gridCol w:w="877"/>
        <w:gridCol w:w="256"/>
        <w:gridCol w:w="621"/>
        <w:gridCol w:w="132"/>
        <w:gridCol w:w="132"/>
        <w:gridCol w:w="132"/>
        <w:gridCol w:w="132"/>
        <w:gridCol w:w="256"/>
        <w:gridCol w:w="621"/>
        <w:gridCol w:w="132"/>
        <w:gridCol w:w="109"/>
        <w:gridCol w:w="109"/>
        <w:gridCol w:w="109"/>
        <w:gridCol w:w="227"/>
        <w:gridCol w:w="229"/>
        <w:gridCol w:w="367"/>
        <w:gridCol w:w="109"/>
        <w:gridCol w:w="109"/>
        <w:gridCol w:w="109"/>
        <w:gridCol w:w="250"/>
        <w:gridCol w:w="607"/>
        <w:gridCol w:w="129"/>
        <w:gridCol w:w="129"/>
        <w:gridCol w:w="129"/>
        <w:gridCol w:w="129"/>
        <w:gridCol w:w="250"/>
        <w:gridCol w:w="607"/>
        <w:gridCol w:w="129"/>
        <w:gridCol w:w="109"/>
        <w:gridCol w:w="109"/>
        <w:gridCol w:w="109"/>
        <w:gridCol w:w="227"/>
        <w:gridCol w:w="229"/>
        <w:gridCol w:w="430"/>
      </w:tblGrid>
      <w:tr>
        <w:trPr/>
        <w:tc>
          <w:tcPr>
            <w:tcW w:w="9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and other assets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change in amortization of intangibles and other assets during the </w:t>
      </w:r>
      <w:r>
        <w:rPr>
          <w:rFonts w:ascii="Times New Roman;serif" w:hAnsi="Times New Roman;serif"/>
          <w:b w:val="false"/>
          <w:color w:val="000000"/>
          <w:sz w:val="20"/>
        </w:rPr>
        <w:t xml:space="preserve">three and nine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as compared to the corresponding periods in </w:t>
      </w:r>
      <w:r>
        <w:rPr>
          <w:rFonts w:ascii="Times New Roman;serif" w:hAnsi="Times New Roman;serif"/>
          <w:b w:val="false"/>
          <w:color w:val="000000"/>
          <w:sz w:val="20"/>
        </w:rPr>
        <w:t>2024, was due to certain intangible assets reaching the end of their useful lives during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Goodwill and other asset impairments</w:t>
      </w:r>
    </w:p>
    <w:tbl>
      <w:tblPr>
        <w:tblW w:w="10205" w:type="dxa"/>
        <w:jc w:val="left"/>
        <w:tblInd w:w="0" w:type="dxa"/>
        <w:tblLayout w:type="fixed"/>
        <w:tblCellMar>
          <w:top w:w="28" w:type="dxa"/>
          <w:left w:w="28" w:type="dxa"/>
          <w:bottom w:w="28" w:type="dxa"/>
          <w:right w:w="28" w:type="dxa"/>
        </w:tblCellMar>
      </w:tblPr>
      <w:tblGrid>
        <w:gridCol w:w="1027"/>
        <w:gridCol w:w="901"/>
        <w:gridCol w:w="907"/>
        <w:gridCol w:w="300"/>
        <w:gridCol w:w="577"/>
        <w:gridCol w:w="154"/>
        <w:gridCol w:w="154"/>
        <w:gridCol w:w="154"/>
        <w:gridCol w:w="154"/>
        <w:gridCol w:w="300"/>
        <w:gridCol w:w="577"/>
        <w:gridCol w:w="154"/>
        <w:gridCol w:w="109"/>
        <w:gridCol w:w="109"/>
        <w:gridCol w:w="109"/>
        <w:gridCol w:w="220"/>
        <w:gridCol w:w="220"/>
        <w:gridCol w:w="221"/>
        <w:gridCol w:w="109"/>
        <w:gridCol w:w="109"/>
        <w:gridCol w:w="109"/>
        <w:gridCol w:w="264"/>
        <w:gridCol w:w="771"/>
        <w:gridCol w:w="136"/>
        <w:gridCol w:w="136"/>
        <w:gridCol w:w="136"/>
        <w:gridCol w:w="136"/>
        <w:gridCol w:w="264"/>
        <w:gridCol w:w="508"/>
        <w:gridCol w:w="136"/>
        <w:gridCol w:w="109"/>
        <w:gridCol w:w="109"/>
        <w:gridCol w:w="109"/>
        <w:gridCol w:w="206"/>
        <w:gridCol w:w="206"/>
        <w:gridCol w:w="305"/>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asset impairments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Goodwill impairment for the three and nine months ended September 30, 2025 was $— and $797.9, respectively. The impairment for the nine months ended September 30, 2025 was specific to the Clinical Development reporting unit. There were no goodwill and other asset impairments for the three and nine months ended September 30, 2024.</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 Charges</w:t>
      </w:r>
    </w:p>
    <w:tbl>
      <w:tblPr>
        <w:tblW w:w="10205" w:type="dxa"/>
        <w:jc w:val="left"/>
        <w:tblInd w:w="0" w:type="dxa"/>
        <w:tblLayout w:type="fixed"/>
        <w:tblCellMar>
          <w:top w:w="28" w:type="dxa"/>
          <w:left w:w="28" w:type="dxa"/>
          <w:bottom w:w="28" w:type="dxa"/>
          <w:right w:w="28" w:type="dxa"/>
        </w:tblCellMar>
      </w:tblPr>
      <w:tblGrid>
        <w:gridCol w:w="874"/>
        <w:gridCol w:w="769"/>
        <w:gridCol w:w="771"/>
        <w:gridCol w:w="297"/>
        <w:gridCol w:w="572"/>
        <w:gridCol w:w="153"/>
        <w:gridCol w:w="153"/>
        <w:gridCol w:w="153"/>
        <w:gridCol w:w="153"/>
        <w:gridCol w:w="297"/>
        <w:gridCol w:w="572"/>
        <w:gridCol w:w="153"/>
        <w:gridCol w:w="109"/>
        <w:gridCol w:w="109"/>
        <w:gridCol w:w="109"/>
        <w:gridCol w:w="287"/>
        <w:gridCol w:w="287"/>
        <w:gridCol w:w="367"/>
        <w:gridCol w:w="109"/>
        <w:gridCol w:w="109"/>
        <w:gridCol w:w="109"/>
        <w:gridCol w:w="262"/>
        <w:gridCol w:w="635"/>
        <w:gridCol w:w="135"/>
        <w:gridCol w:w="135"/>
        <w:gridCol w:w="135"/>
        <w:gridCol w:w="135"/>
        <w:gridCol w:w="262"/>
        <w:gridCol w:w="635"/>
        <w:gridCol w:w="135"/>
        <w:gridCol w:w="109"/>
        <w:gridCol w:w="109"/>
        <w:gridCol w:w="109"/>
        <w:gridCol w:w="233"/>
        <w:gridCol w:w="235"/>
        <w:gridCol w:w="429"/>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color w:val="000000"/>
          <w:sz w:val="20"/>
        </w:rPr>
        <w:t>During the three and nine months ended September 30, 2025, the Company recorded net restructuring charges of $4.9 and $21.7, respectively, which are reflected within restructuring and other charges in the condensed consolidated statements of operations. These charges are associated with Company actions to streamline its operations and eliminate redundant positions</w:t>
      </w:r>
      <w:r>
        <w:rPr>
          <w:color w:val="EE2724"/>
        </w:rPr>
        <w:t xml:space="preserve"> </w:t>
      </w:r>
      <w:r>
        <w:rPr>
          <w:rFonts w:ascii="Times New Roman;serif" w:hAnsi="Times New Roman;serif"/>
          <w:b w:val="false"/>
          <w:color w:val="000000"/>
          <w:sz w:val="20"/>
        </w:rPr>
        <w:t>including $3.2 in impairment of facility related assets during the nine months ended September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2024, the Company recorded net restructuring charges of $8.8 and $22.5, respectively. These charges are associated with Company actions to align resources, and restructure certain operations and include eliminating redundant positions and aligning resources and facilities for cost improvements and to meet customer requirements.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tbl>
      <w:tblPr>
        <w:tblW w:w="9458" w:type="dxa"/>
        <w:jc w:val="left"/>
        <w:tblInd w:w="0" w:type="dxa"/>
        <w:tblLayout w:type="fixed"/>
        <w:tblCellMar>
          <w:top w:w="28" w:type="dxa"/>
          <w:left w:w="28" w:type="dxa"/>
          <w:bottom w:w="28" w:type="dxa"/>
          <w:right w:w="28" w:type="dxa"/>
        </w:tblCellMar>
      </w:tblPr>
      <w:tblGrid>
        <w:gridCol w:w="516"/>
        <w:gridCol w:w="452"/>
        <w:gridCol w:w="456"/>
        <w:gridCol w:w="284"/>
        <w:gridCol w:w="690"/>
        <w:gridCol w:w="147"/>
        <w:gridCol w:w="147"/>
        <w:gridCol w:w="147"/>
        <w:gridCol w:w="147"/>
        <w:gridCol w:w="284"/>
        <w:gridCol w:w="690"/>
        <w:gridCol w:w="147"/>
        <w:gridCol w:w="109"/>
        <w:gridCol w:w="109"/>
        <w:gridCol w:w="109"/>
        <w:gridCol w:w="203"/>
        <w:gridCol w:w="203"/>
        <w:gridCol w:w="367"/>
        <w:gridCol w:w="109"/>
        <w:gridCol w:w="109"/>
        <w:gridCol w:w="109"/>
        <w:gridCol w:w="261"/>
        <w:gridCol w:w="633"/>
        <w:gridCol w:w="135"/>
        <w:gridCol w:w="135"/>
        <w:gridCol w:w="135"/>
        <w:gridCol w:w="135"/>
        <w:gridCol w:w="261"/>
        <w:gridCol w:w="763"/>
        <w:gridCol w:w="135"/>
        <w:gridCol w:w="109"/>
        <w:gridCol w:w="109"/>
        <w:gridCol w:w="109"/>
        <w:gridCol w:w="293"/>
        <w:gridCol w:w="293"/>
        <w:gridCol w:w="418"/>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for the three months ended September 30, 2025, as compared with the corresponding period in 2024, was not significant.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interest expense for the nine months ended September 30, 2025, as compared with the corresponding period in 2024, was primarily due to the pay down of $70.2 on term loan A and $412.5 on term loan B, and the write-off of $12.2 of debt issuance costs associated with the pay down, during the six months ended June 30, 2024.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Foreign Exchange Loss</w:t>
      </w:r>
    </w:p>
    <w:tbl>
      <w:tblPr>
        <w:tblW w:w="10205" w:type="dxa"/>
        <w:jc w:val="left"/>
        <w:tblInd w:w="0" w:type="dxa"/>
        <w:tblLayout w:type="fixed"/>
        <w:tblCellMar>
          <w:top w:w="28" w:type="dxa"/>
          <w:left w:w="28" w:type="dxa"/>
          <w:bottom w:w="28" w:type="dxa"/>
          <w:right w:w="28" w:type="dxa"/>
        </w:tblCellMar>
      </w:tblPr>
      <w:tblGrid>
        <w:gridCol w:w="684"/>
        <w:gridCol w:w="602"/>
        <w:gridCol w:w="604"/>
        <w:gridCol w:w="289"/>
        <w:gridCol w:w="659"/>
        <w:gridCol w:w="149"/>
        <w:gridCol w:w="149"/>
        <w:gridCol w:w="149"/>
        <w:gridCol w:w="149"/>
        <w:gridCol w:w="289"/>
        <w:gridCol w:w="659"/>
        <w:gridCol w:w="149"/>
        <w:gridCol w:w="109"/>
        <w:gridCol w:w="109"/>
        <w:gridCol w:w="109"/>
        <w:gridCol w:w="360"/>
        <w:gridCol w:w="361"/>
        <w:gridCol w:w="367"/>
        <w:gridCol w:w="109"/>
        <w:gridCol w:w="109"/>
        <w:gridCol w:w="109"/>
        <w:gridCol w:w="266"/>
        <w:gridCol w:w="738"/>
        <w:gridCol w:w="137"/>
        <w:gridCol w:w="137"/>
        <w:gridCol w:w="137"/>
        <w:gridCol w:w="137"/>
        <w:gridCol w:w="266"/>
        <w:gridCol w:w="605"/>
        <w:gridCol w:w="137"/>
        <w:gridCol w:w="109"/>
        <w:gridCol w:w="109"/>
        <w:gridCol w:w="109"/>
        <w:gridCol w:w="308"/>
        <w:gridCol w:w="308"/>
        <w:gridCol w:w="429"/>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loss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foreign exchange loss for the three and nine months ended September 30, 2025 compared to the foreign exchange loss for three and nine months ended September 30, 2024 was primarily due to the fluctuations in the U.S. Dollar against the British Pound and the Euro.</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net</w:t>
      </w:r>
    </w:p>
    <w:tbl>
      <w:tblPr>
        <w:tblW w:w="8945" w:type="dxa"/>
        <w:jc w:val="left"/>
        <w:tblInd w:w="0" w:type="dxa"/>
        <w:tblLayout w:type="fixed"/>
        <w:tblCellMar>
          <w:top w:w="28" w:type="dxa"/>
          <w:left w:w="28" w:type="dxa"/>
          <w:bottom w:w="28" w:type="dxa"/>
          <w:right w:w="28" w:type="dxa"/>
        </w:tblCellMar>
      </w:tblPr>
      <w:tblGrid>
        <w:gridCol w:w="331"/>
        <w:gridCol w:w="291"/>
        <w:gridCol w:w="292"/>
        <w:gridCol w:w="318"/>
        <w:gridCol w:w="612"/>
        <w:gridCol w:w="164"/>
        <w:gridCol w:w="164"/>
        <w:gridCol w:w="164"/>
        <w:gridCol w:w="164"/>
        <w:gridCol w:w="318"/>
        <w:gridCol w:w="612"/>
        <w:gridCol w:w="164"/>
        <w:gridCol w:w="109"/>
        <w:gridCol w:w="109"/>
        <w:gridCol w:w="109"/>
        <w:gridCol w:w="203"/>
        <w:gridCol w:w="203"/>
        <w:gridCol w:w="367"/>
        <w:gridCol w:w="109"/>
        <w:gridCol w:w="109"/>
        <w:gridCol w:w="109"/>
        <w:gridCol w:w="290"/>
        <w:gridCol w:w="559"/>
        <w:gridCol w:w="150"/>
        <w:gridCol w:w="150"/>
        <w:gridCol w:w="150"/>
        <w:gridCol w:w="150"/>
        <w:gridCol w:w="290"/>
        <w:gridCol w:w="704"/>
        <w:gridCol w:w="150"/>
        <w:gridCol w:w="109"/>
        <w:gridCol w:w="109"/>
        <w:gridCol w:w="109"/>
        <w:gridCol w:w="293"/>
        <w:gridCol w:w="293"/>
        <w:gridCol w:w="418"/>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increase in other, net for the three months ended September 30, 2025, as compared with the corresponding period in 2024, was not significant.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decrease in other, net for the nine months ended September 30, 2025, as compared with the corresponding period in 2024, was primarily related to a change in the estimated amount of the contingent consideration payment on a sale of a facility to a third party. This decrease was partially offset by income related to services provided under transition services agreements.</w:t>
      </w:r>
    </w:p>
    <w:p>
      <w:pPr>
        <w:pStyle w:val="TextBody"/>
        <w:bidi w:val="0"/>
        <w:spacing w:lineRule="auto" w:line="288" w:before="0" w:after="180"/>
        <w:jc w:val="left"/>
        <w:rPr/>
      </w:pPr>
      <w:r>
        <w:rPr>
          <w:rFonts w:ascii="Times New Roman;serif" w:hAnsi="Times New Roman;serif"/>
          <w:b w:val="false"/>
          <w:i/>
          <w:color w:val="000000"/>
          <w:sz w:val="20"/>
        </w:rPr>
        <w:t>Income Tax (Benefit) Expense</w:t>
      </w:r>
      <w:r>
        <w:rPr>
          <w:color w:val="000000"/>
        </w:rPr>
        <w:t xml:space="preserve"> </w:t>
      </w:r>
    </w:p>
    <w:tbl>
      <w:tblPr>
        <w:tblW w:w="10084" w:type="dxa"/>
        <w:jc w:val="left"/>
        <w:tblInd w:w="0" w:type="dxa"/>
        <w:tblLayout w:type="fixed"/>
        <w:tblCellMar>
          <w:top w:w="28" w:type="dxa"/>
          <w:left w:w="28" w:type="dxa"/>
          <w:bottom w:w="28" w:type="dxa"/>
          <w:right w:w="28" w:type="dxa"/>
        </w:tblCellMar>
      </w:tblPr>
      <w:tblGrid>
        <w:gridCol w:w="1610"/>
        <w:gridCol w:w="1412"/>
        <w:gridCol w:w="1417"/>
        <w:gridCol w:w="230"/>
        <w:gridCol w:w="639"/>
        <w:gridCol w:w="295"/>
        <w:gridCol w:w="118"/>
        <w:gridCol w:w="118"/>
        <w:gridCol w:w="118"/>
        <w:gridCol w:w="230"/>
        <w:gridCol w:w="639"/>
        <w:gridCol w:w="295"/>
        <w:gridCol w:w="109"/>
        <w:gridCol w:w="109"/>
        <w:gridCol w:w="109"/>
        <w:gridCol w:w="250"/>
        <w:gridCol w:w="482"/>
        <w:gridCol w:w="321"/>
        <w:gridCol w:w="129"/>
        <w:gridCol w:w="129"/>
        <w:gridCol w:w="129"/>
        <w:gridCol w:w="250"/>
        <w:gridCol w:w="571"/>
        <w:gridCol w:w="375"/>
      </w:tblGrid>
      <w:tr>
        <w:trPr/>
        <w:tc>
          <w:tcPr>
            <w:tcW w:w="161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as a % of loss before tax</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the Company's effective tax rate was 44.6% compared to the 2024 tax rate of 48.3%. For the nine months ended September 30, 2025, the Company's effective tax rate was (0.7)% compared to the 2024 tax rate of 1.2%. The fluctuations in the quarter-to-date and year-to-date periods were primarily due to goodwill impairment with no tax benefit, withholding taxes on 2025 non-U.S. earnings that are not permanently reinvested, U.S. operating losses with a partial valuation allowance, and non-deductible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Liquidity, Capital Resources and Financial Position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During the nine months ended September 30, 2024, we paid down $70.2 on term loan A and $412.5 on term loan B. We have also entered into a senior secured revolving credit facility, which consists of a five-year facility in the principal amount of up to $450.0 as further discussed in Note 7, “Debt” to our condensed consolidated financial statements. As of September 30, 2025, there were no balances outstanding on the Company’s revolving credit facility and there were $2.3 in letters of credit issued under the letter of credit sublimit, resulting in $447.7 available for borrowing. The maximum revolver borrowing outstanding was $138.0 and $75.5 during the nine months ended September 30, 2025 and 2024, respectively.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October 20, 2025, the Company commenced a tender offer to repurchase up to $75.7 of the Company’s outstanding 7.50% Senior secured notes due 2030. The tender offer, which expires on November 18, 2025, is intended to comply with relevant provisions of the indenture governing the Notes relating to the Company’s requirement to repurchase a portion of the outstanding Notes following Fortrea’s sale of assets relating to its Enabling Services Segment.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above is a summary provided for informational purposes only and is not an offer to buy or the solicitation of an offer to sell any securities of the Company. The full details of the debt tender offer, including complete instructions on how to tender notes, are included in the offer to purchase which we distributed to noteholders.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September 30, 2025, the Company had sold $300.0 of receivables, which were derecognized from the Company’s consolidated balance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for the nine months ended September 30, 2025 and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the condensed consolidated statements of cash flows and the discussion of the cash flow activity. In summary, the Company’s cash flows were as follows:</w:t>
      </w:r>
    </w:p>
    <w:tbl>
      <w:tblPr>
        <w:tblW w:w="7723" w:type="dxa"/>
        <w:jc w:val="left"/>
        <w:tblInd w:w="0" w:type="dxa"/>
        <w:tblLayout w:type="fixed"/>
        <w:tblCellMar>
          <w:top w:w="28" w:type="dxa"/>
          <w:left w:w="28" w:type="dxa"/>
          <w:bottom w:w="28" w:type="dxa"/>
          <w:right w:w="28" w:type="dxa"/>
        </w:tblCellMar>
      </w:tblPr>
      <w:tblGrid>
        <w:gridCol w:w="1840"/>
        <w:gridCol w:w="1620"/>
        <w:gridCol w:w="1625"/>
        <w:gridCol w:w="251"/>
        <w:gridCol w:w="699"/>
        <w:gridCol w:w="130"/>
        <w:gridCol w:w="130"/>
        <w:gridCol w:w="130"/>
        <w:gridCol w:w="130"/>
        <w:gridCol w:w="251"/>
        <w:gridCol w:w="734"/>
        <w:gridCol w:w="183"/>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provided by operating activities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September 30, 2025 and 2024 totaled $131.3 and $105.3, respectively. Cash and cash equivalents consist of highly liquid instruments, such as commercial paper, time deposits and other money market instruments, which have maturities when purchased of three months or less.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Company’s operations used $15.6 of cash as compared to $245.7 of cash provided by operations during the nine months ended September 30, 2024. The increase in cash used of $261.3 for the nine months ended September 30, 2025 was primarily due to decreases in cash received from unearned revenue and accounts receivable, driven by the sale of receivables under the Receivables Facility during the nine months ended September 30, 2024, and an increase in cash used for accounts payable. These cash decreases were partially offset by lower use of cash for prepaid expenses, interest and income taxes.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jc w:val="left"/>
        <w:rPr/>
      </w:pPr>
      <w:r>
        <w:rPr>
          <w:rFonts w:ascii="Times New Roman;serif" w:hAnsi="Times New Roman;serif"/>
          <w:b w:val="false"/>
          <w:color w:val="000000"/>
          <w:sz w:val="20"/>
        </w:rPr>
        <w:t>Net cash provided by investing activities for the nine months ended September 30, 2025 was $21.9 as compared to $248.1 for the nine months ended September 30, 2024. The $226.2 decrease in net cash provided by investing activities for the nine months ended September 30, 2025 was</w:t>
      </w:r>
      <w:r>
        <w:rPr>
          <w:color w:val="EE2724"/>
        </w:rPr>
        <w:t xml:space="preserve"> </w:t>
      </w:r>
      <w:r>
        <w:rPr>
          <w:rFonts w:ascii="Times New Roman;serif" w:hAnsi="Times New Roman;serif"/>
          <w:b w:val="false"/>
          <w:color w:val="000000"/>
          <w:sz w:val="20"/>
        </w:rPr>
        <w:t>primarily due to $276.6 of net proceeds from the sale of the Enabling Services Segment during the nine months ended September 30, 2024 offset by receipt of the first and second milestone payments related to the sale during the nine months ended September 30, 2025, and</w:t>
      </w:r>
      <w:r>
        <w:rPr>
          <w:color w:val="EE2724"/>
        </w:rPr>
        <w:t xml:space="preserve"> </w:t>
      </w:r>
      <w:r>
        <w:rPr>
          <w:rFonts w:ascii="Times New Roman;serif" w:hAnsi="Times New Roman;serif"/>
          <w:b w:val="false"/>
          <w:color w:val="000000"/>
          <w:sz w:val="20"/>
        </w:rPr>
        <w:t>a year over year decrease in capital expenditures. Capital expenditures were $17.7 and $28.7 for the nine months ended September 30, 2025 and 2024, respectively. Capital expenditures for the nine months ended September 30, 2025 were 0.9% of revenues, primarily in connection with projects to support growth in the Company's core businesses. The Company intends to continue to pursue selective investments in key therapeutic areas, business areas and geographies to drive growth and to improve efficiency of the Company's operations. Such expenditures are expected to be funded by cash flow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for the nine months ended September 30, 2025 was $0.6 compared to cash used for financing activities of $496.7 for the nine months ended September 30, 2024. Cash used for financing activities for the nine months ended September 30, 2025 was not significant.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does not have any off-balance sheet financing other than short term operating leases and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chosen accounting policies that management believes are appropriate to accurately and fairly report our operating results and financial position in conformity with U.S. GAAP. We apply these accounting policies in a consistent manner. The Company’s critical accounting policies are summarized in Note 2, “Summary of Significant Accounting Policies” to the consolidated and combined financial statements included in the Annual Report on Form 10-K.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application of these accounting policies requires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accounting policies that involve the most significant estimates, assumptions and management judgments used in preparation of the condensed consolidated financial statements, or are the most sensitive to change due to outside factors, are discussed in Management’s Discussion and Analysis in the Form 10-K.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policy is to assess goodwill for impairment annually as of October 1, with more frequent assessments if events or changes in circumstances indicate the carrying amount may not be recoverable. Based on the annual test performed on October 1, 2024, it was previously determined that the fair values of our reporting units were greater than the carrying values, resulting in no impairment. For the Clinical Development reporting unit, the fair value of the business exceeded the book value by approximately 10% as of October 1, 2024.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first and second quarters of 2025, due to sustained declines in our share price and uncertainties in global macroeconomic conditions, we determined that indicators of impairment existed. As a result, we performed interim impairment tests as of March 31, 2025 and June 30, 2025. There were no indicators of impairment for the three months ended September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the results of the quantitative assessment as of March 31, 2025, we concluded that the fair value of the Clinical Development reporting unit was less than its carrying value and recorded a goodwill impairment of $488.8.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Based upon the results of the quantitative assessment as of June 30, 2025, we concluded that the fair value of the Clinical Development reporting unit was less than its carrying value and recorded a goodwill impairment of $309.1.</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Clinical Pharmacology reporting unit, the fair value of the business substantially exceeded the book value as of March 31, 2025 and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current assumptions and estimates used in our goodwill impairment analysis are reasonable, supportable, and appropriate, continued efforts to maintain or improve the performance of these businesses could be impacted by unfavorable or unforeseen changes which could impact the existing assumptions used in the impairment analysis. Various factors could reasonably be expected to unfavorably impact existing assumptions: primarily delays in new customer bookings and the related delay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 It is possible that our conclusions regarding impairment or recoverability of goodwill in any reporting unit could change in future periods. There can be no assurance that the estimates and assumptions used in our goodwill impairment testing performed as of March 31, 2025 and June 30, 2025 will prove to be accurate predictions of the future, if, for example, (i) the businesses do not perform as projected, (ii) overall economic conditions in 2025 or future years vary from current assumptions (including changes in discount rates), (iii) business conditions or strategies for a specific reporting unit change from current assumptions, including loss of major customers, (iv) investors require higher rates of return on equity investments in the marketplace or (v) enterprise values of comparable publicly traded companies, or actual sales transactions of comparable companies, were to decline, resulting in lower multiples of revenues and EBITDA.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our share price was to suffer further sustained declines in the future, or other indicators of impairment are present in future reporting periods, additional impairment testing will be required, which could result in further impairment charges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(in millions)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associated with changes in foreign currency exchange rates and interest rates, through a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Note 8, “Derivative Instruments and Hedging Activities” to the condensed consolidated financial statements for information on how the Company utilizes derivative financial instruments.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Approximately 15.5% and 17.2% of our revenues for the nine months ended September 30, 2025 and 2024,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financial results. In the nine months ended September 30, 2025 and the year ended December 31, 2024, the most significant currency exchange rate exposure was the Euro. Excluding the impacts from any outstanding or future hedging transactions, a hypothetical change of 10% in average exchange rates used to translate all foreign currencies to USD would have impacted operating loss for the nine months ended September 30, 2025 by approximately $0.9. Gross accumulated currency translation adjustments recorded as a separate component of stockholders’ equity were $113.1 and $38.0 at September 30, 2025 and September 30, 2024, respectively. We do not have significant operations in countries in which the economy is considered to be highly inflationary.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particular, we face the market risks associated with interest rate movements on our variable rate debt. We entered into a variable-to-fixed interest rate swap with respect to some of our floating rate debt in August 2023. At September 30, 2025, we had $572.0 outstanding related to our variable rate debt. Excluding the impacts from any outstanding or future variable-to-fixed interest rate swap transactions, a hypothetical 1% increase in interest rates would result in increased interest expenses of $5.7. We expect to continue to be exposed to an element of market risk from changes to interest rates, including on any refinancing of debt. We expect to regularly assess market risks and to establish policies and business practices to protect against the adverse effects of these exposures. See Note 7, “Debt”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 We review our disclosure controls and procedures and our internal control over financial reporting on an on-going basis and may from time to time make changes aimed at enhancing their effectiveness to ensure that our systems evolve with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September 30, 2025. Based on this evaluation, our chief executive officer and our chief financial officer have concluded that, as of the end of the period covered by this report, our disclosure controls and procedures were effective to accomplish their objectives at the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our internal control over financial reporting that occurred during the quarter ended September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Note 9, “Commitments and Contingent Liabilities” to the condensed consolidated financial statements,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as set forth below, there have been no material changes to the risk factors described in our Annual Report on Form 10-K for the year ended December 31, 2024, as filed with the SEC on March 3, 2025. For a discussion of the risks relating to our business, see the “Risk Factors” section of our Annual Report on Form 10-K, the “Cautionary Statement Concerning Forward-Looking Statements” set forth in Part I, Item 2 of this Form 10-Q, and as updated by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and uncertainty regarding U.S. regulations, government policies, government funding decisions, trade policies or tariffs could have a material adverse effect upon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regulations, government funding, government funding decisions, trade policies, pricing policies and tariffs imposed by the U.S. and other governments could have an impact on our business and our pharmaceutical, biotechnology and medical device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Significant political, trade, or regulatory developments in the jurisdictions in which we operate, such as those stemming from the U.S. administration, are difficult to predict and may have a material adverse effect on us. Similarly, changes in U.S. administration policy or the policies of foreign countries that affect the geopolitical landscape could give rise to circumstances outside our control that could negatively impact our business operations, including movement of data, particularly given our international operations, or could subject us to additional risks and expenses including discriminatory or conflicting trade policies, sanctions or tariffs. The extent and duration of increased tariffs or sanctions and the resulting impact on general economic conditions and on our business are uncertain and depend on various factors, including but not limited to negotiations between the U.S. and affected countries, the responses of other countries or regions, and exemptions or exclusions that may be granted. The existing and any further trade restrictions, retaliatory trade measures, sanctions and additional tariffs could result in increased costs, disruptions in global shipping and supply chains, restrictions on access to markets and customers, inability to conduct clinical trials in other countries and impacts on our customers and their R&amp;D budgets and priorities, all of which could adversely affect our results of operations or financial condition. In particular, the exposure among certain of our customers to tariffs, pricing mandates, and trade restrictions along with their limited ability to quickly relocate manufacturing may increase capital requirements and create additional pressure on such customers during what may be a period of reduced investment and could create a risk to growth, which could in turn impact our results of operations or financial condition. We and our customers may not be able to fully mitigate the impact of these operational issues, market forces and increased costs or pass price increases on to our customers. While tariffs, pricing, and other trade measures have not yet had a significant impact on our business or results of operations, we cannot predict further developments, and how they may adversely affect our results of operations or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reductions in funding of government agencies and programs relevant to the pharmaceutical, biotechnology and medical device industries—such as the Food and Drug Administration, the National Institutes of Health, and Medicaid—or changes in funding priorities relevant to the pharmaceutical, biotechnology and medical device industries could adversely affect those industries, which could in turn have an effect on the demand for clinical trials and our business. At this time, it is unclear exactly how changes at the federal and state level, as well as any future changes that are made, will impact the industry, what changes will be made to the healthcare reform measures of prior administrations, or whether the government could impose other reform efforts, whether by statute, regulation or executive order, including what, if any, impact such changes could have on our business. We may be unable to anticipate changes in regulatory regimes of the governments where we operate and, therefore, be unable to make timely operational or other changes, assuming we are in a position to effectively respond to any such change, which may not be the case, or to ensure compliance with applicable regulations or orders, all of which could have a material adverse effect on our business. Further, the uncertainties described above may lead to slower decision making and/or could lead to fewer decisions to proceed with studies due to the increased risk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stockholder rights agreement could discourage, delay, or prevent a change in control over us and may affect the trading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June 2025, our Board of Directors adopted a stockholder rights plan and declared a dividend of one preferred share purchase right (a “Right”) for each share of our common stock outstanding on June 23, 2025 to the stockholders of record on that date. In the event that a person or group of affiliated or associated persons has acquired beneficial ownership of 10% or more of our outstanding common stock, subject to certain exceptions, each Right would entitle its holder (other than such person or members of such group) to purchase additional shares of our common stock at a substantial discount to the public market price. In addition, at any time after a person or group of affiliated or associated persons has acquired beneficial ownership of 10% or more of our outstanding common stock (and prior to the acquisition by any person or group of a majority of the outstanding shares of our common stock), the Board of Directors may exchange one share of our common stock for each outstanding Right (other than Rights owned by such person or group, which would have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stockholder rights plan would cause dilution to a person or group of affiliated or associated persons that acquires a large block of our common stock and thereby make it more difficult for such person or group of affiliated or associated persons to acquire the Company. The foregoing factors could impede a merger, takeover, or other business combination, or discourage a potential investor from making a tender offer for our common stock, which, under certain circumstances, could reduce the market value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directors or officers (as defined in Rule 16a-1(f) of the Exchange Act) adopted or terminated any contract, instruction or written plan that was intended to satisfy the affirmative defense conditions of Rule 10b5-1(c) of the Exchange Act or any non-Rule 10b5-1 trading arrangement for the purchase or sale of our securities within the meaning of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exhibits below are filed or furnished as a part of this report and are incorporated herein by reference.</w:t>
      </w:r>
    </w:p>
    <w:tbl>
      <w:tblPr>
        <w:tblW w:w="10205" w:type="dxa"/>
        <w:jc w:val="left"/>
        <w:tblInd w:w="0" w:type="dxa"/>
        <w:tblLayout w:type="fixed"/>
        <w:tblCellMar>
          <w:top w:w="28" w:type="dxa"/>
          <w:left w:w="28" w:type="dxa"/>
          <w:bottom w:w="28" w:type="dxa"/>
          <w:right w:w="28" w:type="dxa"/>
        </w:tblCellMar>
      </w:tblPr>
      <w:tblGrid>
        <w:gridCol w:w="342"/>
        <w:gridCol w:w="300"/>
        <w:gridCol w:w="301"/>
        <w:gridCol w:w="109"/>
        <w:gridCol w:w="109"/>
        <w:gridCol w:w="109"/>
        <w:gridCol w:w="1159"/>
        <w:gridCol w:w="1134"/>
        <w:gridCol w:w="1137"/>
        <w:gridCol w:w="109"/>
        <w:gridCol w:w="109"/>
        <w:gridCol w:w="109"/>
        <w:gridCol w:w="305"/>
        <w:gridCol w:w="305"/>
        <w:gridCol w:w="306"/>
        <w:gridCol w:w="109"/>
        <w:gridCol w:w="109"/>
        <w:gridCol w:w="109"/>
        <w:gridCol w:w="220"/>
        <w:gridCol w:w="220"/>
        <w:gridCol w:w="221"/>
        <w:gridCol w:w="114"/>
        <w:gridCol w:w="114"/>
        <w:gridCol w:w="114"/>
        <w:gridCol w:w="269"/>
        <w:gridCol w:w="269"/>
        <w:gridCol w:w="258"/>
        <w:gridCol w:w="114"/>
        <w:gridCol w:w="114"/>
        <w:gridCol w:w="114"/>
        <w:gridCol w:w="240"/>
        <w:gridCol w:w="240"/>
        <w:gridCol w:w="241"/>
        <w:gridCol w:w="114"/>
        <w:gridCol w:w="114"/>
        <w:gridCol w:w="114"/>
        <w:gridCol w:w="209"/>
        <w:gridCol w:w="209"/>
        <w:gridCol w:w="31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 No.</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Fortrea Holdings Inc 2025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333-289976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29-Aug-25</w:t>
            </w:r>
          </w:p>
        </w:tc>
      </w:tr>
      <w:tr>
        <w:trPr/>
        <w:tc>
          <w:tcPr>
            <w:tcW w:w="9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tbl>
      <w:tblPr>
        <w:tblW w:w="10205" w:type="dxa"/>
        <w:jc w:val="left"/>
        <w:tblInd w:w="0" w:type="dxa"/>
        <w:tblLayout w:type="fixed"/>
        <w:tblCellMar>
          <w:top w:w="28" w:type="dxa"/>
          <w:left w:w="28" w:type="dxa"/>
          <w:bottom w:w="28" w:type="dxa"/>
          <w:right w:w="28" w:type="dxa"/>
        </w:tblCellMar>
      </w:tblPr>
      <w:tblGrid>
        <w:gridCol w:w="243"/>
        <w:gridCol w:w="197"/>
        <w:gridCol w:w="198"/>
        <w:gridCol w:w="109"/>
        <w:gridCol w:w="109"/>
        <w:gridCol w:w="109"/>
        <w:gridCol w:w="1973"/>
        <w:gridCol w:w="1973"/>
        <w:gridCol w:w="197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2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5exhibit-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Instance document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pPr>
      <w:hyperlink w:anchor="i68e8a57ea873451e9eac398c89dff935_7">
        <w:r>
          <w:rPr>
            <w:rStyle w:val="InternetLink"/>
            <w:rFonts w:ascii="Times New Roman;serif" w:hAnsi="Times New Roman;serif"/>
            <w:b w:val="false"/>
            <w:color w:val="000080"/>
            <w:sz w:val="20"/>
            <w:u w:val="single"/>
          </w:rPr>
          <w:t xml:space="preserve">Table </w:t>
        </w:r>
      </w:hyperlink>
      <w:hyperlink w:anchor="i68e8a57ea873451e9eac398c89dff935_7">
        <w:r>
          <w:rPr>
            <w:rStyle w:val="InternetLink"/>
            <w:rFonts w:ascii="Times New Roman;serif" w:hAnsi="Times New Roman;serif"/>
            <w:b w:val="false"/>
            <w:color w:val="000080"/>
            <w:sz w:val="20"/>
            <w:u w:val="single"/>
          </w:rPr>
          <w:t>of</w:t>
        </w:r>
      </w:hyperlink>
      <w:hyperlink w:anchor="i68e8a57ea873451e9eac398c89dff935_7">
        <w:r>
          <w:rPr>
            <w:rStyle w:val="InternetLink"/>
            <w:rFonts w:ascii="Times New Roman;serif" w:hAnsi="Times New Roman;serif"/>
            <w:b w:val="false"/>
            <w:color w:val="000080"/>
            <w:sz w:val="20"/>
            <w:u w:val="single"/>
          </w:rPr>
          <w:t xml:space="preserve"> Contents</w:t>
        </w:r>
      </w:hyperlink>
    </w:p>
    <w:p>
      <w:pPr>
        <w:pStyle w:val="TextBody"/>
        <w:bidi w:val="0"/>
        <w:spacing w:lineRule="auto" w:line="26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8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 xml:space="preserve">Fortrea Holdings Inc. </w:t>
      </w:r>
    </w:p>
    <w:tbl>
      <w:tblPr>
        <w:tblW w:w="617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21"/>
        <w:gridCol w:w="1521"/>
        <w:gridCol w:w="2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Title:</w:t>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 and as Principal Financial Officer)</w:t>
            </w:r>
          </w:p>
        </w:tc>
      </w:tr>
    </w:tbl>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Anshul Thakral,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5339" w:type="dxa"/>
        <w:jc w:val="left"/>
        <w:tblInd w:w="0" w:type="dxa"/>
        <w:tblLayout w:type="fixed"/>
        <w:tblCellMar>
          <w:top w:w="28" w:type="dxa"/>
          <w:left w:w="28" w:type="dxa"/>
          <w:bottom w:w="28" w:type="dxa"/>
          <w:right w:w="28" w:type="dxa"/>
        </w:tblCellMar>
      </w:tblPr>
      <w:tblGrid>
        <w:gridCol w:w="759"/>
        <w:gridCol w:w="668"/>
        <w:gridCol w:w="672"/>
        <w:gridCol w:w="945"/>
        <w:gridCol w:w="945"/>
        <w:gridCol w:w="135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68" w:before="0" w:after="0"/>
        <w:jc w:val="center"/>
        <w:rPr/>
      </w:pPr>
      <w:r>
        <w:rPr>
          <w:rFonts w:ascii="Times New Roman;serif" w:hAnsi="Times New Roman;serif"/>
          <w:b/>
          <w:color w:val="000000"/>
          <w:sz w:val="20"/>
        </w:rPr>
        <w:t>CERTIFICATION OF PERIODIC REPORT UNDER SECTION 302</w:t>
      </w:r>
      <w:r>
        <w:rPr>
          <w:color w:val="000000"/>
        </w:rPr>
        <w:t xml:space="preserve">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Jill McConnell, certify that:</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Fortrea Holdings Inc. (the “registrant”); </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6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tbl>
      <w:tblPr>
        <w:tblW w:w="4514" w:type="dxa"/>
        <w:jc w:val="left"/>
        <w:tblInd w:w="0" w:type="dxa"/>
        <w:tblLayout w:type="fixed"/>
        <w:tblCellMar>
          <w:top w:w="28" w:type="dxa"/>
          <w:left w:w="28" w:type="dxa"/>
          <w:bottom w:w="28" w:type="dxa"/>
          <w:right w:w="28" w:type="dxa"/>
        </w:tblCellMar>
      </w:tblPr>
      <w:tblGrid>
        <w:gridCol w:w="759"/>
        <w:gridCol w:w="668"/>
        <w:gridCol w:w="672"/>
        <w:gridCol w:w="706"/>
        <w:gridCol w:w="706"/>
        <w:gridCol w:w="100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McConnell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Anshul Thakral, Chief Executive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September 30, 2025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5339" w:type="dxa"/>
        <w:jc w:val="left"/>
        <w:tblInd w:w="0" w:type="dxa"/>
        <w:tblLayout w:type="fixed"/>
        <w:tblCellMar>
          <w:top w:w="28" w:type="dxa"/>
          <w:left w:w="28" w:type="dxa"/>
          <w:bottom w:w="28" w:type="dxa"/>
          <w:right w:w="28" w:type="dxa"/>
        </w:tblCellMar>
      </w:tblPr>
      <w:tblGrid>
        <w:gridCol w:w="759"/>
        <w:gridCol w:w="668"/>
        <w:gridCol w:w="672"/>
        <w:gridCol w:w="945"/>
        <w:gridCol w:w="945"/>
        <w:gridCol w:w="135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Thakral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Anshul Thakral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AS ADOPTED PURSUANT TO SECTION 906</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SARBANES-OXLEY ACT OF 2002</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 Jill McConnell, Chief Financial Officer of Fortrea Holdings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of the Company for the quarter ended September 30, 2025 (the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jc w:val="left"/>
        <w:rPr/>
      </w:pPr>
      <w:r>
        <w:rPr/>
      </w:r>
    </w:p>
    <w:tbl>
      <w:tblPr>
        <w:tblW w:w="4514" w:type="dxa"/>
        <w:jc w:val="left"/>
        <w:tblInd w:w="0" w:type="dxa"/>
        <w:tblLayout w:type="fixed"/>
        <w:tblCellMar>
          <w:top w:w="28" w:type="dxa"/>
          <w:left w:w="28" w:type="dxa"/>
          <w:bottom w:w="28" w:type="dxa"/>
          <w:right w:w="28" w:type="dxa"/>
        </w:tblCellMar>
      </w:tblPr>
      <w:tblGrid>
        <w:gridCol w:w="759"/>
        <w:gridCol w:w="668"/>
        <w:gridCol w:w="672"/>
        <w:gridCol w:w="706"/>
        <w:gridCol w:w="706"/>
        <w:gridCol w:w="100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McConnell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McConnell</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5040/000196504025000094/exhibit991fortrea2025induc.htm" TargetMode="External"/><Relationship Id="rId3" Type="http://schemas.openxmlformats.org/officeDocument/2006/relationships/hyperlink" Target="https://www.sec.gov/Archives/edgar/data/1965040/000196504025000094/exhibit991fortrea2025induc.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18711</Words>
  <Characters>104123</Characters>
  <CharactersWithSpaces>121532</CharactersWithSpaces>
  <Paragraphs>2314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