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 14a-101)</w:t>
      </w:r>
    </w:p>
    <w:p>
      <w:pPr>
        <w:jc w:val="center"/>
        <w:ind w:right="-1100"/>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1" w:lineRule="auto"/>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163"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3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6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18" w:lineRule="exact"/>
        <w:rPr>
          <w:sz w:val="24"/>
          <w:szCs w:val="24"/>
          <w:color w:val="auto"/>
        </w:rPr>
      </w:pPr>
    </w:p>
    <w:p>
      <w:pPr>
        <w:ind w:left="3580"/>
        <w:spacing w:after="0"/>
        <w:rPr>
          <w:sz w:val="20"/>
          <w:szCs w:val="20"/>
          <w:color w:val="auto"/>
        </w:rPr>
      </w:pPr>
      <w:r>
        <w:rPr>
          <w:rFonts w:ascii="Arial" w:cs="Arial" w:eastAsia="Arial" w:hAnsi="Arial"/>
          <w:sz w:val="32"/>
          <w:szCs w:val="32"/>
          <w:b w:val="1"/>
          <w:bCs w:val="1"/>
          <w:color w:val="auto"/>
        </w:rPr>
        <w:t>FORTREA HOLDINGS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Not applicable.</w:t>
      </w:r>
    </w:p>
    <w:p>
      <w:pPr>
        <w:spacing w:after="0" w:line="39"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9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all boxes that apply):</w:t>
      </w:r>
    </w:p>
    <w:p>
      <w:pPr>
        <w:spacing w:after="0" w:line="248"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6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MS PGothic" w:cs="MS PGothic" w:eastAsia="MS PGothic" w:hAnsi="MS PGothic"/>
          <w:sz w:val="16"/>
          <w:szCs w:val="16"/>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192405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29450" cy="1002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29450" cy="10020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FORTREA HOLDINGS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8 MOORE DRIVE, DURHAM, NORTH CAROLINA 27713</w:t>
      </w:r>
    </w:p>
    <w:p>
      <w:pPr>
        <w:sectPr>
          <w:pgSz w:w="11900" w:h="16838" w:orient="portrait"/>
          <w:cols w:equalWidth="0" w:num="1">
            <w:col w:w="11020"/>
          </w:cols>
          <w:pgMar w:left="320" w:top="482" w:right="559" w:bottom="1440" w:gutter="0" w:footer="0" w:header="0"/>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27, 2026</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are cordially invited to attend the 2026 Annual Meeting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of Fortrea Holdings Inc. virtually at 8:00 a.m. Eastern Time,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Tuesday, June 9, 2026, at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www.virtualshareholdermeeting.com/FTRE2026.</w:t>
      </w:r>
    </w:p>
    <w:p>
      <w:pPr>
        <w:spacing w:after="0" w:line="12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Notice of Meeting and Proxy Statement on the following pages describe the matters to be presented at the Annual Meeting. If you would like to attend the Annual Meeting, please review the section called “Who Can Attend the Annual Meeting?” on page 5 of the proxy statement for more information about how to attend the meeting.</w:t>
      </w:r>
    </w:p>
    <w:p>
      <w:pPr>
        <w:spacing w:after="0" w:line="11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Proxy materials, which include a Notice of Internet Availability, proxy statement, and proxy card, are first being made available to stockholders of Fortrea Holdings Inc. on or about April 27, 2026. 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74470" cy="951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Anshul Thakral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2">
            <w:col w:w="5400" w:space="340"/>
            <w:col w:w="5280"/>
          </w:cols>
          <w:pgMar w:left="320" w:top="482" w:right="5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5"/>
          <w:szCs w:val="35"/>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82" w:right="499" w:bottom="1000" w:gutter="0" w:footer="0" w:header="0"/>
        </w:sect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9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Notice of Annual Meeting of Stockholders</w:t>
            </w:r>
          </w:p>
        </w:tc>
        <w:tc>
          <w:tcPr>
            <w:tcW w:w="1780" w:type="dxa"/>
            <w:vAlign w:val="bottom"/>
            <w:gridSpan w:val="6"/>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14"/>
        </w:trPr>
        <w:tc>
          <w:tcPr>
            <w:tcW w:w="12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Proxy Statement</w:t>
            </w:r>
          </w:p>
        </w:tc>
        <w:tc>
          <w:tcPr>
            <w:tcW w:w="356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4440" w:type="dxa"/>
            <w:vAlign w:val="bottom"/>
            <w:gridSpan w:val="15"/>
          </w:tcPr>
          <w:p>
            <w:pPr>
              <w:spacing w:after="0"/>
              <w:rPr>
                <w:sz w:val="20"/>
                <w:szCs w:val="20"/>
                <w:color w:val="auto"/>
              </w:rPr>
            </w:pPr>
            <w:r>
              <w:rPr>
                <w:rFonts w:ascii="Arial" w:cs="Arial" w:eastAsia="Arial" w:hAnsi="Arial"/>
                <w:sz w:val="16"/>
                <w:szCs w:val="16"/>
                <w:color w:val="0000EE"/>
              </w:rPr>
              <w:t>Proposals</w:t>
            </w: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440" w:type="dxa"/>
            <w:vAlign w:val="bottom"/>
            <w:gridSpan w:val="15"/>
          </w:tcPr>
          <w:p>
            <w:pPr>
              <w:spacing w:after="0"/>
              <w:rPr>
                <w:sz w:val="20"/>
                <w:szCs w:val="20"/>
                <w:color w:val="auto"/>
              </w:rPr>
            </w:pPr>
            <w:r>
              <w:rPr>
                <w:rFonts w:ascii="Arial" w:cs="Arial" w:eastAsia="Arial" w:hAnsi="Arial"/>
                <w:sz w:val="16"/>
                <w:szCs w:val="16"/>
                <w:color w:val="0000EE"/>
              </w:rPr>
              <w:t>Recommendations of the Board</w:t>
            </w: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Information About This Proxy Statement</w:t>
            </w:r>
          </w:p>
        </w:tc>
        <w:tc>
          <w:tcPr>
            <w:tcW w:w="156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615"/>
        </w:trPr>
        <w:tc>
          <w:tcPr>
            <w:tcW w:w="4760" w:type="dxa"/>
            <w:vAlign w:val="bottom"/>
            <w:gridSpan w:val="16"/>
          </w:tcPr>
          <w:p>
            <w:pPr>
              <w:spacing w:after="0"/>
              <w:rPr>
                <w:sz w:val="20"/>
                <w:szCs w:val="20"/>
                <w:color w:val="auto"/>
              </w:rPr>
            </w:pPr>
            <w:r>
              <w:rPr>
                <w:rFonts w:ascii="Arial" w:cs="Arial" w:eastAsia="Arial" w:hAnsi="Arial"/>
                <w:sz w:val="16"/>
                <w:szCs w:val="16"/>
                <w:color w:val="0000EE"/>
              </w:rPr>
              <w:t>Questions and Answers About the 2026 Annual Meeting of</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94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9"/>
              </w:rPr>
              <w:t>Stockholders</w:t>
            </w:r>
          </w:p>
        </w:tc>
        <w:tc>
          <w:tcPr>
            <w:tcW w:w="3260" w:type="dxa"/>
            <w:vAlign w:val="bottom"/>
            <w:tcBorders>
              <w:top w:val="single" w:sz="8" w:color="0000EE"/>
            </w:tcBorders>
            <w:gridSpan w:val="11"/>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5"/>
        </w:trPr>
        <w:tc>
          <w:tcPr>
            <w:tcW w:w="232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Proposal 1: Election of Directors</w:t>
            </w:r>
          </w:p>
        </w:tc>
        <w:tc>
          <w:tcPr>
            <w:tcW w:w="244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Vote Required</w:t>
            </w:r>
          </w:p>
        </w:tc>
        <w:tc>
          <w:tcPr>
            <w:tcW w:w="340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08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Recommendation of the Board of Directors</w:t>
            </w:r>
          </w:p>
        </w:tc>
        <w:tc>
          <w:tcPr>
            <w:tcW w:w="13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615"/>
        </w:trPr>
        <w:tc>
          <w:tcPr>
            <w:tcW w:w="4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Proposal 2: Ratification of Appointment of Independent Registered</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Public Accounting Firm</w:t>
            </w:r>
          </w:p>
        </w:tc>
        <w:tc>
          <w:tcPr>
            <w:tcW w:w="3100" w:type="dxa"/>
            <w:vAlign w:val="bottom"/>
            <w:gridSpan w:val="9"/>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Vote Required</w:t>
            </w:r>
          </w:p>
        </w:tc>
        <w:tc>
          <w:tcPr>
            <w:tcW w:w="340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08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Recommendation of the Board of Directors</w:t>
            </w:r>
          </w:p>
        </w:tc>
        <w:tc>
          <w:tcPr>
            <w:tcW w:w="136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615"/>
        </w:trPr>
        <w:tc>
          <w:tcPr>
            <w:tcW w:w="4760" w:type="dxa"/>
            <w:vAlign w:val="bottom"/>
            <w:gridSpan w:val="16"/>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40" w:type="dxa"/>
            <w:vAlign w:val="bottom"/>
            <w:gridSpan w:val="11"/>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760" w:type="dxa"/>
            <w:vAlign w:val="bottom"/>
            <w:gridSpan w:val="16"/>
          </w:tcPr>
          <w:p>
            <w:pPr>
              <w:spacing w:after="0"/>
              <w:rPr>
                <w:sz w:val="20"/>
                <w:szCs w:val="20"/>
                <w:color w:val="auto"/>
              </w:rPr>
            </w:pPr>
            <w:r>
              <w:rPr>
                <w:rFonts w:ascii="Arial" w:cs="Arial" w:eastAsia="Arial" w:hAnsi="Arial"/>
                <w:sz w:val="16"/>
                <w:szCs w:val="16"/>
                <w:color w:val="0000EE"/>
              </w:rPr>
              <w:t>Independent Registered Public Accounting Firm Fees and Other</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460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Matters</w:t>
            </w: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Executive Compensation</w:t>
            </w:r>
          </w:p>
        </w:tc>
        <w:tc>
          <w:tcPr>
            <w:tcW w:w="3000" w:type="dxa"/>
            <w:vAlign w:val="bottom"/>
            <w:gridSpan w:val="14"/>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6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Compensation Discussion &amp; Analysis</w:t>
            </w:r>
          </w:p>
        </w:tc>
        <w:tc>
          <w:tcPr>
            <w:tcW w:w="18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22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9"/>
              </w:rPr>
              <w:t>Summary Compensation Table</w:t>
            </w:r>
          </w:p>
        </w:tc>
        <w:tc>
          <w:tcPr>
            <w:tcW w:w="226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Arial" w:cs="Arial" w:eastAsia="Arial" w:hAnsi="Arial"/>
                <w:sz w:val="16"/>
                <w:szCs w:val="16"/>
                <w:color w:val="0000EE"/>
              </w:rPr>
              <w:t>All Other Compensation</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21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Grants of Plan-Based Awards</w:t>
            </w:r>
          </w:p>
        </w:tc>
        <w:tc>
          <w:tcPr>
            <w:tcW w:w="234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3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Outstanding Equity Awards at Fiscal Year-End</w:t>
            </w:r>
          </w:p>
        </w:tc>
        <w:tc>
          <w:tcPr>
            <w:tcW w:w="116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5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Option Exercises and Stock Vested</w:t>
            </w:r>
          </w:p>
        </w:tc>
        <w:tc>
          <w:tcPr>
            <w:tcW w:w="194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Arial" w:cs="Arial" w:eastAsia="Arial" w:hAnsi="Arial"/>
                <w:sz w:val="16"/>
                <w:szCs w:val="16"/>
                <w:color w:val="0000EE"/>
              </w:rPr>
              <w:t>Nonqualified Deferred Compensation</w:t>
            </w: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2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Arial" w:cs="Arial" w:eastAsia="Arial" w:hAnsi="Arial"/>
                <w:sz w:val="16"/>
                <w:szCs w:val="16"/>
                <w:color w:val="0000EE"/>
              </w:rPr>
              <w:t>CEO Pay Ratio</w:t>
            </w: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Pay versus Performance</w:t>
            </w:r>
          </w:p>
        </w:tc>
        <w:tc>
          <w:tcPr>
            <w:tcW w:w="27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615"/>
        </w:trPr>
        <w:tc>
          <w:tcPr>
            <w:tcW w:w="4800" w:type="dxa"/>
            <w:vAlign w:val="bottom"/>
            <w:gridSpan w:val="19"/>
          </w:tcPr>
          <w:p>
            <w:pPr>
              <w:spacing w:after="0"/>
              <w:rPr>
                <w:sz w:val="20"/>
                <w:szCs w:val="20"/>
                <w:color w:val="auto"/>
              </w:rPr>
            </w:pPr>
            <w:r>
              <w:rPr>
                <w:rFonts w:ascii="Arial" w:cs="Arial" w:eastAsia="Arial" w:hAnsi="Arial"/>
                <w:sz w:val="16"/>
                <w:szCs w:val="16"/>
                <w:color w:val="0000EE"/>
              </w:rPr>
              <w:t>Proposal 3: Advisory Vote on the Compensation of Our Named</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450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6"/>
                <w:szCs w:val="16"/>
                <w:color w:val="0000EE"/>
              </w:rPr>
              <w:t>Executive Officers</w:t>
            </w:r>
          </w:p>
        </w:tc>
        <w:tc>
          <w:tcPr>
            <w:tcW w:w="300" w:type="dxa"/>
            <w:vAlign w:val="bottom"/>
            <w:gridSpan w:val="2"/>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Vote Required</w:t>
            </w:r>
          </w:p>
        </w:tc>
        <w:tc>
          <w:tcPr>
            <w:tcW w:w="338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0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Recommendation of the Board of Directors</w:t>
            </w:r>
          </w:p>
        </w:tc>
        <w:tc>
          <w:tcPr>
            <w:tcW w:w="140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615"/>
        </w:trPr>
        <w:tc>
          <w:tcPr>
            <w:tcW w:w="16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Director Compensation</w:t>
            </w:r>
          </w:p>
        </w:tc>
        <w:tc>
          <w:tcPr>
            <w:tcW w:w="314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50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9"/>
              </w:rPr>
              <w:t>2025 Director Compensation Table</w:t>
            </w:r>
          </w:p>
        </w:tc>
        <w:tc>
          <w:tcPr>
            <w:tcW w:w="19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615"/>
        </w:trPr>
        <w:tc>
          <w:tcPr>
            <w:tcW w:w="4800" w:type="dxa"/>
            <w:vAlign w:val="bottom"/>
            <w:gridSpan w:val="19"/>
          </w:tcPr>
          <w:p>
            <w:pPr>
              <w:spacing w:after="0"/>
              <w:rPr>
                <w:sz w:val="20"/>
                <w:szCs w:val="20"/>
                <w:color w:val="auto"/>
              </w:rPr>
            </w:pPr>
            <w:r>
              <w:rPr>
                <w:rFonts w:ascii="Arial" w:cs="Arial" w:eastAsia="Arial" w:hAnsi="Arial"/>
                <w:sz w:val="16"/>
                <w:szCs w:val="16"/>
                <w:color w:val="0000EE"/>
              </w:rPr>
              <w:t>Equity Compensation Plan Information</w:t>
            </w: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760" w:type="dxa"/>
            <w:vAlign w:val="bottom"/>
            <w:gridSpan w:val="10"/>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0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Security Ownership of Certain Beneficial Owners and Management</w:t>
            </w: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2">
            <w:col w:w="5340" w:space="400"/>
            <w:col w:w="5340"/>
          </w:cols>
          <w:pgMar w:left="320" w:top="482" w:right="499" w:bottom="100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4760" w:type="dxa"/>
            <w:vAlign w:val="bottom"/>
            <w:gridSpan w:val="18"/>
          </w:tcPr>
          <w:p>
            <w:pPr>
              <w:spacing w:after="0"/>
              <w:rPr>
                <w:sz w:val="20"/>
                <w:szCs w:val="20"/>
                <w:color w:val="auto"/>
              </w:rPr>
            </w:pPr>
            <w:r>
              <w:rPr>
                <w:rFonts w:ascii="Arial" w:cs="Arial" w:eastAsia="Arial" w:hAnsi="Arial"/>
                <w:sz w:val="16"/>
                <w:szCs w:val="16"/>
                <w:color w:val="0000EE"/>
              </w:rPr>
              <w:t>Named Executive Officers</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18</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8"/>
          </w:tcPr>
          <w:p>
            <w:pPr>
              <w:spacing w:after="0"/>
              <w:rPr>
                <w:sz w:val="20"/>
                <w:szCs w:val="20"/>
                <w:color w:val="auto"/>
              </w:rPr>
            </w:pPr>
            <w:r>
              <w:rPr>
                <w:rFonts w:ascii="Arial" w:cs="Arial" w:eastAsia="Arial" w:hAnsi="Arial"/>
                <w:sz w:val="16"/>
                <w:szCs w:val="16"/>
                <w:color w:val="0000EE"/>
              </w:rPr>
              <w:t>Certain Relationships</w:t>
            </w:r>
          </w:p>
        </w:tc>
        <w:tc>
          <w:tcPr>
            <w:tcW w:w="3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18"/>
        </w:trPr>
        <w:tc>
          <w:tcPr>
            <w:tcW w:w="4760" w:type="dxa"/>
            <w:vAlign w:val="bottom"/>
            <w:gridSpan w:val="18"/>
          </w:tcPr>
          <w:p>
            <w:pPr>
              <w:spacing w:after="0"/>
              <w:rPr>
                <w:sz w:val="20"/>
                <w:szCs w:val="20"/>
                <w:color w:val="auto"/>
              </w:rPr>
            </w:pPr>
            <w:r>
              <w:rPr>
                <w:rFonts w:ascii="Arial" w:cs="Arial" w:eastAsia="Arial" w:hAnsi="Arial"/>
                <w:sz w:val="16"/>
                <w:szCs w:val="16"/>
                <w:color w:val="0000EE"/>
              </w:rPr>
              <w:t>Corporate Governance</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top w:val="single" w:sz="8" w:color="0000EE"/>
            </w:tcBorders>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rPr>
              <w:t>General</w:t>
            </w:r>
          </w:p>
        </w:tc>
        <w:tc>
          <w:tcPr>
            <w:tcW w:w="3120" w:type="dxa"/>
            <w:vAlign w:val="bottom"/>
            <w:gridSpan w:val="13"/>
          </w:tcPr>
          <w:p>
            <w:pPr>
              <w:spacing w:after="0"/>
              <w:rPr>
                <w:sz w:val="24"/>
                <w:szCs w:val="24"/>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24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Delinquent Section 16(a) Reports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 w:type="dxa"/>
            <w:vAlign w:val="bottom"/>
          </w:tcPr>
          <w:p>
            <w:pPr>
              <w:spacing w:after="0"/>
              <w:rPr>
                <w:sz w:val="24"/>
                <w:szCs w:val="24"/>
                <w:color w:val="auto"/>
              </w:rPr>
            </w:pPr>
          </w:p>
        </w:tc>
        <w:tc>
          <w:tcPr>
            <w:tcW w:w="4440" w:type="dxa"/>
            <w:vAlign w:val="bottom"/>
            <w:gridSpan w:val="17"/>
          </w:tcPr>
          <w:p>
            <w:pPr>
              <w:spacing w:after="0"/>
              <w:rPr>
                <w:sz w:val="20"/>
                <w:szCs w:val="20"/>
                <w:color w:val="auto"/>
              </w:rPr>
            </w:pPr>
            <w:r>
              <w:rPr>
                <w:rFonts w:ascii="Arial" w:cs="Arial" w:eastAsia="Arial" w:hAnsi="Arial"/>
                <w:sz w:val="16"/>
                <w:szCs w:val="16"/>
                <w:color w:val="0000EE"/>
              </w:rPr>
              <w:t>Board Composition</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0" w:type="dxa"/>
            <w:vAlign w:val="bottom"/>
            <w:gridSpan w:val="7"/>
            <w:vMerge w:val="restart"/>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56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line="20" w:lineRule="exact"/>
              <w:rPr>
                <w:sz w:val="1"/>
                <w:szCs w:val="1"/>
                <w:color w:val="auto"/>
              </w:rPr>
            </w:pPr>
          </w:p>
        </w:tc>
      </w:tr>
      <w:tr>
        <w:trPr>
          <w:trHeight w:val="269"/>
        </w:trPr>
        <w:tc>
          <w:tcPr>
            <w:tcW w:w="320" w:type="dxa"/>
            <w:vAlign w:val="bottom"/>
          </w:tcPr>
          <w:p>
            <w:pPr>
              <w:spacing w:after="0"/>
              <w:rPr>
                <w:sz w:val="22"/>
                <w:szCs w:val="22"/>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Director Independence</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19</w:t>
            </w:r>
          </w:p>
        </w:tc>
        <w:tc>
          <w:tcPr>
            <w:tcW w:w="4400" w:type="dxa"/>
            <w:vAlign w:val="bottom"/>
            <w:tcBorders>
              <w:bottom w:val="single" w:sz="8" w:color="0000EE"/>
            </w:tcBorders>
            <w:gridSpan w:val="7"/>
            <w:vMerge w:val="continue"/>
          </w:tcPr>
          <w:p>
            <w:pPr>
              <w:spacing w:after="0"/>
              <w:rPr>
                <w:sz w:val="22"/>
                <w:szCs w:val="22"/>
                <w:color w:val="auto"/>
              </w:rPr>
            </w:pPr>
          </w:p>
        </w:tc>
        <w:tc>
          <w:tcPr>
            <w:tcW w:w="560" w:type="dxa"/>
            <w:vAlign w:val="bottom"/>
            <w:vMerge w:val="restart"/>
          </w:tcPr>
          <w:p>
            <w:pPr>
              <w:spacing w:after="0"/>
              <w:rPr>
                <w:sz w:val="22"/>
                <w:szCs w:val="22"/>
                <w:color w:val="auto"/>
              </w:rPr>
            </w:pPr>
          </w:p>
        </w:tc>
        <w:tc>
          <w:tcPr>
            <w:tcW w:w="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40" w:type="dxa"/>
            <w:vAlign w:val="bottom"/>
            <w:gridSpan w:val="17"/>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14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rPr>
              <w:t>Director Candidates</w:t>
            </w:r>
          </w:p>
        </w:tc>
        <w:tc>
          <w:tcPr>
            <w:tcW w:w="200" w:type="dxa"/>
            <w:vAlign w:val="bottom"/>
            <w:tcBorders>
              <w:top w:val="single" w:sz="8" w:color="0000EE"/>
            </w:tcBorders>
            <w:gridSpan w:val="3"/>
          </w:tcPr>
          <w:p>
            <w:pPr>
              <w:spacing w:after="0"/>
              <w:rPr>
                <w:sz w:val="24"/>
                <w:szCs w:val="24"/>
                <w:color w:val="auto"/>
              </w:rPr>
            </w:pPr>
          </w:p>
        </w:tc>
        <w:tc>
          <w:tcPr>
            <w:tcW w:w="2800" w:type="dxa"/>
            <w:vAlign w:val="bottom"/>
            <w:gridSpan w:val="8"/>
          </w:tcPr>
          <w:p>
            <w:pPr>
              <w:spacing w:after="0"/>
              <w:rPr>
                <w:sz w:val="24"/>
                <w:szCs w:val="24"/>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Stockholder Engagement</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20</w:t>
            </w:r>
          </w:p>
        </w:tc>
        <w:tc>
          <w:tcPr>
            <w:tcW w:w="4960" w:type="dxa"/>
            <w:vAlign w:val="bottom"/>
            <w:gridSpan w:val="8"/>
          </w:tcPr>
          <w:p>
            <w:pPr>
              <w:spacing w:after="0"/>
              <w:rPr>
                <w:sz w:val="20"/>
                <w:szCs w:val="20"/>
                <w:color w:val="auto"/>
              </w:rPr>
            </w:pPr>
            <w:r>
              <w:rPr>
                <w:rFonts w:ascii="Arial" w:cs="Arial" w:eastAsia="Arial" w:hAnsi="Arial"/>
                <w:sz w:val="16"/>
                <w:szCs w:val="16"/>
                <w:color w:val="0000EE"/>
              </w:rPr>
              <w:t>Stockholders’ Proposals</w:t>
            </w: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4440" w:type="dxa"/>
            <w:vAlign w:val="bottom"/>
            <w:gridSpan w:val="17"/>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440" w:type="dxa"/>
            <w:vAlign w:val="bottom"/>
            <w:gridSpan w:val="17"/>
          </w:tcPr>
          <w:p>
            <w:pPr>
              <w:spacing w:after="0"/>
              <w:rPr>
                <w:sz w:val="20"/>
                <w:szCs w:val="20"/>
                <w:color w:val="auto"/>
              </w:rPr>
            </w:pPr>
            <w:r>
              <w:rPr>
                <w:rFonts w:ascii="Arial" w:cs="Arial" w:eastAsia="Arial" w:hAnsi="Arial"/>
                <w:sz w:val="16"/>
                <w:szCs w:val="16"/>
                <w:color w:val="0000EE"/>
              </w:rPr>
              <w:t>Communications from Stockholders</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gridSpan w:val="8"/>
            <w:vMerge w:val="restart"/>
          </w:tcPr>
          <w:p>
            <w:pPr>
              <w:spacing w:after="0"/>
              <w:rPr>
                <w:sz w:val="20"/>
                <w:szCs w:val="20"/>
                <w:color w:val="auto"/>
              </w:rPr>
            </w:pPr>
            <w:r>
              <w:rPr>
                <w:rFonts w:ascii="Arial" w:cs="Arial" w:eastAsia="Arial" w:hAnsi="Arial"/>
                <w:sz w:val="16"/>
                <w:szCs w:val="16"/>
                <w:color w:val="0000EE"/>
              </w:rPr>
              <w:t>Other Matters</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Board Leadership Structure and Role in Risk Oversight</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21</w:t>
            </w:r>
          </w:p>
        </w:tc>
        <w:tc>
          <w:tcPr>
            <w:tcW w:w="4960" w:type="dxa"/>
            <w:vAlign w:val="bottom"/>
            <w:gridSpan w:val="8"/>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4440" w:type="dxa"/>
            <w:vAlign w:val="bottom"/>
            <w:gridSpan w:val="17"/>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3940" w:type="dxa"/>
            <w:vAlign w:val="bottom"/>
            <w:tcBorders>
              <w:top w:val="single" w:sz="8" w:color="0000EE"/>
            </w:tcBorders>
            <w:gridSpan w:val="15"/>
          </w:tcPr>
          <w:p>
            <w:pPr>
              <w:spacing w:after="0"/>
              <w:rPr>
                <w:sz w:val="20"/>
                <w:szCs w:val="20"/>
                <w:color w:val="auto"/>
              </w:rPr>
            </w:pPr>
            <w:r>
              <w:rPr>
                <w:rFonts w:ascii="Arial" w:cs="Arial" w:eastAsia="Arial" w:hAnsi="Arial"/>
                <w:sz w:val="16"/>
                <w:szCs w:val="16"/>
                <w:color w:val="0000EE"/>
              </w:rPr>
              <w:t>Periodic Board Evaluation</w:t>
            </w:r>
          </w:p>
        </w:tc>
        <w:tc>
          <w:tcPr>
            <w:tcW w:w="500" w:type="dxa"/>
            <w:vAlign w:val="bottom"/>
            <w:gridSpan w:val="2"/>
          </w:tcPr>
          <w:p>
            <w:pPr>
              <w:spacing w:after="0"/>
              <w:rPr>
                <w:sz w:val="24"/>
                <w:szCs w:val="24"/>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gridSpan w:val="8"/>
            <w:vMerge w:val="restart"/>
          </w:tcPr>
          <w:p>
            <w:pPr>
              <w:spacing w:after="0"/>
              <w:rPr>
                <w:sz w:val="20"/>
                <w:szCs w:val="20"/>
                <w:color w:val="auto"/>
              </w:rPr>
            </w:pPr>
            <w:r>
              <w:rPr>
                <w:rFonts w:ascii="Arial" w:cs="Arial" w:eastAsia="Arial" w:hAnsi="Arial"/>
                <w:sz w:val="16"/>
                <w:szCs w:val="16"/>
                <w:color w:val="0000EE"/>
              </w:rPr>
              <w:t>Solicitation of Proxies</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Code of Conduct and Ethics</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22</w:t>
            </w:r>
          </w:p>
        </w:tc>
        <w:tc>
          <w:tcPr>
            <w:tcW w:w="4960" w:type="dxa"/>
            <w:vAlign w:val="bottom"/>
            <w:gridSpan w:val="8"/>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4440" w:type="dxa"/>
            <w:vAlign w:val="bottom"/>
            <w:gridSpan w:val="17"/>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44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Attendance by Members of the Board of Directors at Meetings</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22</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60" w:type="dxa"/>
            <w:vAlign w:val="bottom"/>
            <w:gridSpan w:val="8"/>
          </w:tcPr>
          <w:p>
            <w:pPr>
              <w:spacing w:after="0"/>
              <w:rPr>
                <w:sz w:val="20"/>
                <w:szCs w:val="20"/>
                <w:color w:val="auto"/>
              </w:rPr>
            </w:pPr>
            <w:r>
              <w:rPr>
                <w:rFonts w:ascii="Arial" w:cs="Arial" w:eastAsia="Arial" w:hAnsi="Arial"/>
                <w:sz w:val="16"/>
                <w:szCs w:val="16"/>
                <w:color w:val="0000EE"/>
              </w:rPr>
              <w:t>Fortrea’s Annual Report on Form 10-K</w:t>
            </w:r>
          </w:p>
        </w:tc>
        <w:tc>
          <w:tcPr>
            <w:tcW w:w="3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85"/>
        </w:trPr>
        <w:tc>
          <w:tcPr>
            <w:tcW w:w="18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Committees of the Board</w:t>
            </w:r>
          </w:p>
        </w:tc>
        <w:tc>
          <w:tcPr>
            <w:tcW w:w="2960" w:type="dxa"/>
            <w:vAlign w:val="bottom"/>
            <w:gridSpan w:val="10"/>
          </w:tcPr>
          <w:p>
            <w:pPr>
              <w:spacing w:after="0"/>
              <w:rPr>
                <w:sz w:val="24"/>
                <w:szCs w:val="24"/>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23</w:t>
            </w: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Audit Committee</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23</w:t>
            </w:r>
          </w:p>
        </w:tc>
        <w:tc>
          <w:tcPr>
            <w:tcW w:w="49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Appendix A - Supplemental Non-GAAP Financial Information Used in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4440" w:type="dxa"/>
            <w:vAlign w:val="bottom"/>
            <w:gridSpan w:val="17"/>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960" w:type="dxa"/>
            <w:vAlign w:val="bottom"/>
            <w:gridSpan w:val="8"/>
            <w:vMerge w:val="restart"/>
          </w:tcPr>
          <w:p>
            <w:pPr>
              <w:spacing w:after="0" w:line="169" w:lineRule="exact"/>
              <w:rPr>
                <w:sz w:val="20"/>
                <w:szCs w:val="20"/>
                <w:color w:val="auto"/>
              </w:rPr>
            </w:pPr>
            <w:r>
              <w:rPr>
                <w:rFonts w:ascii="Arial" w:cs="Arial" w:eastAsia="Arial" w:hAnsi="Arial"/>
                <w:sz w:val="16"/>
                <w:szCs w:val="16"/>
                <w:color w:val="0000EE"/>
              </w:rPr>
              <w:t>Compensation Performance Metrics</w:t>
            </w:r>
          </w:p>
        </w:tc>
        <w:tc>
          <w:tcPr>
            <w:tcW w:w="38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gridSpan w:val="8"/>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20" w:type="dxa"/>
            <w:vAlign w:val="bottom"/>
          </w:tcPr>
          <w:p>
            <w:pPr>
              <w:spacing w:after="0"/>
              <w:rPr>
                <w:sz w:val="6"/>
                <w:szCs w:val="6"/>
                <w:color w:val="auto"/>
              </w:rPr>
            </w:pPr>
          </w:p>
        </w:tc>
        <w:tc>
          <w:tcPr>
            <w:tcW w:w="4440" w:type="dxa"/>
            <w:vAlign w:val="bottom"/>
            <w:gridSpan w:val="17"/>
            <w:vMerge w:val="restart"/>
          </w:tcPr>
          <w:p>
            <w:pPr>
              <w:spacing w:after="0"/>
              <w:rPr>
                <w:sz w:val="20"/>
                <w:szCs w:val="20"/>
                <w:color w:val="auto"/>
              </w:rPr>
            </w:pPr>
            <w:r>
              <w:rPr>
                <w:rFonts w:ascii="Arial" w:cs="Arial" w:eastAsia="Arial" w:hAnsi="Arial"/>
                <w:sz w:val="16"/>
                <w:szCs w:val="16"/>
                <w:color w:val="0000EE"/>
              </w:rPr>
              <w:t>Management Development and Compensation Committee</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24</w:t>
            </w:r>
          </w:p>
        </w:tc>
        <w:tc>
          <w:tcPr>
            <w:tcW w:w="4960" w:type="dxa"/>
            <w:vAlign w:val="bottom"/>
            <w:gridSpan w:val="8"/>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440" w:type="dxa"/>
            <w:vAlign w:val="bottom"/>
            <w:gridSpan w:val="17"/>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418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EE"/>
              </w:rPr>
              <w:t>Nominating, Corporate Governance and Compliance</w:t>
            </w:r>
          </w:p>
        </w:tc>
        <w:tc>
          <w:tcPr>
            <w:tcW w:w="260" w:type="dxa"/>
            <w:vAlign w:val="bottom"/>
          </w:tcPr>
          <w:p>
            <w:pPr>
              <w:spacing w:after="0"/>
              <w:rPr>
                <w:sz w:val="24"/>
                <w:szCs w:val="24"/>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25</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8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Committee</w:t>
            </w:r>
          </w:p>
        </w:tc>
        <w:tc>
          <w:tcPr>
            <w:tcW w:w="660" w:type="dxa"/>
            <w:vAlign w:val="bottom"/>
            <w:gridSpan w:val="3"/>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440" w:type="dxa"/>
            <w:vAlign w:val="bottom"/>
            <w:gridSpan w:val="17"/>
          </w:tcPr>
          <w:p>
            <w:pPr>
              <w:spacing w:after="0"/>
              <w:rPr>
                <w:sz w:val="20"/>
                <w:szCs w:val="20"/>
                <w:color w:val="auto"/>
              </w:rPr>
            </w:pPr>
            <w:r>
              <w:rPr>
                <w:rFonts w:ascii="Arial" w:cs="Arial" w:eastAsia="Arial" w:hAnsi="Arial"/>
                <w:sz w:val="16"/>
                <w:szCs w:val="16"/>
                <w:color w:val="0000EE"/>
              </w:rPr>
              <w:t>Cybersecurity &amp; the Audit Committee</w:t>
            </w: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25</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00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311150</wp:posOffset>
            </wp:positionV>
            <wp:extent cx="142303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5"/>
          <w:szCs w:val="35"/>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00" w:right="260"/>
        <w:spacing w:after="0" w:line="256" w:lineRule="auto"/>
        <w:rPr>
          <w:sz w:val="20"/>
          <w:szCs w:val="20"/>
          <w:color w:val="auto"/>
        </w:rPr>
      </w:pPr>
      <w:r>
        <w:rPr>
          <w:rFonts w:ascii="Arial" w:cs="Arial" w:eastAsia="Arial" w:hAnsi="Arial"/>
          <w:sz w:val="16"/>
          <w:szCs w:val="16"/>
          <w:color w:val="auto"/>
        </w:rPr>
        <w:t>The Annual Meeting of Stockholders (the “Annual Meeting”) of Fortrea Holdings Inc., a Delaware corporation (the “Company” or “Fortrea”), will be held at 8:00 a.m. Eastern Time, on Tuesday, June 9, 2026. The Annual Meeting will be held virtually at www.virtualshareholdermeeting.com/FTRE2026.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-690880</wp:posOffset>
            </wp:positionV>
            <wp:extent cx="3351530" cy="4663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46634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Tuesday, June 9,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Time: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8:00 a.m. Eastern Time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www.virtualshareholdermeeting.com/FTRE2026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Record Date: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April 15, 2026</w:t>
      </w:r>
    </w:p>
    <w:p>
      <w:pPr>
        <w:spacing w:after="0" w:line="70" w:lineRule="exact"/>
        <w:rPr>
          <w:sz w:val="20"/>
          <w:szCs w:val="20"/>
          <w:color w:val="auto"/>
        </w:rPr>
      </w:pPr>
    </w:p>
    <w:p>
      <w:pPr>
        <w:ind w:left="300"/>
        <w:spacing w:after="0" w:line="250" w:lineRule="auto"/>
        <w:rPr>
          <w:sz w:val="20"/>
          <w:szCs w:val="20"/>
          <w:color w:val="auto"/>
        </w:rPr>
      </w:pPr>
      <w:r>
        <w:rPr>
          <w:rFonts w:ascii="Arial" w:cs="Arial" w:eastAsia="Arial" w:hAnsi="Arial"/>
          <w:sz w:val="16"/>
          <w:szCs w:val="16"/>
          <w:color w:val="auto"/>
        </w:rPr>
        <w:t>Holders of record of our Common Stock as of the close of business on April 15, 2026, are entitled to notice of and to vote at the Annual Meeting, or any continuation, postponement or adjournment of the Annual Meeting. A complete list of these stockholders will be electronically open to the examination of any stockholder during the Annual Meeting, as well as at our principal executive offices at 8 Moore Drive, Durham, North Carolina 27713 for a period of ten days ending on the day prior to the Annual Meeting. The Annual Meeting may be continued or adjourned from time to time without notice other than by announcement at the Annual Meeting.</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vMerge w:val="restart"/>
          </w:tcPr>
          <w:p>
            <w:pPr>
              <w:jc w:val="right"/>
              <w:spacing w:after="0"/>
              <w:rPr>
                <w:sz w:val="20"/>
                <w:szCs w:val="20"/>
                <w:color w:val="auto"/>
              </w:rPr>
            </w:pPr>
            <w:r>
              <w:rPr>
                <w:rFonts w:ascii="Arial" w:cs="Arial" w:eastAsia="Arial" w:hAnsi="Arial"/>
                <w:sz w:val="43"/>
                <w:szCs w:val="43"/>
                <w:color w:val="0BC11C"/>
                <w:w w:val="94"/>
              </w:rPr>
              <w:t>1.</w:t>
            </w:r>
          </w:p>
        </w:tc>
        <w:tc>
          <w:tcPr>
            <w:tcW w:w="4840" w:type="dxa"/>
            <w:vAlign w:val="bottom"/>
          </w:tcPr>
          <w:p>
            <w:pPr>
              <w:ind w:left="140"/>
              <w:spacing w:after="0"/>
              <w:rPr>
                <w:sz w:val="20"/>
                <w:szCs w:val="20"/>
                <w:color w:val="auto"/>
              </w:rPr>
            </w:pPr>
            <w:r>
              <w:rPr>
                <w:rFonts w:ascii="Arial" w:cs="Arial" w:eastAsia="Arial" w:hAnsi="Arial"/>
                <w:sz w:val="16"/>
                <w:szCs w:val="16"/>
                <w:color w:val="auto"/>
              </w:rPr>
              <w:t>To elect Anshul Thakral, Peter M. Neupert, and William J.</w:t>
            </w:r>
          </w:p>
        </w:tc>
        <w:tc>
          <w:tcPr>
            <w:tcW w:w="0" w:type="dxa"/>
            <w:vAlign w:val="bottom"/>
          </w:tcPr>
          <w:p>
            <w:pPr>
              <w:spacing w:after="0"/>
              <w:rPr>
                <w:sz w:val="1"/>
                <w:szCs w:val="1"/>
                <w:color w:val="auto"/>
              </w:rPr>
            </w:pPr>
          </w:p>
        </w:tc>
      </w:tr>
      <w:tr>
        <w:trPr>
          <w:trHeight w:val="189"/>
        </w:trPr>
        <w:tc>
          <w:tcPr>
            <w:tcW w:w="50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Sharbaugh as Class III Directors to serve until the 2028 Annual</w:t>
            </w:r>
          </w:p>
        </w:tc>
        <w:tc>
          <w:tcPr>
            <w:tcW w:w="0" w:type="dxa"/>
            <w:vAlign w:val="bottom"/>
          </w:tcPr>
          <w:p>
            <w:pPr>
              <w:spacing w:after="0"/>
              <w:rPr>
                <w:sz w:val="1"/>
                <w:szCs w:val="1"/>
                <w:color w:val="auto"/>
              </w:rPr>
            </w:pPr>
          </w:p>
        </w:tc>
      </w:tr>
      <w:tr>
        <w:trPr>
          <w:trHeight w:val="189"/>
        </w:trPr>
        <w:tc>
          <w:tcPr>
            <w:tcW w:w="50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Meeting of Stockholders, and until their respective successors</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shall have been duly elected and qualified;</w:t>
            </w:r>
          </w:p>
        </w:tc>
        <w:tc>
          <w:tcPr>
            <w:tcW w:w="0" w:type="dxa"/>
            <w:vAlign w:val="bottom"/>
          </w:tcPr>
          <w:p>
            <w:pPr>
              <w:spacing w:after="0"/>
              <w:rPr>
                <w:sz w:val="1"/>
                <w:szCs w:val="1"/>
                <w:color w:val="auto"/>
              </w:rPr>
            </w:pPr>
          </w:p>
        </w:tc>
      </w:tr>
      <w:tr>
        <w:trPr>
          <w:trHeight w:val="298"/>
        </w:trPr>
        <w:tc>
          <w:tcPr>
            <w:tcW w:w="500" w:type="dxa"/>
            <w:vAlign w:val="bottom"/>
            <w:vMerge w:val="restart"/>
          </w:tcPr>
          <w:p>
            <w:pPr>
              <w:jc w:val="right"/>
              <w:spacing w:after="0"/>
              <w:rPr>
                <w:sz w:val="20"/>
                <w:szCs w:val="20"/>
                <w:color w:val="auto"/>
              </w:rPr>
            </w:pPr>
            <w:r>
              <w:rPr>
                <w:rFonts w:ascii="Arial" w:cs="Arial" w:eastAsia="Arial" w:hAnsi="Arial"/>
                <w:sz w:val="43"/>
                <w:szCs w:val="43"/>
                <w:color w:val="0BC11C"/>
                <w:w w:val="94"/>
              </w:rPr>
              <w:t>2.</w:t>
            </w:r>
          </w:p>
        </w:tc>
        <w:tc>
          <w:tcPr>
            <w:tcW w:w="4840" w:type="dxa"/>
            <w:vAlign w:val="bottom"/>
          </w:tcPr>
          <w:p>
            <w:pPr>
              <w:ind w:left="140"/>
              <w:spacing w:after="0"/>
              <w:rPr>
                <w:sz w:val="20"/>
                <w:szCs w:val="20"/>
                <w:color w:val="auto"/>
              </w:rPr>
            </w:pPr>
            <w:r>
              <w:rPr>
                <w:rFonts w:ascii="Arial" w:cs="Arial" w:eastAsia="Arial" w:hAnsi="Arial"/>
                <w:sz w:val="16"/>
                <w:szCs w:val="16"/>
                <w:color w:val="auto"/>
              </w:rPr>
              <w:t>To ratify the appointment of Deloitte &amp; Touche LLP as our</w:t>
            </w:r>
          </w:p>
        </w:tc>
        <w:tc>
          <w:tcPr>
            <w:tcW w:w="0" w:type="dxa"/>
            <w:vAlign w:val="bottom"/>
          </w:tcPr>
          <w:p>
            <w:pPr>
              <w:spacing w:after="0"/>
              <w:rPr>
                <w:sz w:val="1"/>
                <w:szCs w:val="1"/>
                <w:color w:val="auto"/>
              </w:rPr>
            </w:pPr>
          </w:p>
        </w:tc>
      </w:tr>
      <w:tr>
        <w:trPr>
          <w:trHeight w:val="189"/>
        </w:trPr>
        <w:tc>
          <w:tcPr>
            <w:tcW w:w="50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independent registered public accounting firm for the fiscal year</w:t>
            </w: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ending December 31, 2026;</w:t>
            </w:r>
          </w:p>
        </w:tc>
        <w:tc>
          <w:tcPr>
            <w:tcW w:w="0" w:type="dxa"/>
            <w:vAlign w:val="bottom"/>
          </w:tcPr>
          <w:p>
            <w:pPr>
              <w:spacing w:after="0"/>
              <w:rPr>
                <w:sz w:val="1"/>
                <w:szCs w:val="1"/>
                <w:color w:val="auto"/>
              </w:rPr>
            </w:pPr>
          </w:p>
        </w:tc>
      </w:tr>
      <w:tr>
        <w:trPr>
          <w:trHeight w:val="298"/>
        </w:trPr>
        <w:tc>
          <w:tcPr>
            <w:tcW w:w="500" w:type="dxa"/>
            <w:vAlign w:val="bottom"/>
            <w:vMerge w:val="restart"/>
          </w:tcPr>
          <w:p>
            <w:pPr>
              <w:jc w:val="right"/>
              <w:spacing w:after="0"/>
              <w:rPr>
                <w:sz w:val="20"/>
                <w:szCs w:val="20"/>
                <w:color w:val="auto"/>
              </w:rPr>
            </w:pPr>
            <w:r>
              <w:rPr>
                <w:rFonts w:ascii="Arial" w:cs="Arial" w:eastAsia="Arial" w:hAnsi="Arial"/>
                <w:sz w:val="43"/>
                <w:szCs w:val="43"/>
                <w:color w:val="0BC11C"/>
                <w:w w:val="94"/>
              </w:rPr>
              <w:t>3.</w:t>
            </w:r>
          </w:p>
        </w:tc>
        <w:tc>
          <w:tcPr>
            <w:tcW w:w="4840" w:type="dxa"/>
            <w:vAlign w:val="bottom"/>
          </w:tcPr>
          <w:p>
            <w:pPr>
              <w:ind w:left="140"/>
              <w:spacing w:after="0"/>
              <w:rPr>
                <w:sz w:val="20"/>
                <w:szCs w:val="20"/>
                <w:color w:val="auto"/>
              </w:rPr>
            </w:pPr>
            <w:r>
              <w:rPr>
                <w:rFonts w:ascii="Arial" w:cs="Arial" w:eastAsia="Arial" w:hAnsi="Arial"/>
                <w:sz w:val="16"/>
                <w:szCs w:val="16"/>
                <w:color w:val="auto"/>
              </w:rPr>
              <w:t>To conduct an advisory vote to approve compensation for our</w:t>
            </w:r>
          </w:p>
        </w:tc>
        <w:tc>
          <w:tcPr>
            <w:tcW w:w="0" w:type="dxa"/>
            <w:vAlign w:val="bottom"/>
          </w:tcPr>
          <w:p>
            <w:pPr>
              <w:spacing w:after="0"/>
              <w:rPr>
                <w:sz w:val="1"/>
                <w:szCs w:val="1"/>
                <w:color w:val="auto"/>
              </w:rPr>
            </w:pPr>
          </w:p>
        </w:tc>
      </w:tr>
      <w:tr>
        <w:trPr>
          <w:trHeight w:val="355"/>
        </w:trPr>
        <w:tc>
          <w:tcPr>
            <w:tcW w:w="500" w:type="dxa"/>
            <w:vAlign w:val="bottom"/>
            <w:vMerge w:val="continue"/>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named executive officers (“Say-on-Pay”); and</w:t>
            </w:r>
          </w:p>
        </w:tc>
        <w:tc>
          <w:tcPr>
            <w:tcW w:w="0" w:type="dxa"/>
            <w:vAlign w:val="bottom"/>
          </w:tcPr>
          <w:p>
            <w:pPr>
              <w:spacing w:after="0"/>
              <w:rPr>
                <w:sz w:val="1"/>
                <w:szCs w:val="1"/>
                <w:color w:val="auto"/>
              </w:rPr>
            </w:pPr>
          </w:p>
        </w:tc>
      </w:tr>
      <w:tr>
        <w:trPr>
          <w:trHeight w:val="280"/>
        </w:trPr>
        <w:tc>
          <w:tcPr>
            <w:tcW w:w="500" w:type="dxa"/>
            <w:vAlign w:val="bottom"/>
            <w:vMerge w:val="restart"/>
          </w:tcPr>
          <w:p>
            <w:pPr>
              <w:jc w:val="right"/>
              <w:spacing w:after="0"/>
              <w:rPr>
                <w:sz w:val="20"/>
                <w:szCs w:val="20"/>
                <w:color w:val="auto"/>
              </w:rPr>
            </w:pPr>
            <w:r>
              <w:rPr>
                <w:rFonts w:ascii="Arial" w:cs="Arial" w:eastAsia="Arial" w:hAnsi="Arial"/>
                <w:sz w:val="43"/>
                <w:szCs w:val="43"/>
                <w:color w:val="0BC11C"/>
                <w:w w:val="94"/>
              </w:rPr>
              <w:t>4.</w:t>
            </w:r>
          </w:p>
        </w:tc>
        <w:tc>
          <w:tcPr>
            <w:tcW w:w="4840" w:type="dxa"/>
            <w:vAlign w:val="bottom"/>
          </w:tcPr>
          <w:p>
            <w:pPr>
              <w:ind w:left="140"/>
              <w:spacing w:after="0"/>
              <w:rPr>
                <w:sz w:val="20"/>
                <w:szCs w:val="20"/>
                <w:color w:val="auto"/>
              </w:rPr>
            </w:pPr>
            <w:r>
              <w:rPr>
                <w:rFonts w:ascii="Arial" w:cs="Arial" w:eastAsia="Arial" w:hAnsi="Arial"/>
                <w:sz w:val="16"/>
                <w:szCs w:val="16"/>
                <w:color w:val="auto"/>
              </w:rPr>
              <w:t>To transact such other business as may properly come before the</w:t>
            </w:r>
          </w:p>
        </w:tc>
        <w:tc>
          <w:tcPr>
            <w:tcW w:w="0" w:type="dxa"/>
            <w:vAlign w:val="bottom"/>
          </w:tcPr>
          <w:p>
            <w:pPr>
              <w:spacing w:after="0"/>
              <w:rPr>
                <w:sz w:val="1"/>
                <w:szCs w:val="1"/>
                <w:color w:val="auto"/>
              </w:rPr>
            </w:pPr>
          </w:p>
        </w:tc>
      </w:tr>
      <w:tr>
        <w:trPr>
          <w:trHeight w:val="189"/>
        </w:trPr>
        <w:tc>
          <w:tcPr>
            <w:tcW w:w="500" w:type="dxa"/>
            <w:vAlign w:val="bottom"/>
            <w:vMerge w:val="continue"/>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Annual Meeting or any continuation, postponement, or</w:t>
            </w: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adjournment of the Annual Meeting.</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979930"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99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Agnieszka M. Gallagher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Durham, North Carolina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1589405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0" w:lineRule="exact"/>
        <w:rPr>
          <w:sz w:val="20"/>
          <w:szCs w:val="20"/>
          <w:color w:val="auto"/>
        </w:rPr>
      </w:pPr>
    </w:p>
    <w:p>
      <w:pPr>
        <w:sectPr>
          <w:pgSz w:w="11900" w:h="16838" w:orient="portrait"/>
          <w:cols w:equalWidth="0" w:num="2">
            <w:col w:w="5180" w:space="560"/>
            <w:col w:w="5400"/>
          </w:cols>
          <w:pgMar w:left="320" w:top="482" w:right="439" w:bottom="1440" w:gutter="0" w:footer="0" w:header="0"/>
          <w:type w:val="continuous"/>
        </w:sectPr>
      </w:pPr>
    </w:p>
    <w:p>
      <w:pPr>
        <w:spacing w:after="0" w:line="367"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postage-paid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191770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1</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Fortrea Holdings Inc. of proxies to be voted at our Annual Meeting of Stockholders to be held on Tuesday, June 9, 2026 (the “Annual Meeting”). Holders of record of shares of our Common Stock, $0.001 par value (“Common Stock”), as of the close of business on April 15, 2026 (the “Record Date”), will be entitled to notice of and to vote at the Annual Meeting and any continuation, postponement, or adjournment of the Annual Meeting. As of the Record Date, there were 94,584,730 shares of Common Stock outstanding and entitled to vote at the Annual Meeting. Each share of Common Stock is entitled to one vote on any matter presented to stockholders at the Annual Meeting.</w:t>
      </w:r>
    </w:p>
    <w:p>
      <w:pPr>
        <w:spacing w:after="0" w:line="7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In this proxy statement, “Fortrea,” “Company,” “we,” “us,” and “our” refer to Fortrea Holdings Inc. and, where applicable, our subsidiaries and predecessor entities. “Spin” refers to the pro-rata distribution of Fortrea shares by Laboratory Corporation of America Holdings Inc. (“Labcorp”) that was effective on June 30, 2023, in accordance with the Separation and Distribution Agreement between Fortrea and Labcorp entered into on June 29, 2023, whereby Labcorp agreed to spin-off Fortrea as a publicly-traded company.</w:t>
      </w:r>
    </w:p>
    <w:p>
      <w:pPr>
        <w:spacing w:after="0" w:line="7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This proxy statement contains certain forward-looking statements within the meaning of the Private Securities Litigation Reform Act of 1995, Section 27A of the Securities Act of 1933, as amended, and Section 21E of the Securities Exchange Act of 1934, as amended (the “Exchange Act”), that are based on current expectations, forecasts, assumptions and other information available to Fortrea as of the date hereof. Forward-looking statements involve inherent risks and uncertainties, include statements regarding Fortrea’s expectations, beliefs, intentions, or strategies regarding the future, including with respect to business, financial, operational, compensation, and environmental, social and governance matters, and can be identified by forward-looking words such as “anticipate,” “believe,” “could,” “estimate,” “expect,” “should,” “seeks,” “approximately,” “estimate,” “goal,” “intend,” “may,” “plan,” “should,” “will,” and “would” or similar words. Fortrea’s actual results, performance or events may differ materially from these forward-looking statements made or implied due to a number of risks and uncertainties relating to Fortrea’s business, including if we do not generate a large number of net new business awards, or if net new business awards are delayed, terminated, reduced in scope, or fail to go to contract, if we are unable to contract with suitable investigators and recruit and enroll patients for clinical trials, our international operations could subject us to additional risks and expenses that could adversely impact our business or results of operations, and the risks and uncertainties discussed in Fortrea’s Annual Report on Form 10-K for fiscal year ended December 31, 2025 filed with the Securities and Exchange Commission (the “SEC”) on February 26, 2026 (“Annual Report on Form 10-K”) as well as Fortrea’s other filings with the SEC. Fortrea undertakes no obligation to revise or update any forward-looking statements made in this proxy statement, whether as a result of new information, future events or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1611630" cy="779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1630" cy="7797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0" w:lineRule="exact"/>
        <w:rPr>
          <w:sz w:val="20"/>
          <w:szCs w:val="20"/>
          <w:color w:val="auto"/>
        </w:rPr>
      </w:pPr>
    </w:p>
    <w:p>
      <w:pPr>
        <w:ind w:left="280" w:hanging="129"/>
        <w:spacing w:after="0"/>
        <w:tabs>
          <w:tab w:leader="none" w:pos="280" w:val="left"/>
        </w:tabs>
        <w:numPr>
          <w:ilvl w:val="1"/>
          <w:numId w:val="6"/>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213995" cy="2146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p>
    <w:p>
      <w:pPr>
        <w:spacing w:after="0" w:line="147" w:lineRule="exact"/>
        <w:rPr>
          <w:rFonts w:ascii="Arial" w:cs="Arial" w:eastAsia="Arial" w:hAnsi="Arial"/>
          <w:sz w:val="16"/>
          <w:szCs w:val="16"/>
          <w:color w:val="auto"/>
        </w:rPr>
      </w:pPr>
    </w:p>
    <w:p>
      <w:pPr>
        <w:ind w:left="200" w:hanging="84"/>
        <w:spacing w:after="0"/>
        <w:tabs>
          <w:tab w:leader="none" w:pos="2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DATE &amp; TIME:</w:t>
      </w:r>
    </w:p>
    <w:p>
      <w:pPr>
        <w:spacing w:after="0" w:line="21" w:lineRule="exact"/>
        <w:rPr>
          <w:rFonts w:ascii="Arial" w:cs="Arial" w:eastAsia="Arial" w:hAnsi="Arial"/>
          <w:sz w:val="16"/>
          <w:szCs w:val="16"/>
          <w:b w:val="1"/>
          <w:bCs w:val="1"/>
          <w:color w:val="auto"/>
        </w:rPr>
      </w:pPr>
    </w:p>
    <w:p>
      <w:pPr>
        <w:ind w:left="200" w:hanging="84"/>
        <w:spacing w:after="0"/>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Tuesday, June 9, 2026</w:t>
      </w:r>
    </w:p>
    <w:p>
      <w:pPr>
        <w:spacing w:after="0" w:line="5" w:lineRule="exact"/>
        <w:rPr>
          <w:rFonts w:ascii="Arial" w:cs="Arial" w:eastAsia="Arial" w:hAnsi="Arial"/>
          <w:sz w:val="16"/>
          <w:szCs w:val="16"/>
          <w:color w:val="auto"/>
        </w:rPr>
      </w:pPr>
    </w:p>
    <w:p>
      <w:pPr>
        <w:ind w:left="200" w:hanging="84"/>
        <w:spacing w:after="0"/>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8:00 a.m. Eastern Time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1"/>
        </w:trPr>
        <w:tc>
          <w:tcPr>
            <w:tcW w:w="5240" w:type="dxa"/>
            <w:vAlign w:val="bottom"/>
            <w:shd w:val="clear" w:color="auto" w:fill="EDEDED"/>
          </w:tcPr>
          <w:p>
            <w:pPr>
              <w:ind w:left="220"/>
              <w:spacing w:after="0"/>
              <w:rPr>
                <w:sz w:val="20"/>
                <w:szCs w:val="20"/>
                <w:color w:val="auto"/>
              </w:rPr>
            </w:pPr>
            <w:r>
              <w:rPr>
                <w:rFonts w:ascii="Arial" w:cs="Arial" w:eastAsia="Arial" w:hAnsi="Arial"/>
                <w:sz w:val="16"/>
                <w:szCs w:val="16"/>
                <w:b w:val="1"/>
                <w:bCs w:val="1"/>
                <w:color w:val="auto"/>
              </w:rPr>
              <w:t>Location:</w:t>
            </w:r>
          </w:p>
        </w:tc>
        <w:tc>
          <w:tcPr>
            <w:tcW w:w="3240" w:type="dxa"/>
            <w:vAlign w:val="bottom"/>
            <w:shd w:val="clear" w:color="auto" w:fill="EDEDED"/>
          </w:tcPr>
          <w:p>
            <w:pPr>
              <w:ind w:left="1580"/>
              <w:spacing w:after="0"/>
              <w:rPr>
                <w:sz w:val="20"/>
                <w:szCs w:val="20"/>
                <w:color w:val="auto"/>
              </w:rPr>
            </w:pPr>
            <w:r>
              <w:rPr>
                <w:rFonts w:ascii="Arial" w:cs="Arial" w:eastAsia="Arial" w:hAnsi="Arial"/>
                <w:sz w:val="16"/>
                <w:szCs w:val="16"/>
                <w:b w:val="1"/>
                <w:bCs w:val="1"/>
                <w:color w:val="auto"/>
              </w:rPr>
              <w:t>RECORD DATE:</w:t>
            </w:r>
          </w:p>
        </w:tc>
      </w:tr>
      <w:tr>
        <w:trPr>
          <w:trHeight w:val="215"/>
        </w:trPr>
        <w:tc>
          <w:tcPr>
            <w:tcW w:w="5240" w:type="dxa"/>
            <w:vAlign w:val="bottom"/>
            <w:shd w:val="clear" w:color="auto" w:fill="EDEDED"/>
          </w:tcPr>
          <w:p>
            <w:pPr>
              <w:ind w:left="220"/>
              <w:spacing w:after="0"/>
              <w:rPr>
                <w:sz w:val="20"/>
                <w:szCs w:val="20"/>
                <w:color w:val="auto"/>
              </w:rPr>
            </w:pPr>
            <w:r>
              <w:rPr>
                <w:rFonts w:ascii="Arial" w:cs="Arial" w:eastAsia="Arial" w:hAnsi="Arial"/>
                <w:sz w:val="16"/>
                <w:szCs w:val="16"/>
                <w:color w:val="auto"/>
              </w:rPr>
              <w:t>www.virtualshareholdermeeting.com/FTRE2026</w:t>
            </w:r>
          </w:p>
        </w:tc>
        <w:tc>
          <w:tcPr>
            <w:tcW w:w="3240" w:type="dxa"/>
            <w:vAlign w:val="bottom"/>
            <w:shd w:val="clear" w:color="auto" w:fill="EDEDED"/>
          </w:tcPr>
          <w:p>
            <w:pPr>
              <w:ind w:left="1580"/>
              <w:spacing w:after="0"/>
              <w:rPr>
                <w:sz w:val="20"/>
                <w:szCs w:val="20"/>
                <w:color w:val="auto"/>
              </w:rPr>
            </w:pPr>
            <w:r>
              <w:rPr>
                <w:rFonts w:ascii="Arial" w:cs="Arial" w:eastAsia="Arial" w:hAnsi="Arial"/>
                <w:sz w:val="16"/>
                <w:szCs w:val="16"/>
                <w:color w:val="auto"/>
              </w:rPr>
              <w:t>April 15, 2026</w:t>
            </w:r>
          </w:p>
        </w:tc>
      </w:tr>
      <w:tr>
        <w:trPr>
          <w:trHeight w:val="312"/>
        </w:trPr>
        <w:tc>
          <w:tcPr>
            <w:tcW w:w="5240" w:type="dxa"/>
            <w:vAlign w:val="bottom"/>
            <w:shd w:val="clear" w:color="auto" w:fill="EDEDED"/>
          </w:tcPr>
          <w:p>
            <w:pPr>
              <w:spacing w:after="0"/>
              <w:rPr>
                <w:sz w:val="24"/>
                <w:szCs w:val="24"/>
                <w:color w:val="auto"/>
              </w:rPr>
            </w:pPr>
          </w:p>
        </w:tc>
        <w:tc>
          <w:tcPr>
            <w:tcW w:w="324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-736600</wp:posOffset>
            </wp:positionV>
            <wp:extent cx="21463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-736600</wp:posOffset>
            </wp:positionV>
            <wp:extent cx="222885"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1940" w:space="720"/>
            <w:col w:w="8480"/>
          </w:cols>
          <w:pgMar w:left="320" w:top="482" w:right="439" w:bottom="1440" w:gutter="0" w:footer="0" w:header="0"/>
          <w:type w:val="continuous"/>
        </w:sectPr>
      </w:pPr>
    </w:p>
    <w:p>
      <w:pPr>
        <w:ind w:left="120" w:right="540"/>
        <w:spacing w:after="0" w:line="286" w:lineRule="auto"/>
        <w:rPr>
          <w:sz w:val="20"/>
          <w:szCs w:val="20"/>
          <w:color w:val="auto"/>
        </w:rPr>
      </w:pPr>
      <w:r>
        <w:rPr>
          <w:rFonts w:ascii="Arial" w:cs="Arial" w:eastAsia="Arial" w:hAnsi="Arial"/>
          <w:sz w:val="16"/>
          <w:szCs w:val="16"/>
          <w:color w:val="auto"/>
        </w:rPr>
        <w:t>This proxy statement and the Company’s Annual Report to Stockholders for the year ended December 31, 2025 (the “2025 Annual Report”) will be released on or about April 27, 2026, to our stockholders on the Record Date.</w:t>
      </w:r>
    </w:p>
    <w:p>
      <w:pPr>
        <w:spacing w:after="0" w:line="142" w:lineRule="exact"/>
        <w:rPr>
          <w:sz w:val="20"/>
          <w:szCs w:val="20"/>
          <w:color w:val="auto"/>
        </w:rPr>
      </w:pPr>
    </w:p>
    <w:p>
      <w:pPr>
        <w:jc w:val="center"/>
        <w:ind w:left="460"/>
        <w:spacing w:after="0" w:line="296"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TUESDAY, JUNE 9, 2026</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This Proxy Statement and our 2025 Annual Report are available at </w:t>
      </w:r>
      <w:r>
        <w:rPr>
          <w:rFonts w:ascii="Arial" w:cs="Arial" w:eastAsia="Arial" w:hAnsi="Arial"/>
          <w:sz w:val="18"/>
          <w:szCs w:val="18"/>
          <w:b w:val="1"/>
          <w:bCs w:val="1"/>
          <w:i w:val="1"/>
          <w:iCs w:val="1"/>
          <w:color w:val="auto"/>
        </w:rPr>
        <w:t>www.proxyvote.com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Can You Find More Information?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“Questions and Answers about the 2026 Annual Meeting of Stockholders” on page 5.</w:t>
      </w:r>
    </w:p>
    <w:p>
      <w:pPr>
        <w:spacing w:after="0" w:line="113"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References to our website in this proxy statement, the 2025 Annual Report or the Annual Report on Form 10-K are for the convenience of readers, and information available at or through our website is not a part of, nor is it incorporated by reference in, these documents.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Stockholders may obtain directions for accessing the meeting online by visiting our website at </w:t>
      </w:r>
      <w:r>
        <w:rPr>
          <w:rFonts w:ascii="Arial" w:cs="Arial" w:eastAsia="Arial" w:hAnsi="Arial"/>
          <w:sz w:val="16"/>
          <w:szCs w:val="16"/>
          <w:i w:val="1"/>
          <w:iCs w:val="1"/>
          <w:color w:val="auto"/>
        </w:rPr>
        <w:t>www.fortrea.com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Annual Meeting, our stockholders will be asked:</w:t>
      </w:r>
    </w:p>
    <w:p>
      <w:pPr>
        <w:spacing w:after="0" w:line="154" w:lineRule="exact"/>
        <w:rPr>
          <w:sz w:val="20"/>
          <w:szCs w:val="20"/>
          <w:color w:val="auto"/>
        </w:rPr>
      </w:pPr>
    </w:p>
    <w:p>
      <w:pPr>
        <w:ind w:left="340" w:right="300" w:hanging="224"/>
        <w:spacing w:after="0" w:line="28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Anshul Thakral, Peter M. Neupert, and William J. Sharbaugh as Class III Directors to serve until the 2028 Annual Meeting of Stockholders, and until their respective successors shall have been duly elected and qualified;</w:t>
      </w:r>
    </w:p>
    <w:p>
      <w:pPr>
        <w:spacing w:after="0" w:line="20"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accounting firm for the fiscal year ending December 31, 2026;</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conduct an advisory vote to approve compensation for our named executive officers (“Say-on-Pay Vote”); and</w:t>
      </w:r>
    </w:p>
    <w:p>
      <w:pPr>
        <w:spacing w:after="0" w:line="86" w:lineRule="exact"/>
        <w:rPr>
          <w:rFonts w:ascii="Arial" w:cs="Arial" w:eastAsia="Arial" w:hAnsi="Arial"/>
          <w:sz w:val="16"/>
          <w:szCs w:val="16"/>
          <w:color w:val="auto"/>
        </w:rPr>
      </w:pPr>
    </w:p>
    <w:p>
      <w:pPr>
        <w:ind w:left="340" w:right="240" w:hanging="224"/>
        <w:spacing w:after="0" w:line="28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8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We know of no other business that will be presented at the Annual Meeting. If any other matter properly comes before the stockholders for a vote at the Annual Meeting, however, the proxy holders named on the Company’s proxy card will vote your shares in their discretion.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49"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Fortrea is a publicly traded company, and our common stock is listed under the symbol “FTRE” on the Nasdaq Stock Market LLC (“Nasdaq”). We are a leading global provider of clinical development solutions to the life sciences industry. We provide phase I through IV clinical trial management, clinical pharmacology, and consulting services for global pharmaceutical, biotechnology, and medical device customers. Our talented and diverse team of approximately 14,300 people working in approximately 100 countries is scaled to deliver focused and agile solutions to customers globally.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Recommendations of the Board</w:t>
      </w:r>
    </w:p>
    <w:p>
      <w:pPr>
        <w:spacing w:after="0" w:line="135"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Board’s recommendations which are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9560" w:type="dxa"/>
            <w:vAlign w:val="bottom"/>
            <w:shd w:val="clear" w:color="auto" w:fill="0BC11C"/>
          </w:tcPr>
          <w:p>
            <w:pPr>
              <w:spacing w:after="0"/>
              <w:rPr>
                <w:sz w:val="22"/>
                <w:szCs w:val="22"/>
                <w:color w:val="auto"/>
              </w:rPr>
            </w:pPr>
          </w:p>
        </w:tc>
        <w:tc>
          <w:tcPr>
            <w:tcW w:w="1460" w:type="dxa"/>
            <w:vAlign w:val="bottom"/>
            <w:shd w:val="clear" w:color="auto" w:fill="0BC11C"/>
          </w:tcPr>
          <w:p>
            <w:pPr>
              <w:ind w:left="100"/>
              <w:spacing w:after="0"/>
              <w:rPr>
                <w:sz w:val="20"/>
                <w:szCs w:val="20"/>
                <w:color w:val="auto"/>
              </w:rPr>
            </w:pPr>
            <w:r>
              <w:rPr>
                <w:rFonts w:ascii="Arial" w:cs="Arial" w:eastAsia="Arial" w:hAnsi="Arial"/>
                <w:sz w:val="14"/>
                <w:szCs w:val="14"/>
                <w:b w:val="1"/>
                <w:bCs w:val="1"/>
                <w:color w:val="FFFFFF"/>
              </w:rPr>
              <w:t>Board</w:t>
            </w:r>
          </w:p>
        </w:tc>
      </w:tr>
      <w:tr>
        <w:trPr>
          <w:trHeight w:val="196"/>
        </w:trPr>
        <w:tc>
          <w:tcPr>
            <w:tcW w:w="9560" w:type="dxa"/>
            <w:vAlign w:val="bottom"/>
            <w:shd w:val="clear" w:color="auto" w:fill="0BC11C"/>
          </w:tcPr>
          <w:p>
            <w:pPr>
              <w:spacing w:after="0"/>
              <w:rPr>
                <w:sz w:val="20"/>
                <w:szCs w:val="20"/>
                <w:color w:val="auto"/>
              </w:rPr>
            </w:pPr>
            <w:r>
              <w:rPr>
                <w:rFonts w:ascii="Arial" w:cs="Arial" w:eastAsia="Arial" w:hAnsi="Arial"/>
                <w:sz w:val="14"/>
                <w:szCs w:val="14"/>
                <w:b w:val="1"/>
                <w:bCs w:val="1"/>
                <w:color w:val="FFFFFF"/>
              </w:rPr>
              <w:t>   Proposals</w:t>
            </w:r>
          </w:p>
        </w:tc>
        <w:tc>
          <w:tcPr>
            <w:tcW w:w="1460" w:type="dxa"/>
            <w:vAlign w:val="bottom"/>
            <w:shd w:val="clear" w:color="auto" w:fill="0BC11C"/>
          </w:tcPr>
          <w:p>
            <w:pPr>
              <w:ind w:left="100"/>
              <w:spacing w:after="0"/>
              <w:rPr>
                <w:sz w:val="20"/>
                <w:szCs w:val="20"/>
                <w:color w:val="auto"/>
              </w:rPr>
            </w:pPr>
            <w:r>
              <w:rPr>
                <w:rFonts w:ascii="Arial" w:cs="Arial" w:eastAsia="Arial" w:hAnsi="Arial"/>
                <w:sz w:val="14"/>
                <w:szCs w:val="14"/>
                <w:b w:val="1"/>
                <w:bCs w:val="1"/>
                <w:color w:val="FFFFFF"/>
              </w:rPr>
              <w:t>Recommendation</w:t>
            </w:r>
          </w:p>
        </w:tc>
      </w:tr>
      <w:tr>
        <w:trPr>
          <w:trHeight w:val="83"/>
        </w:trPr>
        <w:tc>
          <w:tcPr>
            <w:tcW w:w="9560" w:type="dxa"/>
            <w:vAlign w:val="bottom"/>
            <w:shd w:val="clear" w:color="auto" w:fill="0BC11C"/>
          </w:tcPr>
          <w:p>
            <w:pPr>
              <w:spacing w:after="0"/>
              <w:rPr>
                <w:sz w:val="7"/>
                <w:szCs w:val="7"/>
                <w:color w:val="auto"/>
              </w:rPr>
            </w:pPr>
          </w:p>
        </w:tc>
        <w:tc>
          <w:tcPr>
            <w:tcW w:w="1460" w:type="dxa"/>
            <w:vAlign w:val="bottom"/>
            <w:shd w:val="clear" w:color="auto" w:fill="0BC11C"/>
          </w:tcPr>
          <w:p>
            <w:pPr>
              <w:spacing w:after="0"/>
              <w:rPr>
                <w:sz w:val="7"/>
                <w:szCs w:val="7"/>
                <w:color w:val="auto"/>
              </w:rPr>
            </w:pPr>
          </w:p>
        </w:tc>
      </w:tr>
    </w:tbl>
    <w:p>
      <w:pPr>
        <w:spacing w:after="0" w:line="154" w:lineRule="exact"/>
        <w:rPr>
          <w:sz w:val="20"/>
          <w:szCs w:val="20"/>
          <w:color w:val="auto"/>
        </w:rPr>
      </w:pPr>
    </w:p>
    <w:p>
      <w:pPr>
        <w:ind w:left="200" w:hanging="84"/>
        <w:spacing w:after="0"/>
        <w:tabs>
          <w:tab w:leader="none" w:pos="2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1.</w:t>
      </w:r>
      <w:r>
        <w:rPr>
          <w:rFonts w:ascii="Arial" w:cs="Arial" w:eastAsia="Arial" w:hAnsi="Arial"/>
          <w:sz w:val="16"/>
          <w:szCs w:val="16"/>
          <w:color w:val="auto"/>
        </w:rPr>
        <w:t xml:space="preserve">   To elect Anshul Thakral, Peter M. Neupert, and William J. Sharbaugh as Class III Directors to serve until the 2028 Annual</w:t>
      </w:r>
    </w:p>
    <w:p>
      <w:pPr>
        <w:ind w:left="440"/>
        <w:spacing w:after="0"/>
        <w:rPr>
          <w:sz w:val="20"/>
          <w:szCs w:val="20"/>
          <w:color w:val="auto"/>
        </w:rPr>
      </w:pPr>
      <w:r>
        <w:rPr>
          <w:rFonts w:ascii="Arial" w:cs="Arial" w:eastAsia="Arial" w:hAnsi="Arial"/>
          <w:sz w:val="16"/>
          <w:szCs w:val="16"/>
          <w:color w:val="auto"/>
        </w:rPr>
        <w:t xml:space="preserve">Meeting of Stockholders, and until their respective successors shall have been duly elected and qualified                     </w:t>
      </w:r>
      <w:r>
        <w:rPr>
          <w:sz w:val="1"/>
          <w:szCs w:val="1"/>
          <w:color w:val="auto"/>
        </w:rPr>
        <w:drawing>
          <wp:inline distT="0" distB="0" distL="0" distR="0">
            <wp:extent cx="188595" cy="114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14300"/>
                    </a:xfrm>
                    <a:prstGeom prst="rect">
                      <a:avLst/>
                    </a:prstGeom>
                    <a:noFill/>
                    <a:ln>
                      <a:noFill/>
                    </a:ln>
                  </pic:spPr>
                </pic:pic>
              </a:graphicData>
            </a:graphic>
          </wp:inline>
        </w:drawing>
      </w:r>
      <w:r>
        <w:rPr>
          <w:rFonts w:ascii="Arial" w:cs="Arial" w:eastAsia="Arial" w:hAnsi="Arial"/>
          <w:sz w:val="16"/>
          <w:szCs w:val="16"/>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197" w:lineRule="exact"/>
        <w:rPr>
          <w:sz w:val="20"/>
          <w:szCs w:val="20"/>
          <w:color w:val="auto"/>
        </w:rPr>
      </w:pPr>
    </w:p>
    <w:p>
      <w:pPr>
        <w:ind w:left="200" w:hanging="84"/>
        <w:spacing w:after="0"/>
        <w:tabs>
          <w:tab w:leader="none" w:pos="2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2.</w:t>
      </w:r>
      <w:r>
        <w:rPr>
          <w:rFonts w:ascii="Arial" w:cs="Arial" w:eastAsia="Arial" w:hAnsi="Arial"/>
          <w:sz w:val="16"/>
          <w:szCs w:val="16"/>
          <w:color w:val="auto"/>
        </w:rPr>
        <w:t xml:space="preserve">   To ratify the appointment of Deloitte &amp; Touche LLP as our independent registered public accounting firm for the fiscal year ending</w:t>
      </w:r>
    </w:p>
    <w:p>
      <w:pPr>
        <w:sectPr>
          <w:pgSz w:w="11900" w:h="16838" w:orient="portrait"/>
          <w:cols w:equalWidth="0" w:num="1">
            <w:col w:w="11140"/>
          </w:cols>
          <w:pgMar w:left="320" w:top="482" w:right="439" w:bottom="1440" w:gutter="0" w:footer="0" w:header="0"/>
        </w:sectPr>
      </w:pPr>
    </w:p>
    <w:p>
      <w:pPr>
        <w:spacing w:after="0" w:line="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December 31, 2026</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200" w:lineRule="exact"/>
        <w:rPr>
          <w:sz w:val="20"/>
          <w:szCs w:val="20"/>
          <w:color w:val="auto"/>
        </w:rPr>
      </w:pPr>
    </w:p>
    <w:p>
      <w:pPr>
        <w:sectPr>
          <w:pgSz w:w="11900" w:h="16838" w:orient="portrait"/>
          <w:cols w:equalWidth="0" w:num="2">
            <w:col w:w="9840" w:space="720"/>
            <w:col w:w="580"/>
          </w:cols>
          <w:pgMar w:left="320" w:top="482" w:right="439" w:bottom="144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3.</w:t>
      </w:r>
      <w:r>
        <w:rPr>
          <w:rFonts w:ascii="Arial" w:cs="Arial" w:eastAsia="Arial" w:hAnsi="Arial"/>
          <w:sz w:val="16"/>
          <w:szCs w:val="16"/>
          <w:color w:val="auto"/>
        </w:rPr>
        <w:t xml:space="preserve">   To conduct an advisory vote to approve compensation for our named executive officers (“Say-on-Pay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w:t>
      </w:r>
    </w:p>
    <w:p>
      <w:pPr>
        <w:spacing w:after="0" w:line="200" w:lineRule="exact"/>
        <w:rPr>
          <w:sz w:val="20"/>
          <w:szCs w:val="20"/>
          <w:color w:val="auto"/>
        </w:rPr>
      </w:pPr>
    </w:p>
    <w:p>
      <w:pPr>
        <w:sectPr>
          <w:pgSz w:w="11900" w:h="16838" w:orient="portrait"/>
          <w:cols w:equalWidth="0" w:num="2">
            <w:col w:w="9840" w:space="720"/>
            <w:col w:w="580"/>
          </w:cols>
          <w:pgMar w:left="320" w:top="482" w:right="439" w:bottom="1440" w:gutter="0" w:footer="0" w:header="0"/>
          <w:type w:val="continuous"/>
        </w:sectPr>
      </w:pPr>
    </w:p>
    <w:p>
      <w:pPr>
        <w:spacing w:after="0" w:line="102"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If any other matter properly comes before the stockholders for a vote at the Annual Meeting, the proxy holders named on the Company’s proxy card will vote your shares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3</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3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b w:val="1"/>
          <w:bCs w:val="1"/>
          <w:color w:val="auto"/>
        </w:rPr>
        <w:t>Why you received this proxy statement</w:t>
      </w:r>
      <w:r>
        <w:rPr>
          <w:rFonts w:ascii="Arial" w:cs="Arial" w:eastAsia="Arial" w:hAnsi="Arial"/>
          <w:sz w:val="16"/>
          <w:szCs w:val="16"/>
          <w:color w:val="auto"/>
        </w:rPr>
        <w:t>. You are viewing or have received these proxy materials because the Board is soliciting your proxy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at the Annual Meeting. This proxy statement includes information that we are required to provide to you under the rules of the SEC and that is designed to assist you in voting your shares.</w:t>
      </w:r>
    </w:p>
    <w:p>
      <w:pPr>
        <w:spacing w:after="0" w:line="10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auto"/>
        </w:rPr>
        <w:t>Notice of Internet Availability of Proxy Materials</w:t>
      </w:r>
      <w:r>
        <w:rPr>
          <w:rFonts w:ascii="Arial" w:cs="Arial" w:eastAsia="Arial" w:hAnsi="Arial"/>
          <w:sz w:val="16"/>
          <w:szCs w:val="16"/>
          <w:color w:val="auto"/>
        </w:rPr>
        <w:t>. As permitted by SEC rules, Fortrea is making this proxy statement and its 2025 Annual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its stockholders electronically via the Internet. On or about April 27,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14"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b w:val="1"/>
          <w:bCs w:val="1"/>
          <w:color w:val="auto"/>
        </w:rPr>
        <w:t xml:space="preserve">Printed Copies of Our Proxy Materials. </w:t>
      </w:r>
      <w:r>
        <w:rPr>
          <w:rFonts w:ascii="Arial" w:cs="Arial" w:eastAsia="Arial" w:hAnsi="Arial"/>
          <w:sz w:val="16"/>
          <w:szCs w:val="16"/>
          <w:color w:val="auto"/>
        </w:rPr>
        <w:t>If you received printed copies of our proxy materials, then instructions regarding how you can vote are</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on the proxy card included in the materials.</w:t>
      </w:r>
    </w:p>
    <w:p>
      <w:pPr>
        <w:spacing w:after="0" w:line="7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auto"/>
        </w:rPr>
        <w:t xml:space="preserve">Householding. </w:t>
      </w:r>
      <w:r>
        <w:rPr>
          <w:rFonts w:ascii="Arial" w:cs="Arial" w:eastAsia="Arial" w:hAnsi="Arial"/>
          <w:sz w:val="16"/>
          <w:szCs w:val="16"/>
          <w:color w:val="auto"/>
        </w:rPr>
        <w:t>The SEC’s rules permit us to deliver a single Internet Notice or set of proxy materials to one address shared by two or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(866) 540-7095 or in writing at Broadridge, Householding Department, 51 Mercedes Way, Edgewood, New York 11717.</w:t>
      </w:r>
    </w:p>
    <w:p>
      <w:pPr>
        <w:spacing w:after="0" w:line="114"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Questions and Answers about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35"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Record Date for the Annual Meeting is April 15,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94,584,730 shares of Common Stock outstanding and entitled to vote at the Annual Meeting.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22"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 record holder holds shares in his or her name. That is, shares are registered in your name with our transfer agent. Shares held in “street name” means shares that are held in the name of a bank or broker on a person’s behalf.</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22"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at the Annual Meeting, unless you obtain a legal proxy from your bank or brokerage firm, signed on behalf of the broker or nominee, granting you authority to vote the shares.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22"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A quorum must be present at the Annual Meeting for any business to be conducted. The presence at the Annual Meeting, virtually or by proxy, of the holders of a majority in voting power of the Common Stock issued and outstanding and entitled to vote on the Record Date will constitute a quorum.</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attend the Annual Meeting?</w:t>
      </w:r>
    </w:p>
    <w:p>
      <w:pPr>
        <w:spacing w:after="0" w:line="12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Annual Meeting will be conducted virtually. All stockholders will be able to attend and vote at the Annual Meeting via webcast by entering the 16-digit control number included on the Notice of Internet Availability of Proxy Materials, on your proxy card, or on the instructions that accompanied your proxy materials at www.virtualshareholdermeeting.com/FTRE2026. If you do not have a control number, you will be able to register as a guest; however, you will not be able to vote or submit questions before or during the meeting.</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recording of the Annual Meeting is allowed, including audio and video recording.</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Why is the annual meeting a virtual meeting?</w:t>
      </w:r>
    </w:p>
    <w:p>
      <w:pPr>
        <w:spacing w:after="0" w:line="140"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To facilitate broad stockholder attendance and provide a consistent experience to all stockholders, regardless of location, our 2026 Annual Meeting will be a virtual-only meeting where stockholders will participate by accessing a website using the Internet. There will not be a physical meeting location. We are implementing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exercise the same rights as if they had attended an in-person meeting and believe that these measures will enhance stockholder access and encourage participation and communication with our Board and management. We have designed the virtual annual meeting to provide the same rights and opportunities to participate as stockholders would have at an in-person meeting, including the right to vote and ask questions through the virtual meeting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5</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QUESTIONS AND ANSWERS ABOUT THE 2026 ANNUAL MEETING OF STOCKHOLDERS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can I do if I need technical assistance during the Annual Meeting?</w:t>
      </w:r>
    </w:p>
    <w:p>
      <w:pPr>
        <w:spacing w:after="0" w:line="122" w:lineRule="exact"/>
        <w:rPr>
          <w:sz w:val="20"/>
          <w:szCs w:val="20"/>
          <w:color w:val="auto"/>
        </w:rPr>
      </w:pPr>
    </w:p>
    <w:p>
      <w:pPr>
        <w:ind w:left="120" w:right="20"/>
        <w:spacing w:after="0" w:line="262" w:lineRule="auto"/>
        <w:rPr>
          <w:sz w:val="20"/>
          <w:szCs w:val="20"/>
          <w:color w:val="auto"/>
        </w:rPr>
      </w:pPr>
      <w:r>
        <w:rPr>
          <w:rFonts w:ascii="Arial" w:cs="Arial" w:eastAsia="Arial" w:hAnsi="Arial"/>
          <w:sz w:val="16"/>
          <w:szCs w:val="16"/>
          <w:color w:val="auto"/>
        </w:rPr>
        <w:t>If you encounter any difficulties accessing the Annual Meeting webcast, please call the technical support number that will be posted on the Annual Meeting Website log-in page. We encourage you to access the Annual Meeting approximately 15 minutes in advance to allow ample time for you to log in to the meeting and test your computer audio system. We also recommend that you carefully review the above procedures needed to gain admission in advance.</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22"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If a quorum is not present at the scheduled time of the Annual Meeting, the presiding officer of the Annual Meeting may postpone or adjourn the Annual Meeting until a quorum is present or represented.</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117"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postage-paid envelope.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Whether you plan to attend the annual meeting or not, we recommend that stockholders vote by proxy. If you are a stockholder of record, there are two ways to vote by proxy:</w:t>
      </w:r>
    </w:p>
    <w:p>
      <w:pPr>
        <w:spacing w:after="0" w:line="75"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By Internet or by Telephone</w:t>
      </w:r>
      <w:r>
        <w:rPr>
          <w:rFonts w:ascii="Arial" w:cs="Arial" w:eastAsia="Arial" w:hAnsi="Arial"/>
          <w:sz w:val="16"/>
          <w:szCs w:val="16"/>
          <w:color w:val="auto"/>
        </w:rPr>
        <w:t>—You can vote by Internet or telephone by following the instructions on the proxy card.</w:t>
      </w:r>
    </w:p>
    <w:p>
      <w:pPr>
        <w:spacing w:after="0" w:line="72" w:lineRule="exact"/>
        <w:rPr>
          <w:rFonts w:ascii="Arial" w:cs="Arial" w:eastAsia="Arial" w:hAnsi="Arial"/>
          <w:sz w:val="16"/>
          <w:szCs w:val="16"/>
          <w:color w:val="auto"/>
        </w:rPr>
      </w:pPr>
    </w:p>
    <w:p>
      <w:pPr>
        <w:ind w:left="340" w:hanging="224"/>
        <w:spacing w:after="0" w:line="25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At the Annual Meeting</w:t>
      </w:r>
      <w:r>
        <w:rPr>
          <w:rFonts w:ascii="Arial" w:cs="Arial" w:eastAsia="Arial" w:hAnsi="Arial"/>
          <w:sz w:val="16"/>
          <w:szCs w:val="16"/>
          <w:color w:val="auto"/>
        </w:rPr>
        <w:t>—To vote during the Annual Meeting, attend the Annual Meeting at www.virtualshareholdermeeting.com/FTRE2026, and we</w:t>
      </w:r>
      <w:r>
        <w:rPr>
          <w:rFonts w:ascii="Arial" w:cs="Arial" w:eastAsia="Arial" w:hAnsi="Arial"/>
          <w:sz w:val="16"/>
          <w:szCs w:val="16"/>
          <w:b w:val="1"/>
          <w:bCs w:val="1"/>
          <w:color w:val="auto"/>
        </w:rPr>
        <w:t xml:space="preserve"> </w:t>
      </w:r>
      <w:r>
        <w:rPr>
          <w:rFonts w:ascii="Arial" w:cs="Arial" w:eastAsia="Arial" w:hAnsi="Arial"/>
          <w:sz w:val="16"/>
          <w:szCs w:val="16"/>
          <w:color w:val="auto"/>
        </w:rPr>
        <w:t>will provide voting instructions at that link. In order to vote, you will need the 16-digit control number that appears on your proxy card or the instructions that accompanied these proxy materials. Each stockholder has a unique control number so that we can ensure all voting instructions are genuine and prevent duplicative voting. Depending on the number of accounts in which you hold shares of our common stock, you may receive and need to vote more than one control number.</w:t>
      </w:r>
    </w:p>
    <w:p>
      <w:pPr>
        <w:spacing w:after="0" w:line="31" w:lineRule="exact"/>
        <w:rPr>
          <w:rFonts w:ascii="Arial" w:cs="Arial" w:eastAsia="Arial" w:hAnsi="Arial"/>
          <w:sz w:val="16"/>
          <w:szCs w:val="16"/>
          <w:color w:val="auto"/>
        </w:rPr>
      </w:pPr>
    </w:p>
    <w:p>
      <w:pPr>
        <w:ind w:left="340" w:hanging="224"/>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By Mail</w:t>
      </w:r>
      <w:r>
        <w:rPr>
          <w:rFonts w:ascii="Arial" w:cs="Arial" w:eastAsia="Arial" w:hAnsi="Arial"/>
          <w:sz w:val="16"/>
          <w:szCs w:val="16"/>
          <w:color w:val="auto"/>
        </w:rPr>
        <w:t>—You can vote by mail by signing, dating and mailing the proxy card, which you may have received by mail.</w:t>
      </w:r>
    </w:p>
    <w:p>
      <w:pPr>
        <w:spacing w:after="0" w:line="127"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and will close at 11:59 p.m., Eastern Time, on June 8, 2026. 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at the Annual Meeting, you should contact your bank or broker to obtain a legal proxy.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are a record stockholder (i.e., your shares are registered in your name with our transfer agent), you may revoke your proxy and change your vote:</w:t>
      </w:r>
    </w:p>
    <w:p>
      <w:pPr>
        <w:spacing w:after="0" w:line="140"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delivering to our Corporate Secretary a duly executed new proxy bearing a later date;</w:t>
      </w:r>
    </w:p>
    <w:p>
      <w:pPr>
        <w:spacing w:after="0" w:line="72" w:lineRule="exact"/>
        <w:rPr>
          <w:rFonts w:ascii="Arial" w:cs="Arial" w:eastAsia="Arial" w:hAnsi="Arial"/>
          <w:sz w:val="16"/>
          <w:szCs w:val="16"/>
          <w:color w:val="auto"/>
        </w:rPr>
      </w:pPr>
    </w:p>
    <w:p>
      <w:pPr>
        <w:ind w:left="340" w:hanging="224"/>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granting a subsequent proxy through the Internet or telephone;</w:t>
      </w:r>
    </w:p>
    <w:p>
      <w:pPr>
        <w:spacing w:after="0" w:line="72" w:lineRule="exact"/>
        <w:rPr>
          <w:rFonts w:ascii="Arial" w:cs="Arial" w:eastAsia="Arial" w:hAnsi="Arial"/>
          <w:sz w:val="16"/>
          <w:szCs w:val="16"/>
          <w:color w:val="auto"/>
        </w:rPr>
      </w:pPr>
    </w:p>
    <w:p>
      <w:pPr>
        <w:ind w:left="340" w:hanging="224"/>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delivering a revocation of the proxy to our Corporate Secretary prior to or when the vote is taken; or</w:t>
      </w:r>
    </w:p>
    <w:p>
      <w:pPr>
        <w:spacing w:after="0" w:line="72" w:lineRule="exact"/>
        <w:rPr>
          <w:rFonts w:ascii="Arial" w:cs="Arial" w:eastAsia="Arial" w:hAnsi="Arial"/>
          <w:sz w:val="16"/>
          <w:szCs w:val="16"/>
          <w:color w:val="auto"/>
        </w:rPr>
      </w:pPr>
    </w:p>
    <w:p>
      <w:pPr>
        <w:ind w:left="340" w:hanging="224"/>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voting virtually at the Annual Meeting.</w:t>
      </w:r>
    </w:p>
    <w:p>
      <w:pPr>
        <w:spacing w:after="0" w:line="100"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Your most recent proxy card or telephone or Internet proxy is the one that is counted. Your attendance at the Annual Meeting by itself will not revoke your proxy unless you give written notice of revocation to the Corporate Secretary before your proxy is voted or you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6</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QUESTIONS AND ANSWERS ABOUT THE 2026 ANNUAL MEETING OF STOCKHOLDERS</w:t>
      </w:r>
    </w:p>
    <w:p>
      <w:pPr>
        <w:spacing w:after="0" w:line="372"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If your shares are held in street name (i.e., through a broker or bank),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Broadridge Financial Solutions, our independent proxy tabulator, will count the votes and act as inspector of elections for the Annual Meeting.</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If you submit a proxy but do not indicate any voting instructions, the persons named as proxies will vote in accordance with the recommendations of the Board. The Board’s recommendations are indicated on page 3 of this proxy statement, along with the description of each proposal in this proxy statement.</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49"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We know of no other business that will be presented at the Annual Meeting. If any other matter properly comes before the stockholders for a vote at the Annual Meeting, however, the proxy holders named on the Company’s proxy card will vote your shares in their discretion.</w:t>
      </w:r>
    </w:p>
    <w:p>
      <w:pPr>
        <w:spacing w:after="0" w:line="259" w:lineRule="exact"/>
        <w:rPr>
          <w:sz w:val="20"/>
          <w:szCs w:val="20"/>
          <w:color w:val="auto"/>
        </w:rPr>
      </w:pPr>
    </w:p>
    <w:p>
      <w:pPr>
        <w:ind w:left="120" w:right="80"/>
        <w:spacing w:after="0" w:line="281"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3860" w:type="dxa"/>
            <w:vAlign w:val="bottom"/>
            <w:shd w:val="clear" w:color="auto" w:fill="0BC11C"/>
          </w:tcPr>
          <w:p>
            <w:pPr>
              <w:spacing w:after="0"/>
              <w:rPr>
                <w:sz w:val="24"/>
                <w:szCs w:val="24"/>
                <w:color w:val="auto"/>
              </w:rPr>
            </w:pPr>
          </w:p>
        </w:tc>
        <w:tc>
          <w:tcPr>
            <w:tcW w:w="2460" w:type="dxa"/>
            <w:vAlign w:val="bottom"/>
            <w:shd w:val="clear" w:color="auto" w:fill="0BC11C"/>
          </w:tcPr>
          <w:p>
            <w:pPr>
              <w:spacing w:after="0"/>
              <w:rPr>
                <w:sz w:val="24"/>
                <w:szCs w:val="24"/>
                <w:color w:val="auto"/>
              </w:rPr>
            </w:pPr>
          </w:p>
        </w:tc>
        <w:tc>
          <w:tcPr>
            <w:tcW w:w="4700" w:type="dxa"/>
            <w:vAlign w:val="bottom"/>
            <w:shd w:val="clear" w:color="auto" w:fill="0BC11C"/>
          </w:tcPr>
          <w:p>
            <w:pPr>
              <w:ind w:left="1300"/>
              <w:spacing w:after="0"/>
              <w:rPr>
                <w:sz w:val="20"/>
                <w:szCs w:val="20"/>
                <w:color w:val="auto"/>
              </w:rPr>
            </w:pPr>
            <w:r>
              <w:rPr>
                <w:rFonts w:ascii="Arial" w:cs="Arial" w:eastAsia="Arial" w:hAnsi="Arial"/>
                <w:sz w:val="14"/>
                <w:szCs w:val="14"/>
                <w:b w:val="1"/>
                <w:bCs w:val="1"/>
                <w:color w:val="FFFFFF"/>
              </w:rPr>
              <w:t>Effect of Abstentions and</w:t>
            </w:r>
          </w:p>
        </w:tc>
      </w:tr>
      <w:tr>
        <w:trPr>
          <w:trHeight w:val="210"/>
        </w:trPr>
        <w:tc>
          <w:tcPr>
            <w:tcW w:w="386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Proposal</w:t>
            </w:r>
          </w:p>
        </w:tc>
        <w:tc>
          <w:tcPr>
            <w:tcW w:w="2460" w:type="dxa"/>
            <w:vAlign w:val="bottom"/>
            <w:shd w:val="clear" w:color="auto" w:fill="0BC11C"/>
          </w:tcPr>
          <w:p>
            <w:pPr>
              <w:ind w:left="200"/>
              <w:spacing w:after="0"/>
              <w:rPr>
                <w:sz w:val="20"/>
                <w:szCs w:val="20"/>
                <w:color w:val="auto"/>
              </w:rPr>
            </w:pPr>
            <w:r>
              <w:rPr>
                <w:rFonts w:ascii="Arial" w:cs="Arial" w:eastAsia="Arial" w:hAnsi="Arial"/>
                <w:sz w:val="14"/>
                <w:szCs w:val="14"/>
                <w:b w:val="1"/>
                <w:bCs w:val="1"/>
                <w:color w:val="FFFFFF"/>
              </w:rPr>
              <w:t>Votes required</w:t>
            </w:r>
          </w:p>
        </w:tc>
        <w:tc>
          <w:tcPr>
            <w:tcW w:w="4700" w:type="dxa"/>
            <w:vAlign w:val="bottom"/>
            <w:shd w:val="clear" w:color="auto" w:fill="0BC11C"/>
          </w:tcPr>
          <w:p>
            <w:pPr>
              <w:ind w:left="1300"/>
              <w:spacing w:after="0"/>
              <w:rPr>
                <w:sz w:val="20"/>
                <w:szCs w:val="20"/>
                <w:color w:val="auto"/>
              </w:rPr>
            </w:pPr>
            <w:r>
              <w:rPr>
                <w:rFonts w:ascii="Arial" w:cs="Arial" w:eastAsia="Arial" w:hAnsi="Arial"/>
                <w:sz w:val="14"/>
                <w:szCs w:val="14"/>
                <w:b w:val="1"/>
                <w:bCs w:val="1"/>
                <w:color w:val="FFFFFF"/>
              </w:rPr>
              <w:t>Broker Non-Votes</w:t>
            </w:r>
          </w:p>
        </w:tc>
      </w:tr>
      <w:tr>
        <w:trPr>
          <w:trHeight w:val="43"/>
        </w:trPr>
        <w:tc>
          <w:tcPr>
            <w:tcW w:w="3860" w:type="dxa"/>
            <w:vAlign w:val="bottom"/>
            <w:shd w:val="clear" w:color="auto" w:fill="0BC11C"/>
          </w:tcPr>
          <w:p>
            <w:pPr>
              <w:spacing w:after="0"/>
              <w:rPr>
                <w:sz w:val="3"/>
                <w:szCs w:val="3"/>
                <w:color w:val="auto"/>
              </w:rPr>
            </w:pPr>
          </w:p>
        </w:tc>
        <w:tc>
          <w:tcPr>
            <w:tcW w:w="2460" w:type="dxa"/>
            <w:vAlign w:val="bottom"/>
            <w:shd w:val="clear" w:color="auto" w:fill="0BC11C"/>
          </w:tcPr>
          <w:p>
            <w:pPr>
              <w:spacing w:after="0"/>
              <w:rPr>
                <w:sz w:val="3"/>
                <w:szCs w:val="3"/>
                <w:color w:val="auto"/>
              </w:rPr>
            </w:pPr>
          </w:p>
        </w:tc>
        <w:tc>
          <w:tcPr>
            <w:tcW w:w="4700" w:type="dxa"/>
            <w:vAlign w:val="bottom"/>
            <w:shd w:val="clear" w:color="auto" w:fill="0BC11C"/>
          </w:tcPr>
          <w:p>
            <w:pPr>
              <w:spacing w:after="0"/>
              <w:rPr>
                <w:sz w:val="3"/>
                <w:szCs w:val="3"/>
                <w:color w:val="auto"/>
              </w:rPr>
            </w:pPr>
          </w:p>
        </w:tc>
      </w:tr>
    </w:tbl>
    <w:p>
      <w:pPr>
        <w:spacing w:after="0" w:line="53"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80"/>
        <w:spacing w:after="0"/>
        <w:tabs>
          <w:tab w:leader="none" w:pos="4080" w:val="left"/>
        </w:tabs>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Directors</w:t>
      </w:r>
      <w:r>
        <w:rPr>
          <w:sz w:val="20"/>
          <w:szCs w:val="20"/>
          <w:color w:val="auto"/>
        </w:rPr>
        <w:tab/>
      </w:r>
      <w:r>
        <w:rPr>
          <w:rFonts w:ascii="Arial" w:cs="Arial" w:eastAsia="Arial" w:hAnsi="Arial"/>
          <w:sz w:val="16"/>
          <w:szCs w:val="16"/>
          <w:color w:val="auto"/>
        </w:rPr>
        <w:t>The majority of the votes cast. This means that</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number of shares voted “for” a director’s</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election exceeds 50% of the number of votes</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cast with respect to that director’s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45085</wp:posOffset>
            </wp:positionV>
            <wp:extent cx="4543425"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43425"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Arial" w:cs="Arial" w:eastAsia="Arial" w:hAnsi="Arial"/>
          <w:sz w:val="16"/>
          <w:szCs w:val="16"/>
          <w:color w:val="auto"/>
        </w:rPr>
        <w:t>Abstentions and broker non-votes will have no effect.</w:t>
      </w:r>
    </w:p>
    <w:p>
      <w:pPr>
        <w:spacing w:after="0" w:line="399" w:lineRule="exact"/>
        <w:rPr>
          <w:sz w:val="20"/>
          <w:szCs w:val="20"/>
          <w:color w:val="auto"/>
        </w:rPr>
      </w:pPr>
    </w:p>
    <w:p>
      <w:pPr>
        <w:sectPr>
          <w:pgSz w:w="11900" w:h="16838" w:orient="portrait"/>
          <w:cols w:equalWidth="0" w:num="2">
            <w:col w:w="7460" w:space="280"/>
            <w:col w:w="34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42"/>
        </w:trPr>
        <w:tc>
          <w:tcPr>
            <w:tcW w:w="386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Ratification of Appointment of</w:t>
            </w:r>
          </w:p>
        </w:tc>
        <w:tc>
          <w:tcPr>
            <w:tcW w:w="3540" w:type="dxa"/>
            <w:vAlign w:val="bottom"/>
          </w:tcPr>
          <w:p>
            <w:pPr>
              <w:ind w:left="120"/>
              <w:spacing w:after="0"/>
              <w:rPr>
                <w:sz w:val="20"/>
                <w:szCs w:val="20"/>
                <w:color w:val="auto"/>
              </w:rPr>
            </w:pPr>
            <w:r>
              <w:rPr>
                <w:rFonts w:ascii="Arial" w:cs="Arial" w:eastAsia="Arial" w:hAnsi="Arial"/>
                <w:sz w:val="16"/>
                <w:szCs w:val="16"/>
                <w:color w:val="auto"/>
              </w:rPr>
              <w:t>The affirmative vote of the holders of a majority</w:t>
            </w:r>
          </w:p>
        </w:tc>
      </w:tr>
      <w:tr>
        <w:trPr>
          <w:trHeight w:val="189"/>
        </w:trPr>
        <w:tc>
          <w:tcPr>
            <w:tcW w:w="3860" w:type="dxa"/>
            <w:vAlign w:val="bottom"/>
            <w:shd w:val="clear" w:color="auto" w:fill="EDEDED"/>
          </w:tcPr>
          <w:p>
            <w:pPr>
              <w:ind w:left="60"/>
              <w:spacing w:after="0"/>
              <w:rPr>
                <w:sz w:val="20"/>
                <w:szCs w:val="20"/>
                <w:color w:val="auto"/>
              </w:rPr>
            </w:pPr>
            <w:r>
              <w:rPr>
                <w:rFonts w:ascii="Arial" w:cs="Arial" w:eastAsia="Arial" w:hAnsi="Arial"/>
                <w:sz w:val="16"/>
                <w:szCs w:val="16"/>
                <w:color w:val="auto"/>
              </w:rPr>
              <w:t>Independent Registered Public Accounting Firm</w:t>
            </w:r>
          </w:p>
        </w:tc>
        <w:tc>
          <w:tcPr>
            <w:tcW w:w="3540" w:type="dxa"/>
            <w:vAlign w:val="bottom"/>
          </w:tcPr>
          <w:p>
            <w:pPr>
              <w:ind w:left="120"/>
              <w:spacing w:after="0"/>
              <w:rPr>
                <w:sz w:val="20"/>
                <w:szCs w:val="20"/>
                <w:color w:val="auto"/>
              </w:rPr>
            </w:pPr>
            <w:r>
              <w:rPr>
                <w:rFonts w:ascii="Arial" w:cs="Arial" w:eastAsia="Arial" w:hAnsi="Arial"/>
                <w:sz w:val="16"/>
                <w:szCs w:val="16"/>
                <w:color w:val="auto"/>
              </w:rPr>
              <w:t>in voting power of the shares present or</w:t>
            </w:r>
          </w:p>
        </w:tc>
      </w:tr>
      <w:tr>
        <w:trPr>
          <w:trHeight w:val="189"/>
        </w:trPr>
        <w:tc>
          <w:tcPr>
            <w:tcW w:w="3860" w:type="dxa"/>
            <w:vAlign w:val="bottom"/>
            <w:shd w:val="clear" w:color="auto" w:fill="EDEDED"/>
          </w:tcPr>
          <w:p>
            <w:pPr>
              <w:spacing w:after="0"/>
              <w:rPr>
                <w:sz w:val="16"/>
                <w:szCs w:val="16"/>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represented by proxy and entitled to vote on the</w:t>
            </w:r>
          </w:p>
        </w:tc>
      </w:tr>
      <w:tr>
        <w:trPr>
          <w:trHeight w:val="215"/>
        </w:trPr>
        <w:tc>
          <w:tcPr>
            <w:tcW w:w="3860" w:type="dxa"/>
            <w:vAlign w:val="bottom"/>
            <w:shd w:val="clear" w:color="auto" w:fill="EDEDED"/>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matter.</w:t>
            </w:r>
          </w:p>
        </w:tc>
      </w:tr>
      <w:tr>
        <w:trPr>
          <w:trHeight w:val="623"/>
        </w:trPr>
        <w:tc>
          <w:tcPr>
            <w:tcW w:w="3860" w:type="dxa"/>
            <w:vAlign w:val="bottom"/>
            <w:shd w:val="clear" w:color="auto" w:fill="EDEDED"/>
          </w:tcPr>
          <w:p>
            <w:pPr>
              <w:spacing w:after="0"/>
              <w:rPr>
                <w:sz w:val="24"/>
                <w:szCs w:val="24"/>
                <w:color w:val="auto"/>
              </w:rPr>
            </w:pPr>
          </w:p>
        </w:tc>
        <w:tc>
          <w:tcPr>
            <w:tcW w:w="3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-882015</wp:posOffset>
            </wp:positionV>
            <wp:extent cx="4543425" cy="882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43425" cy="882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Abstentions will have the same effect as votes against. Because brokers have discretionary authority to vote on the ratification of the appointment of Deloitte &amp; Touche LLP, we do not expect any broker non-votes on this proposal, however they would have no effect under the applicable voting standard.</w:t>
      </w:r>
    </w:p>
    <w:p>
      <w:pPr>
        <w:spacing w:after="0" w:line="99" w:lineRule="exact"/>
        <w:rPr>
          <w:sz w:val="20"/>
          <w:szCs w:val="20"/>
          <w:color w:val="auto"/>
        </w:rPr>
      </w:pPr>
    </w:p>
    <w:p>
      <w:pPr>
        <w:sectPr>
          <w:pgSz w:w="11900" w:h="16838" w:orient="portrait"/>
          <w:cols w:equalWidth="0" w:num="2">
            <w:col w:w="7520" w:space="220"/>
            <w:col w:w="3400"/>
          </w:cols>
          <w:pgMar w:left="320" w:top="482" w:right="439" w:bottom="1440" w:gutter="0" w:footer="0" w:header="0"/>
          <w:type w:val="continuous"/>
        </w:sectPr>
      </w:pPr>
    </w:p>
    <w:p>
      <w:pPr>
        <w:ind w:left="180"/>
        <w:spacing w:after="0" w:line="286"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Approval, on an advisory basis,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named executive officers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The affirmative vote of the holders of a majority in voting power of the shares present or represented by proxy and entitled to vote on the matter.</w:t>
      </w:r>
    </w:p>
    <w:p>
      <w:pPr>
        <w:spacing w:after="0" w:line="20" w:lineRule="exact"/>
        <w:rPr>
          <w:sz w:val="20"/>
          <w:szCs w:val="20"/>
          <w:color w:val="auto"/>
        </w:rPr>
      </w:pPr>
      <w:r>
        <w:rPr>
          <w:sz w:val="20"/>
          <w:szCs w:val="20"/>
          <w:color w:val="auto"/>
        </w:rPr>
        <w:br w:type="column"/>
      </w:r>
    </w:p>
    <w:p>
      <w:pPr>
        <w:jc w:val="both"/>
        <w:ind w:right="100"/>
        <w:spacing w:after="0" w:line="266" w:lineRule="auto"/>
        <w:rPr>
          <w:sz w:val="20"/>
          <w:szCs w:val="20"/>
          <w:color w:val="auto"/>
        </w:rPr>
      </w:pPr>
      <w:r>
        <w:rPr>
          <w:rFonts w:ascii="Arial" w:cs="Arial" w:eastAsia="Arial" w:hAnsi="Arial"/>
          <w:sz w:val="16"/>
          <w:szCs w:val="16"/>
          <w:color w:val="auto"/>
        </w:rPr>
        <w:t>Abstentions will have the same effect as votes against. Broker non-votes will not be counted as votes “for” or “against” this proposal.</w:t>
      </w:r>
    </w:p>
    <w:p>
      <w:pPr>
        <w:spacing w:after="0" w:line="382" w:lineRule="exact"/>
        <w:rPr>
          <w:sz w:val="20"/>
          <w:szCs w:val="20"/>
          <w:color w:val="auto"/>
        </w:rPr>
      </w:pPr>
    </w:p>
    <w:p>
      <w:pPr>
        <w:sectPr>
          <w:pgSz w:w="11900" w:h="16838" w:orient="portrait"/>
          <w:cols w:equalWidth="0" w:num="3">
            <w:col w:w="3820" w:space="280"/>
            <w:col w:w="3420" w:space="220"/>
            <w:col w:w="3400"/>
          </w:cols>
          <w:pgMar w:left="320" w:top="482" w:right="439" w:bottom="1440" w:gutter="0" w:footer="0" w:header="0"/>
          <w:type w:val="continuous"/>
        </w:sectPr>
      </w:pP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an abstention and how will abstentions be treated?</w:t>
      </w:r>
    </w:p>
    <w:p>
      <w:pPr>
        <w:spacing w:after="0" w:line="135"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An “abstention,” in the case of the proposals regarding the election of a director, the ratification of the appointment of Deloitte &amp; Touche LLP as our independent registered public accounting firm, and the advisory vote on the compensation of our named executive officers (“Say-on-Pay Vote”) represents a stockholder’s affirmative choice to decline to vote on a proposal. Abstentions are counted as present and entitled to vote for purposes of determining a quorum. Abstentions are not counted as votes cast and therefore will have no effect on determining whether the required majority vote has been attained on the election of a director. Abstentions have the same effect as votes against the ratification of the appointment of Deloitte &amp; Touche LLP, or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7</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QUESTIONS AND ANSWERS ABOUT THE 2026 ANNUAL MEETING OF STOCKHOLDERS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35"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a director or the Say-on-Pay Vote. Broker non-votes count for purposes of determining whether a quorum is present.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49"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We plan to announce preliminary voting results at the Annual Meeting and we will report the final results in a Current Report on Form 8-K, which we intend to file with the SEC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8</w:t>
      </w:r>
      <w:r>
        <w:rPr>
          <w:rFonts w:ascii="Arial" w:cs="Arial" w:eastAsia="Arial" w:hAnsi="Arial"/>
          <w:sz w:val="12"/>
          <w:szCs w:val="12"/>
          <w:color w:val="000000"/>
        </w:rPr>
        <w:t xml:space="preserve">   2026 Proxy Statement  •  FORTREA</w:t>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At the Annual Meeting, three (3) Class III Directors are to be elected to hold office until the Annual Meeting of Stockholders to be held in 2028 and until such director’s successor is elected and qualified or until such director’s earlier death, resignation or removal.</w:t>
      </w:r>
    </w:p>
    <w:p>
      <w:pPr>
        <w:spacing w:after="0" w:line="75"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We currently have eight (8) directors on our Board, including three (3) Class III Directors. Our current Class III Directors are: (i) Peter M. Neupert, who has served on our Board since June 29, 2023; (ii) Anshul Thakral, who has served on our Board since August 4, 2025; and (iii) William J. Sharbaugh, who has served on our Board since September 22, 2025. The Board has nominated Anshul Thakral, Peter M. Neupert, and William J. Sharbaugh for election as Class III Directors at the Annual Meeting. Proxies cannot be voted for a greater number of persons than the number of nominees named in this proposal.</w:t>
      </w:r>
    </w:p>
    <w:p>
      <w:pPr>
        <w:spacing w:after="0" w:line="305"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Each share of Common Stock is entitled to one vote on each of the director nominees and one vote on each other matter that is properly presented at the 2026 Annual Meeting. In accordance with Fortrea’s Amended and Restated Bylaws (the “Bylaws”), director nominees in an uncontested election must receive a majority of the votes cast to be elected, which under the Bylaws means that the number of shares voted “FOR” a director must exceed 50% of the votes cast with respect to that director. The Board has adopted a policy under which an incumbent director who does not receive the required vote for election as provided in the Bylaws will submit their resignation for consideration by the Board. Abstentions and broker non-votes are not considered to be votes cast and, accordingly, will have no effect on the outcome of the vote on this proposal.</w:t>
      </w:r>
    </w:p>
    <w:p>
      <w:pPr>
        <w:spacing w:after="0" w:line="10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As set forth in our Amended and Restated Certificate of Incorporation, the Board is currently divided into three classes with staggered, three-year terms. At each annual meeting held to date, the successors to directors whose terms then expire have been elected to serve from the time of election and qualification until the third annual meeting following election. Beginning at the 2026 Annual Meeting, the current class structure is as follows: Class III, whose current term expires at the 2026 Annual Meeting and whose new term will expire at the 2028 Annual Meeting; Class I, whose current term expires at the 2027 Annual Meeting and whose subsequent term will expire at the 2028 Annual Meeting; and Class II, whose current term expires at the 2028 Annual Meeting. Commencing at the 2028 Annual Meeting and at all subsequent Annual Meetings, the Board will no longer be classified, and all directors will be elected for a term of office to expire at the next succeeding Annual Meeting. The current Class I Directors are Edward Pesicka and David Smith and the current Class II Directors are Dr. Amrit Ray, Erin L. Russell, and Machelle Sanders.</w:t>
      </w:r>
    </w:p>
    <w:p>
      <w:pPr>
        <w:spacing w:after="0" w:line="115"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There are no family relationships among any of our executive officers or directors. For information regarding each of their compensation arrangements, see “Director Compensation” and “Executive Compensation.”</w:t>
      </w:r>
    </w:p>
    <w:p>
      <w:pPr>
        <w:spacing w:after="0" w:line="8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35"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Directors are elected by a majority of the votes cast at the meeting. If a quorum is present, a 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w:t>
      </w:r>
    </w:p>
    <w:p>
      <w:pPr>
        <w:spacing w:after="0" w:line="112"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If an incumbent director does not receive “For” votes that constitute a majority of the votes cast, the director must offer to submit his or her resignation and the Board will decide whether to accept the offer to resign.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579120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22225</wp:posOffset>
            </wp:positionV>
            <wp:extent cx="7029450" cy="45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9</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Director Candidate Qualifications</w:t>
      </w:r>
    </w:p>
    <w:p>
      <w:pPr>
        <w:spacing w:after="0" w:line="14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When evaluating prospective candidates for director, the Nominating, Corporate Governance and Compliance Committee establishes and recommends to the Board the appropriate skills and characteristics required of Board members for the selection of new directors, and evaluates the qualifications of potential candidates for director, including any nominees submitted by stockholders. The Nominating, Corporate Governance and Compliance Committee also evaluates director independence. Further, the Nominating, Corporate Governance and Compliance Committee is committed to strengthening the Board by identifying talented and highly qualified individuals who bring diverse backgrounds, professional skills, and experiences. Our current directors’ primary skills and experiences are highlighted in the following matrix. The matrix is intended as a high-level summary and not an exhaustive list of each director’s skills or contributions to our Board.</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Experience, Expertise or</w:t>
            </w:r>
          </w:p>
        </w:tc>
        <w:tc>
          <w:tcPr>
            <w:tcW w:w="1040" w:type="dxa"/>
            <w:vAlign w:val="bottom"/>
            <w:shd w:val="clear" w:color="auto" w:fill="0BC11C"/>
          </w:tcPr>
          <w:p>
            <w:pPr>
              <w:jc w:val="center"/>
              <w:ind w:left="81"/>
              <w:spacing w:after="0"/>
              <w:rPr>
                <w:sz w:val="20"/>
                <w:szCs w:val="20"/>
                <w:color w:val="auto"/>
              </w:rPr>
            </w:pPr>
            <w:r>
              <w:rPr>
                <w:rFonts w:ascii="Arial" w:cs="Arial" w:eastAsia="Arial" w:hAnsi="Arial"/>
                <w:sz w:val="14"/>
                <w:szCs w:val="14"/>
                <w:b w:val="1"/>
                <w:bCs w:val="1"/>
                <w:color w:val="FFFFFF"/>
              </w:rPr>
              <w:t>Peter</w:t>
            </w:r>
          </w:p>
        </w:tc>
        <w:tc>
          <w:tcPr>
            <w:tcW w:w="84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Anshul</w:t>
            </w:r>
          </w:p>
        </w:tc>
        <w:tc>
          <w:tcPr>
            <w:tcW w:w="86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w w:val="98"/>
              </w:rPr>
              <w:t>Edward</w:t>
            </w:r>
          </w:p>
        </w:tc>
        <w:tc>
          <w:tcPr>
            <w:tcW w:w="70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Amrit</w:t>
            </w:r>
          </w:p>
        </w:tc>
        <w:tc>
          <w:tcPr>
            <w:tcW w:w="84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Erin</w:t>
            </w:r>
          </w:p>
        </w:tc>
        <w:tc>
          <w:tcPr>
            <w:tcW w:w="92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Machelle</w:t>
            </w:r>
          </w:p>
        </w:tc>
        <w:tc>
          <w:tcPr>
            <w:tcW w:w="100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William</w:t>
            </w:r>
          </w:p>
        </w:tc>
        <w:tc>
          <w:tcPr>
            <w:tcW w:w="600" w:type="dxa"/>
            <w:vAlign w:val="bottom"/>
            <w:shd w:val="clear" w:color="auto" w:fill="0BC11C"/>
          </w:tcPr>
          <w:p>
            <w:pPr>
              <w:jc w:val="center"/>
              <w:ind w:left="61"/>
              <w:spacing w:after="0"/>
              <w:rPr>
                <w:sz w:val="20"/>
                <w:szCs w:val="20"/>
                <w:color w:val="auto"/>
              </w:rPr>
            </w:pPr>
            <w:r>
              <w:rPr>
                <w:rFonts w:ascii="Arial" w:cs="Arial" w:eastAsia="Arial" w:hAnsi="Arial"/>
                <w:sz w:val="14"/>
                <w:szCs w:val="14"/>
                <w:b w:val="1"/>
                <w:bCs w:val="1"/>
                <w:color w:val="FFFFFF"/>
              </w:rPr>
              <w:t>David  </w:t>
            </w:r>
          </w:p>
        </w:tc>
        <w:tc>
          <w:tcPr>
            <w:tcW w:w="20" w:type="dxa"/>
            <w:vAlign w:val="bottom"/>
          </w:tcPr>
          <w:p>
            <w:pPr>
              <w:spacing w:after="0"/>
              <w:rPr>
                <w:sz w:val="17"/>
                <w:szCs w:val="17"/>
                <w:color w:val="auto"/>
              </w:rPr>
            </w:pPr>
          </w:p>
        </w:tc>
      </w:tr>
      <w:tr>
        <w:trPr>
          <w:trHeight w:val="219"/>
        </w:trPr>
        <w:tc>
          <w:tcPr>
            <w:tcW w:w="422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4"/>
                <w:szCs w:val="14"/>
                <w:b w:val="1"/>
                <w:bCs w:val="1"/>
                <w:color w:val="FFFFFF"/>
              </w:rPr>
              <w:t>Attribute</w:t>
            </w:r>
          </w:p>
        </w:tc>
        <w:tc>
          <w:tcPr>
            <w:tcW w:w="1040" w:type="dxa"/>
            <w:vAlign w:val="bottom"/>
            <w:tcBorders>
              <w:bottom w:val="single" w:sz="8" w:color="0BC11C"/>
            </w:tcBorders>
            <w:shd w:val="clear" w:color="auto" w:fill="0BC11C"/>
          </w:tcPr>
          <w:p>
            <w:pPr>
              <w:jc w:val="center"/>
              <w:ind w:left="101"/>
              <w:spacing w:after="0"/>
              <w:rPr>
                <w:sz w:val="20"/>
                <w:szCs w:val="20"/>
                <w:color w:val="auto"/>
              </w:rPr>
            </w:pPr>
            <w:r>
              <w:rPr>
                <w:rFonts w:ascii="Arial" w:cs="Arial" w:eastAsia="Arial" w:hAnsi="Arial"/>
                <w:sz w:val="14"/>
                <w:szCs w:val="14"/>
                <w:b w:val="1"/>
                <w:bCs w:val="1"/>
                <w:color w:val="FFFFFF"/>
              </w:rPr>
              <w:t>Neupert</w:t>
            </w:r>
          </w:p>
        </w:tc>
        <w:tc>
          <w:tcPr>
            <w:tcW w:w="84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Thakral</w:t>
            </w:r>
          </w:p>
        </w:tc>
        <w:tc>
          <w:tcPr>
            <w:tcW w:w="86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Pesicka</w:t>
            </w:r>
          </w:p>
        </w:tc>
        <w:tc>
          <w:tcPr>
            <w:tcW w:w="70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Ray</w:t>
            </w:r>
          </w:p>
        </w:tc>
        <w:tc>
          <w:tcPr>
            <w:tcW w:w="84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Russell</w:t>
            </w:r>
          </w:p>
        </w:tc>
        <w:tc>
          <w:tcPr>
            <w:tcW w:w="92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Sanders</w:t>
            </w:r>
          </w:p>
        </w:tc>
        <w:tc>
          <w:tcPr>
            <w:tcW w:w="100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Sharbaugh</w:t>
            </w:r>
          </w:p>
        </w:tc>
        <w:tc>
          <w:tcPr>
            <w:tcW w:w="600" w:type="dxa"/>
            <w:vAlign w:val="bottom"/>
            <w:tcBorders>
              <w:bottom w:val="single" w:sz="8" w:color="0BC11C"/>
            </w:tcBorders>
            <w:shd w:val="clear" w:color="auto" w:fill="0BC11C"/>
          </w:tcPr>
          <w:p>
            <w:pPr>
              <w:jc w:val="center"/>
              <w:ind w:left="61"/>
              <w:spacing w:after="0"/>
              <w:rPr>
                <w:sz w:val="20"/>
                <w:szCs w:val="20"/>
                <w:color w:val="auto"/>
              </w:rPr>
            </w:pPr>
            <w:r>
              <w:rPr>
                <w:rFonts w:ascii="Arial" w:cs="Arial" w:eastAsia="Arial" w:hAnsi="Arial"/>
                <w:sz w:val="14"/>
                <w:szCs w:val="14"/>
                <w:b w:val="1"/>
                <w:bCs w:val="1"/>
                <w:color w:val="FFFFFF"/>
              </w:rPr>
              <w:t>Smith  </w:t>
            </w:r>
          </w:p>
        </w:tc>
        <w:tc>
          <w:tcPr>
            <w:tcW w:w="20" w:type="dxa"/>
            <w:vAlign w:val="bottom"/>
          </w:tcPr>
          <w:p>
            <w:pPr>
              <w:spacing w:after="0"/>
              <w:rPr>
                <w:sz w:val="19"/>
                <w:szCs w:val="19"/>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General Management and Business Operations</w:t>
            </w:r>
          </w:p>
        </w:tc>
        <w:tc>
          <w:tcPr>
            <w:tcW w:w="1040" w:type="dxa"/>
            <w:vAlign w:val="bottom"/>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CEO Experience</w:t>
            </w:r>
          </w:p>
        </w:tc>
        <w:tc>
          <w:tcPr>
            <w:tcW w:w="10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8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shd w:val="clear" w:color="auto" w:fill="EDEDED"/>
          </w:tcPr>
          <w:p>
            <w:pPr>
              <w:spacing w:after="0"/>
              <w:rPr>
                <w:sz w:val="21"/>
                <w:szCs w:val="21"/>
                <w:color w:val="auto"/>
              </w:rPr>
            </w:pPr>
          </w:p>
        </w:tc>
        <w:tc>
          <w:tcPr>
            <w:tcW w:w="840" w:type="dxa"/>
            <w:vAlign w:val="bottom"/>
            <w:shd w:val="clear" w:color="auto" w:fill="EDEDED"/>
          </w:tcPr>
          <w:p>
            <w:pPr>
              <w:spacing w:after="0"/>
              <w:rPr>
                <w:sz w:val="21"/>
                <w:szCs w:val="21"/>
                <w:color w:val="auto"/>
              </w:rPr>
            </w:pPr>
          </w:p>
        </w:tc>
        <w:tc>
          <w:tcPr>
            <w:tcW w:w="920" w:type="dxa"/>
            <w:vAlign w:val="bottom"/>
            <w:shd w:val="clear" w:color="auto" w:fill="EDEDED"/>
          </w:tcPr>
          <w:p>
            <w:pPr>
              <w:spacing w:after="0"/>
              <w:rPr>
                <w:sz w:val="21"/>
                <w:szCs w:val="21"/>
                <w:color w:val="auto"/>
              </w:rPr>
            </w:pPr>
          </w:p>
        </w:tc>
        <w:tc>
          <w:tcPr>
            <w:tcW w:w="100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CFO Experience</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Technology</w:t>
            </w:r>
          </w:p>
        </w:tc>
        <w:tc>
          <w:tcPr>
            <w:tcW w:w="10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shd w:val="clear" w:color="auto" w:fill="EDEDED"/>
          </w:tcPr>
          <w:p>
            <w:pPr>
              <w:spacing w:after="0"/>
              <w:rPr>
                <w:sz w:val="21"/>
                <w:szCs w:val="21"/>
                <w:color w:val="auto"/>
              </w:rPr>
            </w:pPr>
          </w:p>
        </w:tc>
        <w:tc>
          <w:tcPr>
            <w:tcW w:w="860" w:type="dxa"/>
            <w:vAlign w:val="bottom"/>
            <w:shd w:val="clear" w:color="auto" w:fill="EDEDED"/>
          </w:tcPr>
          <w:p>
            <w:pPr>
              <w:spacing w:after="0"/>
              <w:rPr>
                <w:sz w:val="21"/>
                <w:szCs w:val="21"/>
                <w:color w:val="auto"/>
              </w:rPr>
            </w:pPr>
          </w:p>
        </w:tc>
        <w:tc>
          <w:tcPr>
            <w:tcW w:w="700" w:type="dxa"/>
            <w:vAlign w:val="bottom"/>
            <w:shd w:val="clear" w:color="auto" w:fill="EDEDED"/>
          </w:tcPr>
          <w:p>
            <w:pPr>
              <w:spacing w:after="0"/>
              <w:rPr>
                <w:sz w:val="21"/>
                <w:szCs w:val="21"/>
                <w:color w:val="auto"/>
              </w:rPr>
            </w:pPr>
          </w:p>
        </w:tc>
        <w:tc>
          <w:tcPr>
            <w:tcW w:w="840" w:type="dxa"/>
            <w:vAlign w:val="bottom"/>
            <w:shd w:val="clear" w:color="auto" w:fill="EDEDED"/>
          </w:tcPr>
          <w:p>
            <w:pPr>
              <w:spacing w:after="0"/>
              <w:rPr>
                <w:sz w:val="21"/>
                <w:szCs w:val="21"/>
                <w:color w:val="auto"/>
              </w:rPr>
            </w:pPr>
          </w:p>
        </w:tc>
        <w:tc>
          <w:tcPr>
            <w:tcW w:w="920" w:type="dxa"/>
            <w:vAlign w:val="bottom"/>
            <w:shd w:val="clear" w:color="auto" w:fill="EDEDED"/>
          </w:tcPr>
          <w:p>
            <w:pPr>
              <w:spacing w:after="0"/>
              <w:rPr>
                <w:sz w:val="21"/>
                <w:szCs w:val="21"/>
                <w:color w:val="auto"/>
              </w:rPr>
            </w:pP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Finance/Accounting</w:t>
            </w:r>
          </w:p>
        </w:tc>
        <w:tc>
          <w:tcPr>
            <w:tcW w:w="1040" w:type="dxa"/>
            <w:vAlign w:val="bottom"/>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Mergers and Acquisitions</w:t>
            </w:r>
          </w:p>
        </w:tc>
        <w:tc>
          <w:tcPr>
            <w:tcW w:w="10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8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920" w:type="dxa"/>
            <w:vAlign w:val="bottom"/>
            <w:shd w:val="clear" w:color="auto" w:fill="EDEDED"/>
          </w:tcPr>
          <w:p>
            <w:pPr>
              <w:spacing w:after="0"/>
              <w:rPr>
                <w:sz w:val="21"/>
                <w:szCs w:val="21"/>
                <w:color w:val="auto"/>
              </w:rPr>
            </w:pP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auto"/>
              </w:rPr>
              <w:t>X</w:t>
            </w:r>
          </w:p>
        </w:tc>
        <w:tc>
          <w:tcPr>
            <w:tcW w:w="20" w:type="dxa"/>
            <w:vAlign w:val="bottom"/>
          </w:tcPr>
          <w:p>
            <w:pPr>
              <w:spacing w:after="0"/>
              <w:rPr>
                <w:sz w:val="21"/>
                <w:szCs w:val="21"/>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Risk Management</w:t>
            </w:r>
          </w:p>
        </w:tc>
        <w:tc>
          <w:tcPr>
            <w:tcW w:w="1040" w:type="dxa"/>
            <w:vAlign w:val="bottom"/>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x</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International Business</w:t>
            </w:r>
          </w:p>
        </w:tc>
        <w:tc>
          <w:tcPr>
            <w:tcW w:w="10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8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92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auto"/>
              </w:rPr>
              <w:t>X</w:t>
            </w:r>
          </w:p>
        </w:tc>
        <w:tc>
          <w:tcPr>
            <w:tcW w:w="20" w:type="dxa"/>
            <w:vAlign w:val="bottom"/>
          </w:tcPr>
          <w:p>
            <w:pPr>
              <w:spacing w:after="0"/>
              <w:rPr>
                <w:sz w:val="21"/>
                <w:szCs w:val="21"/>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Healthcare/Drug Development</w:t>
            </w:r>
          </w:p>
        </w:tc>
        <w:tc>
          <w:tcPr>
            <w:tcW w:w="1040" w:type="dxa"/>
            <w:vAlign w:val="bottom"/>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Human Resources</w:t>
            </w:r>
          </w:p>
        </w:tc>
        <w:tc>
          <w:tcPr>
            <w:tcW w:w="1040" w:type="dxa"/>
            <w:vAlign w:val="bottom"/>
            <w:shd w:val="clear" w:color="auto" w:fill="EDEDED"/>
          </w:tcPr>
          <w:p>
            <w:pPr>
              <w:spacing w:after="0"/>
              <w:rPr>
                <w:sz w:val="21"/>
                <w:szCs w:val="21"/>
                <w:color w:val="auto"/>
              </w:rPr>
            </w:pPr>
          </w:p>
        </w:tc>
        <w:tc>
          <w:tcPr>
            <w:tcW w:w="840" w:type="dxa"/>
            <w:vAlign w:val="bottom"/>
            <w:shd w:val="clear" w:color="auto" w:fill="EDEDED"/>
          </w:tcPr>
          <w:p>
            <w:pPr>
              <w:spacing w:after="0"/>
              <w:rPr>
                <w:sz w:val="21"/>
                <w:szCs w:val="21"/>
                <w:color w:val="auto"/>
              </w:rPr>
            </w:pPr>
          </w:p>
        </w:tc>
        <w:tc>
          <w:tcPr>
            <w:tcW w:w="860" w:type="dxa"/>
            <w:vAlign w:val="bottom"/>
            <w:shd w:val="clear" w:color="auto" w:fill="EDEDED"/>
          </w:tcPr>
          <w:p>
            <w:pPr>
              <w:spacing w:after="0"/>
              <w:rPr>
                <w:sz w:val="21"/>
                <w:szCs w:val="21"/>
                <w:color w:val="auto"/>
              </w:rPr>
            </w:pPr>
          </w:p>
        </w:tc>
        <w:tc>
          <w:tcPr>
            <w:tcW w:w="700" w:type="dxa"/>
            <w:vAlign w:val="bottom"/>
            <w:shd w:val="clear" w:color="auto" w:fill="EDEDED"/>
          </w:tcPr>
          <w:p>
            <w:pPr>
              <w:spacing w:after="0"/>
              <w:rPr>
                <w:sz w:val="21"/>
                <w:szCs w:val="21"/>
                <w:color w:val="auto"/>
              </w:rPr>
            </w:pPr>
          </w:p>
        </w:tc>
        <w:tc>
          <w:tcPr>
            <w:tcW w:w="840" w:type="dxa"/>
            <w:vAlign w:val="bottom"/>
            <w:shd w:val="clear" w:color="auto" w:fill="EDEDED"/>
          </w:tcPr>
          <w:p>
            <w:pPr>
              <w:spacing w:after="0"/>
              <w:rPr>
                <w:sz w:val="21"/>
                <w:szCs w:val="21"/>
                <w:color w:val="auto"/>
              </w:rPr>
            </w:pPr>
          </w:p>
        </w:tc>
        <w:tc>
          <w:tcPr>
            <w:tcW w:w="92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220" w:type="dxa"/>
            <w:vAlign w:val="bottom"/>
          </w:tcPr>
          <w:p>
            <w:pPr>
              <w:ind w:left="60"/>
              <w:spacing w:after="0"/>
              <w:rPr>
                <w:sz w:val="20"/>
                <w:szCs w:val="20"/>
                <w:color w:val="auto"/>
              </w:rPr>
            </w:pPr>
            <w:r>
              <w:rPr>
                <w:rFonts w:ascii="Arial" w:cs="Arial" w:eastAsia="Arial" w:hAnsi="Arial"/>
                <w:sz w:val="16"/>
                <w:szCs w:val="16"/>
                <w:color w:val="auto"/>
              </w:rPr>
              <w:t>Quality and Regulatory</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220" w:type="dxa"/>
            <w:vAlign w:val="bottom"/>
            <w:shd w:val="clear" w:color="auto" w:fill="EDEDED"/>
          </w:tcPr>
          <w:p>
            <w:pPr>
              <w:ind w:left="60"/>
              <w:spacing w:after="0"/>
              <w:rPr>
                <w:sz w:val="20"/>
                <w:szCs w:val="20"/>
                <w:color w:val="auto"/>
              </w:rPr>
            </w:pPr>
            <w:r>
              <w:rPr>
                <w:rFonts w:ascii="Arial" w:cs="Arial" w:eastAsia="Arial" w:hAnsi="Arial"/>
                <w:sz w:val="16"/>
                <w:szCs w:val="16"/>
                <w:color w:val="auto"/>
              </w:rPr>
              <w:t>Science and Medicine</w:t>
            </w:r>
          </w:p>
        </w:tc>
        <w:tc>
          <w:tcPr>
            <w:tcW w:w="10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auto"/>
              </w:rPr>
              <w:t>X</w:t>
            </w:r>
          </w:p>
        </w:tc>
        <w:tc>
          <w:tcPr>
            <w:tcW w:w="840" w:type="dxa"/>
            <w:vAlign w:val="bottom"/>
            <w:shd w:val="clear" w:color="auto" w:fill="EDEDED"/>
          </w:tcPr>
          <w:p>
            <w:pPr>
              <w:spacing w:after="0"/>
              <w:rPr>
                <w:sz w:val="21"/>
                <w:szCs w:val="21"/>
                <w:color w:val="auto"/>
              </w:rPr>
            </w:pPr>
          </w:p>
        </w:tc>
        <w:tc>
          <w:tcPr>
            <w:tcW w:w="860" w:type="dxa"/>
            <w:vAlign w:val="bottom"/>
            <w:shd w:val="clear" w:color="auto" w:fill="EDEDED"/>
          </w:tcPr>
          <w:p>
            <w:pPr>
              <w:spacing w:after="0"/>
              <w:rPr>
                <w:sz w:val="21"/>
                <w:szCs w:val="21"/>
                <w:color w:val="auto"/>
              </w:rPr>
            </w:pP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shd w:val="clear" w:color="auto" w:fill="EDEDED"/>
          </w:tcPr>
          <w:p>
            <w:pPr>
              <w:spacing w:after="0"/>
              <w:rPr>
                <w:sz w:val="21"/>
                <w:szCs w:val="21"/>
                <w:color w:val="auto"/>
              </w:rPr>
            </w:pPr>
          </w:p>
        </w:tc>
        <w:tc>
          <w:tcPr>
            <w:tcW w:w="92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X</w:t>
            </w:r>
          </w:p>
        </w:tc>
        <w:tc>
          <w:tcPr>
            <w:tcW w:w="60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auto"/>
              </w:rPr>
              <w:t>X</w:t>
            </w:r>
          </w:p>
        </w:tc>
        <w:tc>
          <w:tcPr>
            <w:tcW w:w="20" w:type="dxa"/>
            <w:vAlign w:val="bottom"/>
          </w:tcPr>
          <w:p>
            <w:pPr>
              <w:spacing w:after="0"/>
              <w:rPr>
                <w:sz w:val="21"/>
                <w:szCs w:val="21"/>
                <w:color w:val="auto"/>
              </w:rPr>
            </w:pPr>
          </w:p>
        </w:tc>
      </w:tr>
      <w:tr>
        <w:trPr>
          <w:trHeight w:val="228"/>
        </w:trPr>
        <w:tc>
          <w:tcPr>
            <w:tcW w:w="4220" w:type="dxa"/>
            <w:vAlign w:val="bottom"/>
          </w:tcPr>
          <w:p>
            <w:pPr>
              <w:ind w:left="60"/>
              <w:spacing w:after="0"/>
              <w:rPr>
                <w:sz w:val="20"/>
                <w:szCs w:val="20"/>
                <w:color w:val="auto"/>
              </w:rPr>
            </w:pPr>
            <w:r>
              <w:rPr>
                <w:rFonts w:ascii="Arial" w:cs="Arial" w:eastAsia="Arial" w:hAnsi="Arial"/>
                <w:sz w:val="16"/>
                <w:szCs w:val="16"/>
                <w:color w:val="auto"/>
              </w:rPr>
              <w:t>Spin Experience</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gridSpan w:val="2"/>
          </w:tcPr>
          <w:p>
            <w:pPr>
              <w:jc w:val="center"/>
              <w:ind w:left="21"/>
              <w:spacing w:after="0"/>
              <w:rPr>
                <w:sz w:val="20"/>
                <w:szCs w:val="20"/>
                <w:color w:val="auto"/>
              </w:rPr>
            </w:pPr>
            <w:r>
              <w:rPr>
                <w:rFonts w:ascii="Arial" w:cs="Arial" w:eastAsia="Arial" w:hAnsi="Arial"/>
                <w:sz w:val="16"/>
                <w:szCs w:val="16"/>
                <w:color w:val="auto"/>
              </w:rPr>
              <w:t>X</w:t>
            </w:r>
          </w:p>
        </w:tc>
      </w:tr>
    </w:tbl>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NOMINEES FOR CLASS III DIRECTORS (TERMS TO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current members of the Board who are also nominees for election to the Board as Class III Directors are as follows: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516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86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Age</w:t>
            </w:r>
          </w:p>
        </w:tc>
        <w:tc>
          <w:tcPr>
            <w:tcW w:w="2620" w:type="dxa"/>
            <w:vAlign w:val="bottom"/>
            <w:shd w:val="clear" w:color="auto" w:fill="0BC11C"/>
          </w:tcPr>
          <w:p>
            <w:pPr>
              <w:jc w:val="center"/>
              <w:ind w:right="75"/>
              <w:spacing w:after="0"/>
              <w:rPr>
                <w:sz w:val="20"/>
                <w:szCs w:val="20"/>
                <w:color w:val="auto"/>
              </w:rPr>
            </w:pPr>
            <w:r>
              <w:rPr>
                <w:rFonts w:ascii="Arial" w:cs="Arial" w:eastAsia="Arial" w:hAnsi="Arial"/>
                <w:sz w:val="14"/>
                <w:szCs w:val="14"/>
                <w:b w:val="1"/>
                <w:bCs w:val="1"/>
                <w:color w:val="FFFFFF"/>
              </w:rPr>
              <w:t>Served as a Director Since</w:t>
            </w:r>
          </w:p>
        </w:tc>
        <w:tc>
          <w:tcPr>
            <w:tcW w:w="2380" w:type="dxa"/>
            <w:vAlign w:val="bottom"/>
            <w:shd w:val="clear" w:color="auto" w:fill="0BC11C"/>
          </w:tcPr>
          <w:p>
            <w:pPr>
              <w:ind w:left="520"/>
              <w:spacing w:after="0"/>
              <w:rPr>
                <w:sz w:val="20"/>
                <w:szCs w:val="20"/>
                <w:color w:val="auto"/>
              </w:rPr>
            </w:pPr>
            <w:r>
              <w:rPr>
                <w:rFonts w:ascii="Arial" w:cs="Arial" w:eastAsia="Arial" w:hAnsi="Arial"/>
                <w:sz w:val="14"/>
                <w:szCs w:val="14"/>
                <w:b w:val="1"/>
                <w:bCs w:val="1"/>
                <w:color w:val="FFFFFF"/>
              </w:rPr>
              <w:t>Position with Fortrea</w:t>
            </w:r>
          </w:p>
        </w:tc>
      </w:tr>
      <w:tr>
        <w:trPr>
          <w:trHeight w:val="83"/>
        </w:trPr>
        <w:tc>
          <w:tcPr>
            <w:tcW w:w="5160" w:type="dxa"/>
            <w:vAlign w:val="bottom"/>
            <w:shd w:val="clear" w:color="auto" w:fill="0BC11C"/>
          </w:tcPr>
          <w:p>
            <w:pPr>
              <w:spacing w:after="0"/>
              <w:rPr>
                <w:sz w:val="7"/>
                <w:szCs w:val="7"/>
                <w:color w:val="auto"/>
              </w:rPr>
            </w:pPr>
          </w:p>
        </w:tc>
        <w:tc>
          <w:tcPr>
            <w:tcW w:w="860" w:type="dxa"/>
            <w:vAlign w:val="bottom"/>
            <w:shd w:val="clear" w:color="auto" w:fill="0BC11C"/>
          </w:tcPr>
          <w:p>
            <w:pPr>
              <w:spacing w:after="0"/>
              <w:rPr>
                <w:sz w:val="7"/>
                <w:szCs w:val="7"/>
                <w:color w:val="auto"/>
              </w:rPr>
            </w:pPr>
          </w:p>
        </w:tc>
        <w:tc>
          <w:tcPr>
            <w:tcW w:w="2620" w:type="dxa"/>
            <w:vAlign w:val="bottom"/>
            <w:shd w:val="clear" w:color="auto" w:fill="0BC11C"/>
          </w:tcPr>
          <w:p>
            <w:pPr>
              <w:spacing w:after="0"/>
              <w:rPr>
                <w:sz w:val="7"/>
                <w:szCs w:val="7"/>
                <w:color w:val="auto"/>
              </w:rPr>
            </w:pPr>
          </w:p>
        </w:tc>
        <w:tc>
          <w:tcPr>
            <w:tcW w:w="2380" w:type="dxa"/>
            <w:vAlign w:val="bottom"/>
            <w:shd w:val="clear" w:color="auto" w:fill="0BC11C"/>
          </w:tcPr>
          <w:p>
            <w:pPr>
              <w:spacing w:after="0"/>
              <w:rPr>
                <w:sz w:val="7"/>
                <w:szCs w:val="7"/>
                <w:color w:val="auto"/>
              </w:rPr>
            </w:pPr>
          </w:p>
        </w:tc>
      </w:tr>
      <w:tr>
        <w:trPr>
          <w:trHeight w:val="268"/>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Peter M. Neupert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2620" w:type="dxa"/>
            <w:vAlign w:val="bottom"/>
          </w:tcPr>
          <w:p>
            <w:pPr>
              <w:jc w:val="center"/>
              <w:ind w:right="55"/>
              <w:spacing w:after="0"/>
              <w:rPr>
                <w:sz w:val="20"/>
                <w:szCs w:val="20"/>
                <w:color w:val="auto"/>
              </w:rPr>
            </w:pPr>
            <w:r>
              <w:rPr>
                <w:rFonts w:ascii="Arial" w:cs="Arial" w:eastAsia="Arial" w:hAnsi="Arial"/>
                <w:sz w:val="18"/>
                <w:szCs w:val="18"/>
                <w:color w:val="auto"/>
                <w:w w:val="99"/>
              </w:rPr>
              <w:t>2023</w:t>
            </w:r>
          </w:p>
        </w:tc>
        <w:tc>
          <w:tcPr>
            <w:tcW w:w="2380" w:type="dxa"/>
            <w:vAlign w:val="bottom"/>
          </w:tcPr>
          <w:p>
            <w:pPr>
              <w:jc w:val="center"/>
              <w:ind w:left="141"/>
              <w:spacing w:after="0"/>
              <w:rPr>
                <w:sz w:val="20"/>
                <w:szCs w:val="20"/>
                <w:color w:val="auto"/>
              </w:rPr>
            </w:pPr>
            <w:r>
              <w:rPr>
                <w:rFonts w:ascii="Arial" w:cs="Arial" w:eastAsia="Arial" w:hAnsi="Arial"/>
                <w:sz w:val="16"/>
                <w:szCs w:val="16"/>
                <w:color w:val="auto"/>
              </w:rPr>
              <w:t>Chairman of the Board</w:t>
            </w:r>
          </w:p>
        </w:tc>
      </w:tr>
      <w:tr>
        <w:trPr>
          <w:trHeight w:val="42"/>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90"/>
        </w:trPr>
        <w:tc>
          <w:tcPr>
            <w:tcW w:w="51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8"/>
                <w:szCs w:val="18"/>
                <w:b w:val="1"/>
                <w:bCs w:val="1"/>
                <w:color w:val="auto"/>
              </w:rPr>
              <w:t>Anshul Thakral</w:t>
            </w:r>
          </w:p>
        </w:tc>
        <w:tc>
          <w:tcPr>
            <w:tcW w:w="8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8"/>
                <w:szCs w:val="18"/>
                <w:color w:val="auto"/>
                <w:w w:val="99"/>
              </w:rPr>
              <w:t>48</w:t>
            </w:r>
          </w:p>
        </w:tc>
        <w:tc>
          <w:tcPr>
            <w:tcW w:w="2620" w:type="dxa"/>
            <w:vAlign w:val="bottom"/>
            <w:tcBorders>
              <w:bottom w:val="single" w:sz="8" w:color="EDEDED"/>
            </w:tcBorders>
            <w:shd w:val="clear" w:color="auto" w:fill="EDEDED"/>
          </w:tcPr>
          <w:p>
            <w:pPr>
              <w:jc w:val="center"/>
              <w:ind w:right="55"/>
              <w:spacing w:after="0"/>
              <w:rPr>
                <w:sz w:val="20"/>
                <w:szCs w:val="20"/>
                <w:color w:val="auto"/>
              </w:rPr>
            </w:pPr>
            <w:r>
              <w:rPr>
                <w:rFonts w:ascii="Arial" w:cs="Arial" w:eastAsia="Arial" w:hAnsi="Arial"/>
                <w:sz w:val="18"/>
                <w:szCs w:val="18"/>
                <w:color w:val="auto"/>
                <w:w w:val="99"/>
              </w:rPr>
              <w:t>2025</w:t>
            </w:r>
          </w:p>
        </w:tc>
        <w:tc>
          <w:tcPr>
            <w:tcW w:w="2380" w:type="dxa"/>
            <w:vAlign w:val="bottom"/>
            <w:tcBorders>
              <w:bottom w:val="single" w:sz="8" w:color="EDEDED"/>
            </w:tcBorders>
            <w:shd w:val="clear" w:color="auto" w:fill="EDEDED"/>
          </w:tcPr>
          <w:p>
            <w:pPr>
              <w:jc w:val="center"/>
              <w:ind w:left="141"/>
              <w:spacing w:after="0"/>
              <w:rPr>
                <w:sz w:val="20"/>
                <w:szCs w:val="20"/>
                <w:color w:val="auto"/>
              </w:rPr>
            </w:pPr>
            <w:r>
              <w:rPr>
                <w:rFonts w:ascii="Arial" w:cs="Arial" w:eastAsia="Arial" w:hAnsi="Arial"/>
                <w:sz w:val="16"/>
                <w:szCs w:val="16"/>
                <w:color w:val="auto"/>
              </w:rPr>
              <w:t>Chief Executive Officer</w:t>
            </w:r>
          </w:p>
        </w:tc>
      </w:tr>
      <w:tr>
        <w:trPr>
          <w:trHeight w:val="268"/>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William Sharbaugh</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2620" w:type="dxa"/>
            <w:vAlign w:val="bottom"/>
          </w:tcPr>
          <w:p>
            <w:pPr>
              <w:jc w:val="center"/>
              <w:ind w:right="55"/>
              <w:spacing w:after="0"/>
              <w:rPr>
                <w:sz w:val="20"/>
                <w:szCs w:val="20"/>
                <w:color w:val="auto"/>
              </w:rPr>
            </w:pPr>
            <w:r>
              <w:rPr>
                <w:rFonts w:ascii="Arial" w:cs="Arial" w:eastAsia="Arial" w:hAnsi="Arial"/>
                <w:sz w:val="18"/>
                <w:szCs w:val="18"/>
                <w:color w:val="auto"/>
                <w:w w:val="99"/>
              </w:rPr>
              <w:t>2025</w:t>
            </w:r>
          </w:p>
        </w:tc>
        <w:tc>
          <w:tcPr>
            <w:tcW w:w="2380" w:type="dxa"/>
            <w:vAlign w:val="bottom"/>
          </w:tcPr>
          <w:p>
            <w:pPr>
              <w:jc w:val="center"/>
              <w:ind w:left="141"/>
              <w:spacing w:after="0"/>
              <w:rPr>
                <w:sz w:val="20"/>
                <w:szCs w:val="20"/>
                <w:color w:val="auto"/>
              </w:rPr>
            </w:pPr>
            <w:r>
              <w:rPr>
                <w:rFonts w:ascii="Arial" w:cs="Arial" w:eastAsia="Arial" w:hAnsi="Arial"/>
                <w:sz w:val="16"/>
                <w:szCs w:val="16"/>
                <w:color w:val="auto"/>
                <w:w w:val="99"/>
              </w:rPr>
              <w:t>Director</w:t>
            </w: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occupations and business experience, for at least the past five years, of each Class III Director are as follows: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Age:</w:t>
            </w:r>
          </w:p>
        </w:tc>
        <w:tc>
          <w:tcPr>
            <w:tcW w:w="9660" w:type="dxa"/>
            <w:vAlign w:val="bottom"/>
          </w:tcPr>
          <w:p>
            <w:pPr>
              <w:ind w:left="140"/>
              <w:spacing w:after="0"/>
              <w:rPr>
                <w:sz w:val="20"/>
                <w:szCs w:val="20"/>
                <w:color w:val="auto"/>
              </w:rPr>
            </w:pPr>
            <w:r>
              <w:rPr>
                <w:rFonts w:ascii="Arial" w:cs="Arial" w:eastAsia="Arial" w:hAnsi="Arial"/>
                <w:sz w:val="25"/>
                <w:szCs w:val="25"/>
                <w:color w:val="auto"/>
              </w:rPr>
              <w:t>Peter M. Neupert</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70</w:t>
            </w:r>
          </w:p>
        </w:tc>
        <w:tc>
          <w:tcPr>
            <w:tcW w:w="9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Mr. Neupert </w:t>
            </w:r>
            <w:r>
              <w:rPr>
                <w:rFonts w:ascii="Arial" w:cs="Arial" w:eastAsia="Arial" w:hAnsi="Arial"/>
                <w:sz w:val="16"/>
                <w:szCs w:val="16"/>
                <w:color w:val="auto"/>
              </w:rPr>
              <w:t>has served as a director since June 2023. Mr. Neupert served as an Operating Partner at Health Evolution Partners, a</w:t>
            </w:r>
          </w:p>
        </w:tc>
        <w:tc>
          <w:tcPr>
            <w:tcW w:w="0" w:type="dxa"/>
            <w:vAlign w:val="bottom"/>
          </w:tcPr>
          <w:p>
            <w:pPr>
              <w:spacing w:after="0"/>
              <w:rPr>
                <w:sz w:val="1"/>
                <w:szCs w:val="1"/>
                <w:color w:val="auto"/>
              </w:rPr>
            </w:pPr>
          </w:p>
        </w:tc>
      </w:tr>
      <w:tr>
        <w:trPr>
          <w:trHeight w:val="69"/>
        </w:trPr>
        <w:tc>
          <w:tcPr>
            <w:tcW w:w="136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9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60" w:type="dxa"/>
            <w:vAlign w:val="bottom"/>
            <w:vMerge w:val="continue"/>
            <w:shd w:val="clear" w:color="auto" w:fill="EDEDED"/>
          </w:tcPr>
          <w:p>
            <w:pPr>
              <w:spacing w:after="0"/>
              <w:rPr>
                <w:sz w:val="15"/>
                <w:szCs w:val="15"/>
                <w:color w:val="auto"/>
              </w:rPr>
            </w:pPr>
          </w:p>
        </w:tc>
        <w:tc>
          <w:tcPr>
            <w:tcW w:w="9660" w:type="dxa"/>
            <w:vAlign w:val="bottom"/>
          </w:tcPr>
          <w:p>
            <w:pPr>
              <w:ind w:left="140"/>
              <w:spacing w:after="0" w:line="175" w:lineRule="exact"/>
              <w:rPr>
                <w:sz w:val="20"/>
                <w:szCs w:val="20"/>
                <w:color w:val="auto"/>
              </w:rPr>
            </w:pPr>
            <w:r>
              <w:rPr>
                <w:rFonts w:ascii="Arial" w:cs="Arial" w:eastAsia="Arial" w:hAnsi="Arial"/>
                <w:sz w:val="16"/>
                <w:szCs w:val="16"/>
                <w:color w:val="auto"/>
              </w:rPr>
              <w:t>private equity fund, from February 2012 to July 2014. Prior to joining Health Evolution Partners, Mr. Neupert served as Corporate</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Since:</w:t>
            </w:r>
          </w:p>
        </w:tc>
        <w:tc>
          <w:tcPr>
            <w:tcW w:w="9660" w:type="dxa"/>
            <w:vAlign w:val="bottom"/>
          </w:tcPr>
          <w:p>
            <w:pPr>
              <w:ind w:left="140"/>
              <w:spacing w:after="0"/>
              <w:rPr>
                <w:sz w:val="20"/>
                <w:szCs w:val="20"/>
                <w:color w:val="auto"/>
              </w:rPr>
            </w:pPr>
            <w:r>
              <w:rPr>
                <w:rFonts w:ascii="Arial" w:cs="Arial" w:eastAsia="Arial" w:hAnsi="Arial"/>
                <w:sz w:val="16"/>
                <w:szCs w:val="16"/>
                <w:color w:val="auto"/>
              </w:rPr>
              <w:t>Vice President, Health Solutions Group at Microsoft from August 2005 to January 2012, and as the Chief Executive Officer and</w:t>
            </w:r>
          </w:p>
        </w:tc>
        <w:tc>
          <w:tcPr>
            <w:tcW w:w="0" w:type="dxa"/>
            <w:vAlign w:val="bottom"/>
          </w:tcPr>
          <w:p>
            <w:pPr>
              <w:spacing w:after="0"/>
              <w:rPr>
                <w:sz w:val="1"/>
                <w:szCs w:val="1"/>
                <w:color w:val="auto"/>
              </w:rPr>
            </w:pPr>
          </w:p>
        </w:tc>
      </w:tr>
      <w:tr>
        <w:trPr>
          <w:trHeight w:val="203"/>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June 29, 2023</w:t>
            </w:r>
          </w:p>
        </w:tc>
        <w:tc>
          <w:tcPr>
            <w:tcW w:w="9660" w:type="dxa"/>
            <w:vAlign w:val="bottom"/>
          </w:tcPr>
          <w:p>
            <w:pPr>
              <w:ind w:left="140"/>
              <w:spacing w:after="0"/>
              <w:rPr>
                <w:sz w:val="20"/>
                <w:szCs w:val="20"/>
                <w:color w:val="auto"/>
              </w:rPr>
            </w:pPr>
            <w:r>
              <w:rPr>
                <w:rFonts w:ascii="Arial" w:cs="Arial" w:eastAsia="Arial" w:hAnsi="Arial"/>
                <w:sz w:val="16"/>
                <w:szCs w:val="16"/>
                <w:color w:val="auto"/>
              </w:rPr>
              <w:t>Chairman of the board of directors of drugstore.com, which he joined in July 1998. Prior to drugstore.com, Mr. Neupert was</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Corporate Vice President for News and Publishing at Microsoft, where he created and led MSNBC.com and MSNBC Cable and</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managed Microsoft’s other online publishing entities including Slate.com. Since 2013, Mr. Neupert has served as a director of</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Labcorp, a public, global life sciences company, and as a director of Adaptive Biotechnologies Corporation, a commercial-stage</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biotechnology company. Mr. Neupert previously served as a member of the board of directors of NextGen Healthcare, Inc., a public</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software company, and several private companies. Mr. Neupert served as a member of the Board of Trustees of Fred Hutchinson</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Cancer Research Center from June 2007 to June 2020. Mr. Neupert earned his Bachelor of Arts in Philosophy from Colorado</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College and his Master of Business Administration from the Tuck School of Business at Dartmouth College.</w:t>
            </w:r>
          </w:p>
        </w:tc>
        <w:tc>
          <w:tcPr>
            <w:tcW w:w="0" w:type="dxa"/>
            <w:vAlign w:val="bottom"/>
          </w:tcPr>
          <w:p>
            <w:pPr>
              <w:spacing w:after="0"/>
              <w:rPr>
                <w:sz w:val="1"/>
                <w:szCs w:val="1"/>
                <w:color w:val="auto"/>
              </w:rPr>
            </w:pPr>
          </w:p>
        </w:tc>
      </w:tr>
      <w:tr>
        <w:trPr>
          <w:trHeight w:val="96"/>
        </w:trPr>
        <w:tc>
          <w:tcPr>
            <w:tcW w:w="1360" w:type="dxa"/>
            <w:vAlign w:val="bottom"/>
            <w:shd w:val="clear" w:color="auto" w:fill="EDEDED"/>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bottom w:val="single" w:sz="8" w:color="0BC11C"/>
            </w:tcBorders>
          </w:tcPr>
          <w:p>
            <w:pPr>
              <w:spacing w:after="0"/>
              <w:rPr>
                <w:sz w:val="15"/>
                <w:szCs w:val="15"/>
                <w:color w:val="auto"/>
              </w:rPr>
            </w:pPr>
          </w:p>
        </w:tc>
        <w:tc>
          <w:tcPr>
            <w:tcW w:w="9660" w:type="dxa"/>
            <w:vAlign w:val="bottom"/>
            <w:tcBorders>
              <w:bottom w:val="single" w:sz="8" w:color="0BC11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10</w:t>
      </w:r>
      <w:r>
        <w:rPr>
          <w:rFonts w:ascii="Arial" w:cs="Arial" w:eastAsia="Arial" w:hAnsi="Arial"/>
          <w:sz w:val="12"/>
          <w:szCs w:val="12"/>
          <w:color w:val="000000"/>
        </w:rPr>
        <w:t xml:space="preserve">   2026 Proxy Statement  •  FORTREA</w:t>
      </w:r>
    </w:p>
    <w:p>
      <w:pPr>
        <w:sectPr>
          <w:pgSz w:w="11900" w:h="16838" w:orient="portrait"/>
          <w:cols w:equalWidth="0" w:num="1">
            <w:col w:w="11160"/>
          </w:cols>
          <w:pgMar w:left="320" w:top="482"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925830" cy="1748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58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Age:</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48</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Director</w:t>
      </w:r>
    </w:p>
    <w:p>
      <w:pPr>
        <w:spacing w:after="0" w:line="21"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August 4,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-706120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auto"/>
        </w:rPr>
        <w:t>Anshul Thakral</w:t>
      </w:r>
    </w:p>
    <w:p>
      <w:pPr>
        <w:spacing w:after="0" w:line="9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auto"/>
        </w:rPr>
        <w:t xml:space="preserve">Mr. Thakral </w:t>
      </w:r>
      <w:r>
        <w:rPr>
          <w:rFonts w:ascii="Arial" w:cs="Arial" w:eastAsia="Arial" w:hAnsi="Arial"/>
          <w:sz w:val="16"/>
          <w:szCs w:val="16"/>
          <w:color w:val="auto"/>
        </w:rPr>
        <w:t>has served as our Chief Executive Officer and a member of our Board of Directors since August 2025. Mr. Thakral</w:t>
      </w:r>
      <w:r>
        <w:rPr>
          <w:rFonts w:ascii="Arial" w:cs="Arial" w:eastAsia="Arial" w:hAnsi="Arial"/>
          <w:sz w:val="16"/>
          <w:szCs w:val="16"/>
          <w:b w:val="1"/>
          <w:bCs w:val="1"/>
          <w:color w:val="auto"/>
        </w:rPr>
        <w:t xml:space="preserve"> </w:t>
      </w:r>
      <w:r>
        <w:rPr>
          <w:rFonts w:ascii="Arial" w:cs="Arial" w:eastAsia="Arial" w:hAnsi="Arial"/>
          <w:sz w:val="16"/>
          <w:szCs w:val="16"/>
          <w:color w:val="auto"/>
        </w:rPr>
        <w:t>has more than 25 years of experience in the CRO, pharmaceutical, and biotech industries as a general manager, management consultant, commercial leader and entrepreneur. He previously served as Co-Founder and Chief Executive Officer of Launch Therapeutics since its founding in March 2022. From July 2016 to February 2022, Mr. Thakral served in increasing levels of seniority at PPD, Inc. (“PPD”), from Global Head of PPD Biotech to Chief Commercial Officer and Executive Vice President of Peri- and Post-Approval Services at PPD. Before PPD, Mr. Thakral ran the global life sciences business unit at Gerson Lehrman Group from March 2014 to June 2016 and served as a consultant at McKinsey &amp; Company from August 2006 to March 2014, where he was an associate principal in the healthcare practice, counselling senior management and CEOs of global pharmaceutical and biotechnology companies. Mr. Thakral currently serves on the board of directors of Orsini Specialty Pharmacy, a leader in pharmacy solutions for rare disease and complex therapy programs and earned his Bachelor of Science and Master of Science in Engineering in Biomedical Engineering from Johns Hopkins University and his Master of Business Administration from the Wharton School at the University of Pennsylvania.</w:t>
      </w:r>
    </w:p>
    <w:p>
      <w:pPr>
        <w:spacing w:after="0" w:line="200" w:lineRule="exact"/>
        <w:rPr>
          <w:sz w:val="20"/>
          <w:szCs w:val="20"/>
          <w:color w:val="auto"/>
        </w:rPr>
      </w:pPr>
    </w:p>
    <w:p>
      <w:pPr>
        <w:sectPr>
          <w:pgSz w:w="11900" w:h="16838" w:orient="portrait"/>
          <w:cols w:equalWidth="0" w:num="2">
            <w:col w:w="1380" w:space="400"/>
            <w:col w:w="9360"/>
          </w:cols>
          <w:pgMar w:left="320" w:top="482" w:right="439" w:bottom="1440" w:gutter="0" w:footer="0" w:header="0"/>
        </w:sectPr>
      </w:pPr>
    </w:p>
    <w:p>
      <w:pPr>
        <w:spacing w:after="0" w:line="21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-167005</wp:posOffset>
            </wp:positionV>
            <wp:extent cx="951230" cy="1508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1508760"/>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63</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Director</w:t>
      </w:r>
    </w:p>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Since:</w:t>
      </w:r>
    </w:p>
    <w:p>
      <w:pPr>
        <w:spacing w:after="0" w:line="5" w:lineRule="exact"/>
        <w:rPr>
          <w:sz w:val="20"/>
          <w:szCs w:val="20"/>
          <w:color w:val="auto"/>
        </w:rPr>
      </w:pPr>
    </w:p>
    <w:p>
      <w:pPr>
        <w:ind w:left="680" w:hanging="400"/>
        <w:spacing w:after="0" w:line="265" w:lineRule="auto"/>
        <w:tabs>
          <w:tab w:leader="none" w:pos="3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September 22, 2025</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auto"/>
        </w:rPr>
        <w:t>William J. Sharbaugh</w:t>
      </w:r>
    </w:p>
    <w:p>
      <w:pPr>
        <w:spacing w:after="0" w:line="9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color w:val="auto"/>
        </w:rPr>
        <w:t xml:space="preserve">Mr. Sharbaugh </w:t>
      </w:r>
      <w:r>
        <w:rPr>
          <w:rFonts w:ascii="Arial" w:cs="Arial" w:eastAsia="Arial" w:hAnsi="Arial"/>
          <w:sz w:val="16"/>
          <w:szCs w:val="16"/>
          <w:color w:val="auto"/>
        </w:rPr>
        <w:t>was appointed to our Board of Directors on September 22, 2025. Mr. Sharbaugh brings extensive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biopharmaceutical and life sciences industry, having served in executive and board roles during his more than three decades in the pharmaceutical industry. Mr. Sharbaugh currently serves as chairman of the board of Ora Clinical, a specialty ophthalmology contract research organization, as well as a member of the board of directors of Launch Therapeutics, Inc., a late-stage pharmaceutical development company. In addition, Mr. Sharbaugh previously served as a member of the board of directors of BioCareSD, Inc., a drug distribution company, and Alcami Corporation, a contract distribution and manufacturing company. His previous executive experience includes serving as chief operating officer for PPD, a CRO, from 2007 to 2021. Mr. Sharbaugh earned his B.S from the U.S. Military Academy at West Point, a M.S. in the Management of Technology from the Wharton School and the School of Engineering at the University of Pennsylvania, a M.S in Regulatory Affairs and Quality Assurance from Temple University School of Pharmacy, and a M.A. in International Relations from Boston University School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163830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320"/>
            <w:col w:w="9380"/>
          </w:cols>
          <w:pgMar w:left="320" w:top="482" w:right="439" w:bottom="1440" w:gutter="0" w:footer="0" w:header="0"/>
          <w:type w:val="continuous"/>
        </w:sectPr>
      </w:pPr>
    </w:p>
    <w:p>
      <w:pPr>
        <w:spacing w:after="0" w:line="102"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 xml:space="preserve">FORTREA  •  2026 Proxy Statement   </w:t>
      </w:r>
      <w:r>
        <w:rPr>
          <w:rFonts w:ascii="Arial" w:cs="Arial" w:eastAsia="Arial" w:hAnsi="Arial"/>
          <w:sz w:val="12"/>
          <w:szCs w:val="12"/>
          <w:b w:val="1"/>
          <w:bCs w:val="1"/>
          <w:color w:val="0BC11C"/>
        </w:rPr>
        <w:t>11</w:t>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II DIRECTORS (TERMS TO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current members of the Board who are Class II Directors are as follows: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516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96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Age</w:t>
            </w:r>
          </w:p>
        </w:tc>
        <w:tc>
          <w:tcPr>
            <w:tcW w:w="2660" w:type="dxa"/>
            <w:vAlign w:val="bottom"/>
            <w:shd w:val="clear" w:color="auto" w:fill="0BC11C"/>
          </w:tcPr>
          <w:p>
            <w:pPr>
              <w:jc w:val="center"/>
              <w:ind w:right="75"/>
              <w:spacing w:after="0"/>
              <w:rPr>
                <w:sz w:val="20"/>
                <w:szCs w:val="20"/>
                <w:color w:val="auto"/>
              </w:rPr>
            </w:pPr>
            <w:r>
              <w:rPr>
                <w:rFonts w:ascii="Arial" w:cs="Arial" w:eastAsia="Arial" w:hAnsi="Arial"/>
                <w:sz w:val="14"/>
                <w:szCs w:val="14"/>
                <w:b w:val="1"/>
                <w:bCs w:val="1"/>
                <w:color w:val="FFFFFF"/>
              </w:rPr>
              <w:t>Served as a Director Since</w:t>
            </w:r>
          </w:p>
        </w:tc>
        <w:tc>
          <w:tcPr>
            <w:tcW w:w="2240" w:type="dxa"/>
            <w:vAlign w:val="bottom"/>
            <w:shd w:val="clear" w:color="auto" w:fill="0BC11C"/>
          </w:tcPr>
          <w:p>
            <w:pPr>
              <w:jc w:val="center"/>
              <w:ind w:left="221"/>
              <w:spacing w:after="0"/>
              <w:rPr>
                <w:sz w:val="20"/>
                <w:szCs w:val="20"/>
                <w:color w:val="auto"/>
              </w:rPr>
            </w:pPr>
            <w:r>
              <w:rPr>
                <w:rFonts w:ascii="Arial" w:cs="Arial" w:eastAsia="Arial" w:hAnsi="Arial"/>
                <w:sz w:val="14"/>
                <w:szCs w:val="14"/>
                <w:b w:val="1"/>
                <w:bCs w:val="1"/>
                <w:color w:val="FFFFFF"/>
                <w:w w:val="99"/>
              </w:rPr>
              <w:t>Position with Fortrea  </w:t>
            </w:r>
          </w:p>
        </w:tc>
      </w:tr>
      <w:tr>
        <w:trPr>
          <w:trHeight w:val="83"/>
        </w:trPr>
        <w:tc>
          <w:tcPr>
            <w:tcW w:w="5160" w:type="dxa"/>
            <w:vAlign w:val="bottom"/>
            <w:shd w:val="clear" w:color="auto" w:fill="0BC11C"/>
          </w:tcPr>
          <w:p>
            <w:pPr>
              <w:spacing w:after="0"/>
              <w:rPr>
                <w:sz w:val="7"/>
                <w:szCs w:val="7"/>
                <w:color w:val="auto"/>
              </w:rPr>
            </w:pPr>
          </w:p>
        </w:tc>
        <w:tc>
          <w:tcPr>
            <w:tcW w:w="960" w:type="dxa"/>
            <w:vAlign w:val="bottom"/>
            <w:shd w:val="clear" w:color="auto" w:fill="0BC11C"/>
          </w:tcPr>
          <w:p>
            <w:pPr>
              <w:spacing w:after="0"/>
              <w:rPr>
                <w:sz w:val="7"/>
                <w:szCs w:val="7"/>
                <w:color w:val="auto"/>
              </w:rPr>
            </w:pPr>
          </w:p>
        </w:tc>
        <w:tc>
          <w:tcPr>
            <w:tcW w:w="2660" w:type="dxa"/>
            <w:vAlign w:val="bottom"/>
            <w:shd w:val="clear" w:color="auto" w:fill="0BC11C"/>
          </w:tcPr>
          <w:p>
            <w:pPr>
              <w:spacing w:after="0"/>
              <w:rPr>
                <w:sz w:val="7"/>
                <w:szCs w:val="7"/>
                <w:color w:val="auto"/>
              </w:rPr>
            </w:pPr>
          </w:p>
        </w:tc>
        <w:tc>
          <w:tcPr>
            <w:tcW w:w="2240" w:type="dxa"/>
            <w:vAlign w:val="bottom"/>
            <w:shd w:val="clear" w:color="auto" w:fill="0BC11C"/>
          </w:tcPr>
          <w:p>
            <w:pPr>
              <w:spacing w:after="0"/>
              <w:rPr>
                <w:sz w:val="7"/>
                <w:szCs w:val="7"/>
                <w:color w:val="auto"/>
              </w:rPr>
            </w:pPr>
          </w:p>
        </w:tc>
      </w:tr>
      <w:tr>
        <w:trPr>
          <w:trHeight w:val="263"/>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Dr. Amrit Ray</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2660" w:type="dxa"/>
            <w:vAlign w:val="bottom"/>
          </w:tcPr>
          <w:p>
            <w:pPr>
              <w:jc w:val="center"/>
              <w:ind w:right="95"/>
              <w:spacing w:after="0"/>
              <w:rPr>
                <w:sz w:val="20"/>
                <w:szCs w:val="20"/>
                <w:color w:val="auto"/>
              </w:rPr>
            </w:pPr>
            <w:r>
              <w:rPr>
                <w:rFonts w:ascii="Arial" w:cs="Arial" w:eastAsia="Arial" w:hAnsi="Arial"/>
                <w:sz w:val="18"/>
                <w:szCs w:val="18"/>
                <w:color w:val="auto"/>
                <w:w w:val="99"/>
              </w:rPr>
              <w:t>2023</w:t>
            </w:r>
          </w:p>
        </w:tc>
        <w:tc>
          <w:tcPr>
            <w:tcW w:w="2240" w:type="dxa"/>
            <w:vAlign w:val="bottom"/>
          </w:tcPr>
          <w:p>
            <w:pPr>
              <w:jc w:val="center"/>
              <w:ind w:left="261"/>
              <w:spacing w:after="0"/>
              <w:rPr>
                <w:sz w:val="20"/>
                <w:szCs w:val="20"/>
                <w:color w:val="auto"/>
              </w:rPr>
            </w:pPr>
            <w:r>
              <w:rPr>
                <w:rFonts w:ascii="Arial" w:cs="Arial" w:eastAsia="Arial" w:hAnsi="Arial"/>
                <w:sz w:val="16"/>
                <w:szCs w:val="16"/>
                <w:color w:val="auto"/>
              </w:rPr>
              <w:t>Director</w:t>
            </w:r>
          </w:p>
        </w:tc>
      </w:tr>
      <w:tr>
        <w:trPr>
          <w:trHeight w:val="278"/>
        </w:trPr>
        <w:tc>
          <w:tcPr>
            <w:tcW w:w="51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Erin L. Russell</w:t>
            </w:r>
          </w:p>
        </w:tc>
        <w:tc>
          <w:tcPr>
            <w:tcW w:w="9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52</w:t>
            </w:r>
          </w:p>
        </w:tc>
        <w:tc>
          <w:tcPr>
            <w:tcW w:w="2660" w:type="dxa"/>
            <w:vAlign w:val="bottom"/>
            <w:shd w:val="clear" w:color="auto" w:fill="EDEDED"/>
          </w:tcPr>
          <w:p>
            <w:pPr>
              <w:jc w:val="center"/>
              <w:ind w:right="95"/>
              <w:spacing w:after="0"/>
              <w:rPr>
                <w:sz w:val="20"/>
                <w:szCs w:val="20"/>
                <w:color w:val="auto"/>
              </w:rPr>
            </w:pPr>
            <w:r>
              <w:rPr>
                <w:rFonts w:ascii="Arial" w:cs="Arial" w:eastAsia="Arial" w:hAnsi="Arial"/>
                <w:sz w:val="18"/>
                <w:szCs w:val="18"/>
                <w:color w:val="auto"/>
                <w:w w:val="99"/>
              </w:rPr>
              <w:t>2025</w:t>
            </w:r>
          </w:p>
        </w:tc>
        <w:tc>
          <w:tcPr>
            <w:tcW w:w="2240" w:type="dxa"/>
            <w:vAlign w:val="bottom"/>
            <w:shd w:val="clear" w:color="auto" w:fill="EDEDED"/>
          </w:tcPr>
          <w:p>
            <w:pPr>
              <w:jc w:val="center"/>
              <w:ind w:left="261"/>
              <w:spacing w:after="0"/>
              <w:rPr>
                <w:sz w:val="20"/>
                <w:szCs w:val="20"/>
                <w:color w:val="auto"/>
              </w:rPr>
            </w:pPr>
            <w:r>
              <w:rPr>
                <w:rFonts w:ascii="Arial" w:cs="Arial" w:eastAsia="Arial" w:hAnsi="Arial"/>
                <w:sz w:val="16"/>
                <w:szCs w:val="16"/>
                <w:color w:val="auto"/>
              </w:rPr>
              <w:t>Director</w:t>
            </w:r>
          </w:p>
        </w:tc>
      </w:tr>
      <w:tr>
        <w:trPr>
          <w:trHeight w:val="255"/>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Machelle Sanders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660" w:type="dxa"/>
            <w:vAlign w:val="bottom"/>
          </w:tcPr>
          <w:p>
            <w:pPr>
              <w:jc w:val="center"/>
              <w:ind w:right="95"/>
              <w:spacing w:after="0"/>
              <w:rPr>
                <w:sz w:val="20"/>
                <w:szCs w:val="20"/>
                <w:color w:val="auto"/>
              </w:rPr>
            </w:pPr>
            <w:r>
              <w:rPr>
                <w:rFonts w:ascii="Arial" w:cs="Arial" w:eastAsia="Arial" w:hAnsi="Arial"/>
                <w:sz w:val="18"/>
                <w:szCs w:val="18"/>
                <w:color w:val="auto"/>
                <w:w w:val="99"/>
              </w:rPr>
              <w:t>2024</w:t>
            </w:r>
          </w:p>
        </w:tc>
        <w:tc>
          <w:tcPr>
            <w:tcW w:w="2240" w:type="dxa"/>
            <w:vAlign w:val="bottom"/>
          </w:tcPr>
          <w:p>
            <w:pPr>
              <w:jc w:val="center"/>
              <w:ind w:left="261"/>
              <w:spacing w:after="0"/>
              <w:rPr>
                <w:sz w:val="20"/>
                <w:szCs w:val="20"/>
                <w:color w:val="auto"/>
              </w:rPr>
            </w:pPr>
            <w:r>
              <w:rPr>
                <w:rFonts w:ascii="Arial" w:cs="Arial" w:eastAsia="Arial" w:hAnsi="Arial"/>
                <w:sz w:val="16"/>
                <w:szCs w:val="16"/>
                <w:color w:val="auto"/>
              </w:rPr>
              <w:t>Director</w:t>
            </w:r>
          </w:p>
        </w:tc>
      </w:tr>
    </w:tbl>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occupations and business experience, for at least the past five years, of each Class II Director are as follows: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Age:</w:t>
            </w:r>
          </w:p>
        </w:tc>
        <w:tc>
          <w:tcPr>
            <w:tcW w:w="9660" w:type="dxa"/>
            <w:vAlign w:val="bottom"/>
          </w:tcPr>
          <w:p>
            <w:pPr>
              <w:ind w:left="140"/>
              <w:spacing w:after="0"/>
              <w:rPr>
                <w:sz w:val="20"/>
                <w:szCs w:val="20"/>
                <w:color w:val="auto"/>
              </w:rPr>
            </w:pPr>
            <w:r>
              <w:rPr>
                <w:rFonts w:ascii="Arial" w:cs="Arial" w:eastAsia="Arial" w:hAnsi="Arial"/>
                <w:sz w:val="25"/>
                <w:szCs w:val="25"/>
                <w:color w:val="auto"/>
              </w:rPr>
              <w:t>Dr. Amrit Ray</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53</w:t>
            </w:r>
          </w:p>
        </w:tc>
        <w:tc>
          <w:tcPr>
            <w:tcW w:w="9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Dr. Ray </w:t>
            </w:r>
            <w:r>
              <w:rPr>
                <w:rFonts w:ascii="Arial" w:cs="Arial" w:eastAsia="Arial" w:hAnsi="Arial"/>
                <w:sz w:val="16"/>
                <w:szCs w:val="16"/>
                <w:color w:val="auto"/>
              </w:rPr>
              <w:t>has served as a director since June 2023. Dr. Ray is a physician researcher and advisor to life science companies. Dr. Ray</w:t>
            </w:r>
          </w:p>
        </w:tc>
        <w:tc>
          <w:tcPr>
            <w:tcW w:w="0" w:type="dxa"/>
            <w:vAlign w:val="bottom"/>
          </w:tcPr>
          <w:p>
            <w:pPr>
              <w:spacing w:after="0"/>
              <w:rPr>
                <w:sz w:val="1"/>
                <w:szCs w:val="1"/>
                <w:color w:val="auto"/>
              </w:rPr>
            </w:pPr>
          </w:p>
        </w:tc>
      </w:tr>
      <w:tr>
        <w:trPr>
          <w:trHeight w:val="69"/>
        </w:trPr>
        <w:tc>
          <w:tcPr>
            <w:tcW w:w="136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9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360" w:type="dxa"/>
            <w:vAlign w:val="bottom"/>
            <w:vMerge w:val="continue"/>
            <w:shd w:val="clear" w:color="auto" w:fill="EDEDED"/>
          </w:tcPr>
          <w:p>
            <w:pPr>
              <w:spacing w:after="0"/>
              <w:rPr>
                <w:sz w:val="15"/>
                <w:szCs w:val="15"/>
                <w:color w:val="auto"/>
              </w:rPr>
            </w:pPr>
          </w:p>
        </w:tc>
        <w:tc>
          <w:tcPr>
            <w:tcW w:w="9660" w:type="dxa"/>
            <w:vAlign w:val="bottom"/>
          </w:tcPr>
          <w:p>
            <w:pPr>
              <w:ind w:left="140"/>
              <w:spacing w:after="0" w:line="175" w:lineRule="exact"/>
              <w:rPr>
                <w:sz w:val="20"/>
                <w:szCs w:val="20"/>
                <w:color w:val="auto"/>
              </w:rPr>
            </w:pPr>
            <w:r>
              <w:rPr>
                <w:rFonts w:ascii="Arial" w:cs="Arial" w:eastAsia="Arial" w:hAnsi="Arial"/>
                <w:sz w:val="16"/>
                <w:szCs w:val="16"/>
                <w:color w:val="auto"/>
              </w:rPr>
              <w:t>has over 25 years of biomedical research and pharmaceutical industry experience. From March 2022 until December 2022, Dr. Ray</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Since:</w:t>
            </w:r>
          </w:p>
        </w:tc>
        <w:tc>
          <w:tcPr>
            <w:tcW w:w="9660" w:type="dxa"/>
            <w:vAlign w:val="bottom"/>
          </w:tcPr>
          <w:p>
            <w:pPr>
              <w:ind w:left="140"/>
              <w:spacing w:after="0"/>
              <w:rPr>
                <w:sz w:val="20"/>
                <w:szCs w:val="20"/>
                <w:color w:val="auto"/>
              </w:rPr>
            </w:pPr>
            <w:r>
              <w:rPr>
                <w:rFonts w:ascii="Arial" w:cs="Arial" w:eastAsia="Arial" w:hAnsi="Arial"/>
                <w:sz w:val="16"/>
                <w:szCs w:val="16"/>
                <w:color w:val="auto"/>
              </w:rPr>
              <w:t>served as the Chief Patient Officer at Biohaven Pharmaceuticals, a biopharmaceutical company. From 2017 until January 2021,</w:t>
            </w:r>
          </w:p>
        </w:tc>
        <w:tc>
          <w:tcPr>
            <w:tcW w:w="0" w:type="dxa"/>
            <w:vAlign w:val="bottom"/>
          </w:tcPr>
          <w:p>
            <w:pPr>
              <w:spacing w:after="0"/>
              <w:rPr>
                <w:sz w:val="1"/>
                <w:szCs w:val="1"/>
                <w:color w:val="auto"/>
              </w:rPr>
            </w:pPr>
          </w:p>
        </w:tc>
      </w:tr>
      <w:tr>
        <w:trPr>
          <w:trHeight w:val="203"/>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June 29, 2023</w:t>
            </w:r>
          </w:p>
        </w:tc>
        <w:tc>
          <w:tcPr>
            <w:tcW w:w="9660" w:type="dxa"/>
            <w:vAlign w:val="bottom"/>
          </w:tcPr>
          <w:p>
            <w:pPr>
              <w:ind w:left="140"/>
              <w:spacing w:after="0"/>
              <w:rPr>
                <w:sz w:val="20"/>
                <w:szCs w:val="20"/>
                <w:color w:val="auto"/>
              </w:rPr>
            </w:pPr>
            <w:r>
              <w:rPr>
                <w:rFonts w:ascii="Arial" w:cs="Arial" w:eastAsia="Arial" w:hAnsi="Arial"/>
                <w:sz w:val="16"/>
                <w:szCs w:val="16"/>
                <w:color w:val="auto"/>
              </w:rPr>
              <w:t>Dr. Ray served as the Global President, Head of R&amp;D and Medical, overseeing all aspects of R&amp;D worldwide for the Essential</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Health and later Upjohn divisions at Pfizer, a biopharmaceutical company. Previously, from 2009-2017, Dr. Ray served in positions of</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increasing responsibility including as the Chief Medical Officer and as the Chief Safety Officer for global pharmaceuticals at</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Johnson &amp; Johnson, a healthcare company. Dr. Ray earned his degrees in Immunology and in Medicine at Edinburgh University, and</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his Master of Business Administration from the Tuck School of Business at Dartmouth College. Dr. Ray is a Visiting Professor of</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Practice at the Faculty of Medical Sciences of Newcastle University, UK, and serves on the Board of Trustees at The Hastings</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Center for Bioethics. Since 2022, Dr. Ray has served as a director of Ultragenyx Pharmaceutical Inc., a biopharmaceutical company.</w:t>
            </w:r>
          </w:p>
        </w:tc>
        <w:tc>
          <w:tcPr>
            <w:tcW w:w="0" w:type="dxa"/>
            <w:vAlign w:val="bottom"/>
          </w:tcPr>
          <w:p>
            <w:pPr>
              <w:spacing w:after="0"/>
              <w:rPr>
                <w:sz w:val="1"/>
                <w:szCs w:val="1"/>
                <w:color w:val="auto"/>
              </w:rPr>
            </w:pPr>
          </w:p>
        </w:tc>
      </w:tr>
      <w:tr>
        <w:trPr>
          <w:trHeight w:val="97"/>
        </w:trPr>
        <w:tc>
          <w:tcPr>
            <w:tcW w:w="1360" w:type="dxa"/>
            <w:vAlign w:val="bottom"/>
            <w:shd w:val="clear" w:color="auto" w:fill="EDEDED"/>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123"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-167005</wp:posOffset>
            </wp:positionV>
            <wp:extent cx="874395" cy="2228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4395" cy="2228850"/>
                    </a:xfrm>
                    <a:prstGeom prst="rect">
                      <a:avLst/>
                    </a:prstGeom>
                    <a:noFill/>
                  </pic:spPr>
                </pic:pic>
              </a:graphicData>
            </a:graphic>
          </wp:anchor>
        </w:drawing>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52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Director</w:t>
      </w:r>
    </w:p>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Since: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March 7, 2025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Erin L. Russell</w:t>
      </w:r>
    </w:p>
    <w:p>
      <w:pPr>
        <w:spacing w:after="0" w:line="9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auto"/>
        </w:rPr>
        <w:t xml:space="preserve">Ms. Russell </w:t>
      </w:r>
      <w:r>
        <w:rPr>
          <w:rFonts w:ascii="Arial" w:cs="Arial" w:eastAsia="Arial" w:hAnsi="Arial"/>
          <w:sz w:val="16"/>
          <w:szCs w:val="16"/>
          <w:color w:val="auto"/>
        </w:rPr>
        <w:t>has served as a director since March 2025. She was appointed to serve on the board of Modivcare, a technology-enabled healthcare services company, in February 2025, and has also served on the boards of eHealth, Inc., a leading online health insurance marketplace, since July 2021, and Kadant Inc., a global supplier of high-value engineered systems used in process industries worldwide, since January 2019. Her previous board experience in the healthcare sector includes Tivity Health Inc., a leading provider of healthy living, fitness and social engagement solutions, DeVilbiss Healthcare LLC, a company that designs, manufactures and markets respiratory medical products, DynaVox Inc., a communications device manufacturer, and 21st Century Oncology Inc., a provider of state-of-the-art radiation therapy and integrated cancer treatments. Previously, Ms. Russell served as an industry advisor of Starboard Value Acquisition Corporation, a blank check company formed for the purpose of effecting a merger, capital stock exchange, asset acquisition, stock purchase, reorganization or similar business combination with one or more businesses, from August 2020 until August 2021. Ms. Russell spent 16 years as a principal of Vestar Capital Partners, L.P., a leading private equity firm specializing in management buyouts, recapitalizations, and growth equity investments. Ms. Russell is currently chair of the board of St. Thomas Aquinas Catholic School, where she has served since June 2018, and chair of the advisory board of McIntire School of Commerce and member of advisory board of the Jefferson Scholars Foundation at the University of Virginia, where she has served since June 2016 and April 2008, respectively. Ms. Russell earned her Bachelor of Science in Commerce, with a concentration in Accounting, from the McIntire School of Commerce at the University of Virginia and her Master of Business Administration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161290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20" w:space="320"/>
            <w:col w:w="9500"/>
          </w:cols>
          <w:pgMar w:left="320" w:top="482" w:right="439" w:bottom="1440" w:gutter="0" w:footer="0" w:header="0"/>
          <w:type w:val="continuous"/>
        </w:sectPr>
      </w:pPr>
    </w:p>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12</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1"/>
          <w:szCs w:val="21"/>
          <w:b w:val="1"/>
          <w:bCs w:val="1"/>
          <w:color w:val="auto"/>
        </w:rPr>
        <w:t>PROPOSAL 1: ELECTION OF DIRECTORS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3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Age:</w:t>
            </w:r>
          </w:p>
        </w:tc>
        <w:tc>
          <w:tcPr>
            <w:tcW w:w="9660" w:type="dxa"/>
            <w:vAlign w:val="bottom"/>
          </w:tcPr>
          <w:p>
            <w:pPr>
              <w:ind w:left="140"/>
              <w:spacing w:after="0"/>
              <w:rPr>
                <w:sz w:val="20"/>
                <w:szCs w:val="20"/>
                <w:color w:val="auto"/>
              </w:rPr>
            </w:pPr>
            <w:r>
              <w:rPr>
                <w:rFonts w:ascii="Arial" w:cs="Arial" w:eastAsia="Arial" w:hAnsi="Arial"/>
                <w:sz w:val="25"/>
                <w:szCs w:val="25"/>
                <w:color w:val="auto"/>
              </w:rPr>
              <w:t>Machelle Sanders</w:t>
            </w:r>
          </w:p>
        </w:tc>
        <w:tc>
          <w:tcPr>
            <w:tcW w:w="0" w:type="dxa"/>
            <w:vAlign w:val="bottom"/>
          </w:tcPr>
          <w:p>
            <w:pPr>
              <w:spacing w:after="0"/>
              <w:rPr>
                <w:sz w:val="1"/>
                <w:szCs w:val="1"/>
                <w:color w:val="auto"/>
              </w:rPr>
            </w:pPr>
          </w:p>
        </w:tc>
      </w:tr>
      <w:tr>
        <w:trPr>
          <w:trHeight w:val="215"/>
        </w:trPr>
        <w:tc>
          <w:tcPr>
            <w:tcW w:w="13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62</w:t>
            </w:r>
          </w:p>
        </w:tc>
        <w:tc>
          <w:tcPr>
            <w:tcW w:w="9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Ms. Sanders </w:t>
            </w:r>
            <w:r>
              <w:rPr>
                <w:rFonts w:ascii="Arial" w:cs="Arial" w:eastAsia="Arial" w:hAnsi="Arial"/>
                <w:sz w:val="16"/>
                <w:szCs w:val="16"/>
                <w:color w:val="auto"/>
              </w:rPr>
              <w:t>has served as a director since May 2024. Ms. Sanders is an accomplished biopharmaceutical and public-sector leader</w:t>
            </w:r>
          </w:p>
        </w:tc>
        <w:tc>
          <w:tcPr>
            <w:tcW w:w="0" w:type="dxa"/>
            <w:vAlign w:val="bottom"/>
          </w:tcPr>
          <w:p>
            <w:pPr>
              <w:spacing w:after="0"/>
              <w:rPr>
                <w:sz w:val="1"/>
                <w:szCs w:val="1"/>
                <w:color w:val="auto"/>
              </w:rPr>
            </w:pPr>
          </w:p>
        </w:tc>
      </w:tr>
      <w:tr>
        <w:trPr>
          <w:trHeight w:val="69"/>
        </w:trPr>
        <w:tc>
          <w:tcPr>
            <w:tcW w:w="132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9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20" w:type="dxa"/>
            <w:vAlign w:val="bottom"/>
            <w:vMerge w:val="continue"/>
            <w:shd w:val="clear" w:color="auto" w:fill="EDEDED"/>
          </w:tcPr>
          <w:p>
            <w:pPr>
              <w:spacing w:after="0"/>
              <w:rPr>
                <w:sz w:val="15"/>
                <w:szCs w:val="15"/>
                <w:color w:val="auto"/>
              </w:rPr>
            </w:pPr>
          </w:p>
        </w:tc>
        <w:tc>
          <w:tcPr>
            <w:tcW w:w="9660" w:type="dxa"/>
            <w:vAlign w:val="bottom"/>
          </w:tcPr>
          <w:p>
            <w:pPr>
              <w:ind w:left="140"/>
              <w:spacing w:after="0" w:line="175" w:lineRule="exact"/>
              <w:rPr>
                <w:sz w:val="20"/>
                <w:szCs w:val="20"/>
                <w:color w:val="auto"/>
              </w:rPr>
            </w:pPr>
            <w:r>
              <w:rPr>
                <w:rFonts w:ascii="Arial" w:cs="Arial" w:eastAsia="Arial" w:hAnsi="Arial"/>
                <w:sz w:val="16"/>
                <w:szCs w:val="16"/>
                <w:color w:val="auto"/>
              </w:rPr>
              <w:t>with deep expertise in quality, compliance, operations, and large-scale organizational transformation. She has held senior leadership</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Since:</w:t>
            </w:r>
          </w:p>
        </w:tc>
        <w:tc>
          <w:tcPr>
            <w:tcW w:w="9660" w:type="dxa"/>
            <w:vAlign w:val="bottom"/>
          </w:tcPr>
          <w:p>
            <w:pPr>
              <w:ind w:left="140"/>
              <w:spacing w:after="0"/>
              <w:rPr>
                <w:sz w:val="20"/>
                <w:szCs w:val="20"/>
                <w:color w:val="auto"/>
              </w:rPr>
            </w:pPr>
            <w:r>
              <w:rPr>
                <w:rFonts w:ascii="Arial" w:cs="Arial" w:eastAsia="Arial" w:hAnsi="Arial"/>
                <w:sz w:val="16"/>
                <w:szCs w:val="16"/>
                <w:color w:val="auto"/>
              </w:rPr>
              <w:t>roles at Biogen, Inc., including Vice President of Multiple Sclerosis Franchise Product Operations—where she led global operational</w:t>
            </w:r>
          </w:p>
        </w:tc>
        <w:tc>
          <w:tcPr>
            <w:tcW w:w="0" w:type="dxa"/>
            <w:vAlign w:val="bottom"/>
          </w:tcPr>
          <w:p>
            <w:pPr>
              <w:spacing w:after="0"/>
              <w:rPr>
                <w:sz w:val="1"/>
                <w:szCs w:val="1"/>
                <w:color w:val="auto"/>
              </w:rPr>
            </w:pPr>
          </w:p>
        </w:tc>
      </w:tr>
      <w:tr>
        <w:trPr>
          <w:trHeight w:val="203"/>
        </w:trPr>
        <w:tc>
          <w:tcPr>
            <w:tcW w:w="13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May 14, 2024</w:t>
            </w:r>
          </w:p>
        </w:tc>
        <w:tc>
          <w:tcPr>
            <w:tcW w:w="9660" w:type="dxa"/>
            <w:vAlign w:val="bottom"/>
          </w:tcPr>
          <w:p>
            <w:pPr>
              <w:ind w:left="140"/>
              <w:spacing w:after="0"/>
              <w:rPr>
                <w:sz w:val="20"/>
                <w:szCs w:val="20"/>
                <w:color w:val="auto"/>
              </w:rPr>
            </w:pPr>
            <w:r>
              <w:rPr>
                <w:rFonts w:ascii="Arial" w:cs="Arial" w:eastAsia="Arial" w:hAnsi="Arial"/>
                <w:sz w:val="16"/>
                <w:szCs w:val="16"/>
                <w:color w:val="auto"/>
              </w:rPr>
              <w:t>strategies, life cycle management, and regulatory execution for therapies and Vice President of Manufacturing &amp; General Manager of</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the RTP, NC site, overseeing 1,200 employees, biologics and small-molecule operations, major capital expansions, and global</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regulatory approvals. Her executive experience extends to state government, serving as North Carolina’s Secretary of Commerce</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from February 2021 to January 2025 and Secretary of Administration from January 2017 to February 2021, where she led statewide</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economic development, workforce strategy, and government operations. Since February 2022, she has served on the board of</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BioCryst Pharmaceuticals, Inc., a global public biotechnology company, where she is a member of the science committee and</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chairperson of the compensation committee. Ms. Sanders previously served as a member of the boards of directors of Novan, Inc.</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from 2017 to April 2024 and Radius Health, Inc. from 2021 to August 2022. Ms. Sanders earned a Bachelor of Science in</w:t>
            </w:r>
          </w:p>
        </w:tc>
        <w:tc>
          <w:tcPr>
            <w:tcW w:w="0" w:type="dxa"/>
            <w:vAlign w:val="bottom"/>
          </w:tcPr>
          <w:p>
            <w:pPr>
              <w:spacing w:after="0"/>
              <w:rPr>
                <w:sz w:val="1"/>
                <w:szCs w:val="1"/>
                <w:color w:val="auto"/>
              </w:rPr>
            </w:pPr>
          </w:p>
        </w:tc>
      </w:tr>
      <w:tr>
        <w:trPr>
          <w:trHeight w:val="189"/>
        </w:trPr>
        <w:tc>
          <w:tcPr>
            <w:tcW w:w="132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Biochemistry from North Carolina State University and a Master’s in Health Administration from Pfeiffer University. She has also</w:t>
            </w:r>
          </w:p>
        </w:tc>
        <w:tc>
          <w:tcPr>
            <w:tcW w:w="0" w:type="dxa"/>
            <w:vAlign w:val="bottom"/>
          </w:tcPr>
          <w:p>
            <w:pPr>
              <w:spacing w:after="0"/>
              <w:rPr>
                <w:sz w:val="1"/>
                <w:szCs w:val="1"/>
                <w:color w:val="auto"/>
              </w:rPr>
            </w:pPr>
          </w:p>
        </w:tc>
      </w:tr>
      <w:tr>
        <w:trPr>
          <w:trHeight w:val="215"/>
        </w:trPr>
        <w:tc>
          <w:tcPr>
            <w:tcW w:w="1320" w:type="dxa"/>
            <w:vAlign w:val="bottom"/>
            <w:shd w:val="clear" w:color="auto" w:fill="EDEDED"/>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pursued continued executive development through Stanford University’s Directors’ Consortium.</w:t>
            </w:r>
          </w:p>
        </w:tc>
        <w:tc>
          <w:tcPr>
            <w:tcW w:w="0" w:type="dxa"/>
            <w:vAlign w:val="bottom"/>
          </w:tcPr>
          <w:p>
            <w:pPr>
              <w:spacing w:after="0"/>
              <w:rPr>
                <w:sz w:val="1"/>
                <w:szCs w:val="1"/>
                <w:color w:val="auto"/>
              </w:rPr>
            </w:pPr>
          </w:p>
        </w:tc>
      </w:tr>
      <w:tr>
        <w:trPr>
          <w:trHeight w:val="97"/>
        </w:trPr>
        <w:tc>
          <w:tcPr>
            <w:tcW w:w="1320" w:type="dxa"/>
            <w:vAlign w:val="bottom"/>
            <w:shd w:val="clear" w:color="auto" w:fill="EDEDED"/>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I DIRECTORS (TERMS TO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current members of the Board who are Class I Directors are as follows: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516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96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Age</w:t>
            </w:r>
          </w:p>
        </w:tc>
        <w:tc>
          <w:tcPr>
            <w:tcW w:w="2660" w:type="dxa"/>
            <w:vAlign w:val="bottom"/>
            <w:shd w:val="clear" w:color="auto" w:fill="0BC11C"/>
          </w:tcPr>
          <w:p>
            <w:pPr>
              <w:jc w:val="center"/>
              <w:ind w:right="76"/>
              <w:spacing w:after="0"/>
              <w:rPr>
                <w:sz w:val="20"/>
                <w:szCs w:val="20"/>
                <w:color w:val="auto"/>
              </w:rPr>
            </w:pPr>
            <w:r>
              <w:rPr>
                <w:rFonts w:ascii="Arial" w:cs="Arial" w:eastAsia="Arial" w:hAnsi="Arial"/>
                <w:sz w:val="14"/>
                <w:szCs w:val="14"/>
                <w:b w:val="1"/>
                <w:bCs w:val="1"/>
                <w:color w:val="FFFFFF"/>
              </w:rPr>
              <w:t>Served as a Director Since</w:t>
            </w:r>
          </w:p>
        </w:tc>
        <w:tc>
          <w:tcPr>
            <w:tcW w:w="2240" w:type="dxa"/>
            <w:vAlign w:val="bottom"/>
            <w:shd w:val="clear" w:color="auto" w:fill="0BC11C"/>
          </w:tcPr>
          <w:p>
            <w:pPr>
              <w:jc w:val="center"/>
              <w:ind w:left="222"/>
              <w:spacing w:after="0"/>
              <w:rPr>
                <w:sz w:val="20"/>
                <w:szCs w:val="20"/>
                <w:color w:val="auto"/>
              </w:rPr>
            </w:pPr>
            <w:r>
              <w:rPr>
                <w:rFonts w:ascii="Arial" w:cs="Arial" w:eastAsia="Arial" w:hAnsi="Arial"/>
                <w:sz w:val="14"/>
                <w:szCs w:val="14"/>
                <w:b w:val="1"/>
                <w:bCs w:val="1"/>
                <w:color w:val="FFFFFF"/>
                <w:w w:val="99"/>
              </w:rPr>
              <w:t>Position with Fortrea  </w:t>
            </w:r>
          </w:p>
        </w:tc>
      </w:tr>
      <w:tr>
        <w:trPr>
          <w:trHeight w:val="83"/>
        </w:trPr>
        <w:tc>
          <w:tcPr>
            <w:tcW w:w="5160" w:type="dxa"/>
            <w:vAlign w:val="bottom"/>
            <w:shd w:val="clear" w:color="auto" w:fill="0BC11C"/>
          </w:tcPr>
          <w:p>
            <w:pPr>
              <w:spacing w:after="0"/>
              <w:rPr>
                <w:sz w:val="7"/>
                <w:szCs w:val="7"/>
                <w:color w:val="auto"/>
              </w:rPr>
            </w:pPr>
          </w:p>
        </w:tc>
        <w:tc>
          <w:tcPr>
            <w:tcW w:w="960" w:type="dxa"/>
            <w:vAlign w:val="bottom"/>
            <w:shd w:val="clear" w:color="auto" w:fill="0BC11C"/>
          </w:tcPr>
          <w:p>
            <w:pPr>
              <w:spacing w:after="0"/>
              <w:rPr>
                <w:sz w:val="7"/>
                <w:szCs w:val="7"/>
                <w:color w:val="auto"/>
              </w:rPr>
            </w:pPr>
          </w:p>
        </w:tc>
        <w:tc>
          <w:tcPr>
            <w:tcW w:w="2660" w:type="dxa"/>
            <w:vAlign w:val="bottom"/>
            <w:shd w:val="clear" w:color="auto" w:fill="0BC11C"/>
          </w:tcPr>
          <w:p>
            <w:pPr>
              <w:spacing w:after="0"/>
              <w:rPr>
                <w:sz w:val="7"/>
                <w:szCs w:val="7"/>
                <w:color w:val="auto"/>
              </w:rPr>
            </w:pPr>
          </w:p>
        </w:tc>
        <w:tc>
          <w:tcPr>
            <w:tcW w:w="2240" w:type="dxa"/>
            <w:vAlign w:val="bottom"/>
            <w:shd w:val="clear" w:color="auto" w:fill="0BC11C"/>
          </w:tcPr>
          <w:p>
            <w:pPr>
              <w:spacing w:after="0"/>
              <w:rPr>
                <w:sz w:val="7"/>
                <w:szCs w:val="7"/>
                <w:color w:val="auto"/>
              </w:rPr>
            </w:pPr>
          </w:p>
        </w:tc>
      </w:tr>
      <w:tr>
        <w:trPr>
          <w:trHeight w:val="263"/>
        </w:trPr>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Edward Pesicka</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2660" w:type="dxa"/>
            <w:vAlign w:val="bottom"/>
          </w:tcPr>
          <w:p>
            <w:pPr>
              <w:jc w:val="center"/>
              <w:ind w:right="96"/>
              <w:spacing w:after="0"/>
              <w:rPr>
                <w:sz w:val="20"/>
                <w:szCs w:val="20"/>
                <w:color w:val="auto"/>
              </w:rPr>
            </w:pPr>
            <w:r>
              <w:rPr>
                <w:rFonts w:ascii="Arial" w:cs="Arial" w:eastAsia="Arial" w:hAnsi="Arial"/>
                <w:sz w:val="18"/>
                <w:szCs w:val="18"/>
                <w:color w:val="auto"/>
                <w:w w:val="99"/>
              </w:rPr>
              <w:t>2023</w:t>
            </w:r>
          </w:p>
        </w:tc>
        <w:tc>
          <w:tcPr>
            <w:tcW w:w="2240" w:type="dxa"/>
            <w:vAlign w:val="bottom"/>
          </w:tcPr>
          <w:p>
            <w:pPr>
              <w:jc w:val="center"/>
              <w:ind w:left="262"/>
              <w:spacing w:after="0"/>
              <w:rPr>
                <w:sz w:val="20"/>
                <w:szCs w:val="20"/>
                <w:color w:val="auto"/>
              </w:rPr>
            </w:pPr>
            <w:r>
              <w:rPr>
                <w:rFonts w:ascii="Arial" w:cs="Arial" w:eastAsia="Arial" w:hAnsi="Arial"/>
                <w:sz w:val="16"/>
                <w:szCs w:val="16"/>
                <w:color w:val="auto"/>
              </w:rPr>
              <w:t>Director</w:t>
            </w:r>
          </w:p>
        </w:tc>
      </w:tr>
      <w:tr>
        <w:trPr>
          <w:trHeight w:val="278"/>
        </w:trPr>
        <w:tc>
          <w:tcPr>
            <w:tcW w:w="5160" w:type="dxa"/>
            <w:vAlign w:val="bottom"/>
            <w:shd w:val="clear" w:color="auto" w:fill="EDEDED"/>
          </w:tcPr>
          <w:p>
            <w:pPr>
              <w:ind w:left="60"/>
              <w:spacing w:after="0"/>
              <w:rPr>
                <w:sz w:val="20"/>
                <w:szCs w:val="20"/>
                <w:color w:val="auto"/>
              </w:rPr>
            </w:pPr>
            <w:r>
              <w:rPr>
                <w:rFonts w:ascii="Arial" w:cs="Arial" w:eastAsia="Arial" w:hAnsi="Arial"/>
                <w:sz w:val="18"/>
                <w:szCs w:val="18"/>
                <w:b w:val="1"/>
                <w:bCs w:val="1"/>
                <w:color w:val="auto"/>
              </w:rPr>
              <w:t>David Smith</w:t>
            </w:r>
          </w:p>
        </w:tc>
        <w:tc>
          <w:tcPr>
            <w:tcW w:w="96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60</w:t>
            </w:r>
          </w:p>
        </w:tc>
        <w:tc>
          <w:tcPr>
            <w:tcW w:w="2660" w:type="dxa"/>
            <w:vAlign w:val="bottom"/>
            <w:shd w:val="clear" w:color="auto" w:fill="EDEDED"/>
          </w:tcPr>
          <w:p>
            <w:pPr>
              <w:jc w:val="center"/>
              <w:ind w:right="96"/>
              <w:spacing w:after="0"/>
              <w:rPr>
                <w:sz w:val="20"/>
                <w:szCs w:val="20"/>
                <w:color w:val="auto"/>
              </w:rPr>
            </w:pPr>
            <w:r>
              <w:rPr>
                <w:rFonts w:ascii="Arial" w:cs="Arial" w:eastAsia="Arial" w:hAnsi="Arial"/>
                <w:sz w:val="18"/>
                <w:szCs w:val="18"/>
                <w:color w:val="auto"/>
                <w:w w:val="99"/>
              </w:rPr>
              <w:t>2023</w:t>
            </w:r>
          </w:p>
        </w:tc>
        <w:tc>
          <w:tcPr>
            <w:tcW w:w="2240" w:type="dxa"/>
            <w:vAlign w:val="bottom"/>
            <w:shd w:val="clear" w:color="auto" w:fill="EDEDED"/>
          </w:tcPr>
          <w:p>
            <w:pPr>
              <w:jc w:val="center"/>
              <w:ind w:left="262"/>
              <w:spacing w:after="0"/>
              <w:rPr>
                <w:sz w:val="20"/>
                <w:szCs w:val="20"/>
                <w:color w:val="auto"/>
              </w:rPr>
            </w:pPr>
            <w:r>
              <w:rPr>
                <w:rFonts w:ascii="Arial" w:cs="Arial" w:eastAsia="Arial" w:hAnsi="Arial"/>
                <w:sz w:val="16"/>
                <w:szCs w:val="16"/>
                <w:color w:val="auto"/>
              </w:rPr>
              <w:t>Director</w:t>
            </w: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occupations and business experience, for at least the past five years, of each Class I Director Nominee are as follows: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Age:</w:t>
            </w:r>
          </w:p>
        </w:tc>
        <w:tc>
          <w:tcPr>
            <w:tcW w:w="9660" w:type="dxa"/>
            <w:vAlign w:val="bottom"/>
          </w:tcPr>
          <w:p>
            <w:pPr>
              <w:ind w:left="140"/>
              <w:spacing w:after="0"/>
              <w:rPr>
                <w:sz w:val="20"/>
                <w:szCs w:val="20"/>
                <w:color w:val="auto"/>
              </w:rPr>
            </w:pPr>
            <w:r>
              <w:rPr>
                <w:rFonts w:ascii="Arial" w:cs="Arial" w:eastAsia="Arial" w:hAnsi="Arial"/>
                <w:sz w:val="25"/>
                <w:szCs w:val="25"/>
                <w:color w:val="auto"/>
              </w:rPr>
              <w:t>Edward Pesicka</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59</w:t>
            </w:r>
          </w:p>
        </w:tc>
        <w:tc>
          <w:tcPr>
            <w:tcW w:w="9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Mr. Pesicka </w:t>
            </w:r>
            <w:r>
              <w:rPr>
                <w:rFonts w:ascii="Arial" w:cs="Arial" w:eastAsia="Arial" w:hAnsi="Arial"/>
                <w:sz w:val="16"/>
                <w:szCs w:val="16"/>
                <w:color w:val="auto"/>
              </w:rPr>
              <w:t>has served as a director since June 2023. Since March 2019, Mr. Pesicka has served as President and Chief Executive</w:t>
            </w:r>
          </w:p>
        </w:tc>
        <w:tc>
          <w:tcPr>
            <w:tcW w:w="0" w:type="dxa"/>
            <w:vAlign w:val="bottom"/>
          </w:tcPr>
          <w:p>
            <w:pPr>
              <w:spacing w:after="0"/>
              <w:rPr>
                <w:sz w:val="1"/>
                <w:szCs w:val="1"/>
                <w:color w:val="auto"/>
              </w:rPr>
            </w:pPr>
          </w:p>
        </w:tc>
      </w:tr>
      <w:tr>
        <w:trPr>
          <w:trHeight w:val="69"/>
        </w:trPr>
        <w:tc>
          <w:tcPr>
            <w:tcW w:w="136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9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360" w:type="dxa"/>
            <w:vAlign w:val="bottom"/>
            <w:vMerge w:val="continue"/>
            <w:shd w:val="clear" w:color="auto" w:fill="EDEDED"/>
          </w:tcPr>
          <w:p>
            <w:pPr>
              <w:spacing w:after="0"/>
              <w:rPr>
                <w:sz w:val="15"/>
                <w:szCs w:val="15"/>
                <w:color w:val="auto"/>
              </w:rPr>
            </w:pPr>
          </w:p>
        </w:tc>
        <w:tc>
          <w:tcPr>
            <w:tcW w:w="9660" w:type="dxa"/>
            <w:vAlign w:val="bottom"/>
          </w:tcPr>
          <w:p>
            <w:pPr>
              <w:ind w:left="140"/>
              <w:spacing w:after="0" w:line="175" w:lineRule="exact"/>
              <w:rPr>
                <w:sz w:val="20"/>
                <w:szCs w:val="20"/>
                <w:color w:val="auto"/>
              </w:rPr>
            </w:pPr>
            <w:r>
              <w:rPr>
                <w:rFonts w:ascii="Arial" w:cs="Arial" w:eastAsia="Arial" w:hAnsi="Arial"/>
                <w:sz w:val="16"/>
                <w:szCs w:val="16"/>
                <w:color w:val="auto"/>
              </w:rPr>
              <w:t>Officer, as well as on the board of directors, of Owens &amp; Minor, Inc., a global healthcare solutions company. From January 2016 until</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Since:</w:t>
            </w:r>
          </w:p>
        </w:tc>
        <w:tc>
          <w:tcPr>
            <w:tcW w:w="9660" w:type="dxa"/>
            <w:vAlign w:val="bottom"/>
          </w:tcPr>
          <w:p>
            <w:pPr>
              <w:ind w:left="140"/>
              <w:spacing w:after="0"/>
              <w:rPr>
                <w:sz w:val="20"/>
                <w:szCs w:val="20"/>
                <w:color w:val="auto"/>
              </w:rPr>
            </w:pPr>
            <w:r>
              <w:rPr>
                <w:rFonts w:ascii="Arial" w:cs="Arial" w:eastAsia="Arial" w:hAnsi="Arial"/>
                <w:sz w:val="16"/>
                <w:szCs w:val="16"/>
                <w:color w:val="auto"/>
              </w:rPr>
              <w:t>March 2019, Mr. Pesicka was an independent consultant and advisor in the healthcare, life science and distribution industries. From</w:t>
            </w:r>
          </w:p>
        </w:tc>
        <w:tc>
          <w:tcPr>
            <w:tcW w:w="0" w:type="dxa"/>
            <w:vAlign w:val="bottom"/>
          </w:tcPr>
          <w:p>
            <w:pPr>
              <w:spacing w:after="0"/>
              <w:rPr>
                <w:sz w:val="1"/>
                <w:szCs w:val="1"/>
                <w:color w:val="auto"/>
              </w:rPr>
            </w:pPr>
          </w:p>
        </w:tc>
      </w:tr>
      <w:tr>
        <w:trPr>
          <w:trHeight w:val="203"/>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June 29, 2023</w:t>
            </w:r>
          </w:p>
        </w:tc>
        <w:tc>
          <w:tcPr>
            <w:tcW w:w="9660" w:type="dxa"/>
            <w:vAlign w:val="bottom"/>
          </w:tcPr>
          <w:p>
            <w:pPr>
              <w:ind w:left="140"/>
              <w:spacing w:after="0"/>
              <w:rPr>
                <w:sz w:val="20"/>
                <w:szCs w:val="20"/>
                <w:color w:val="auto"/>
              </w:rPr>
            </w:pPr>
            <w:r>
              <w:rPr>
                <w:rFonts w:ascii="Arial" w:cs="Arial" w:eastAsia="Arial" w:hAnsi="Arial"/>
                <w:sz w:val="16"/>
                <w:szCs w:val="16"/>
                <w:color w:val="auto"/>
              </w:rPr>
              <w:t>January 2000 until April 2015, Mr. Pesicka served in various roles of increasing responsibility at Thermo Fisher Scientific Inc., an</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American supplier of scientific instrumentation, reagents and consumables and software services, including Chief Commercial</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Officer and Senior Vice President from January 2014 to April 2015. Prior to Thermo Fisher Scientific, Mr. Pesicka spent eight years</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with TRW Inc., an aerospace company in its finance department and three years with PricewaterhouseCoopers as an auditor.</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Mr. Pesicka earned his Master of Business Administration from Weatherhead School of Management at Case Western Reserve</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University and a Bachelor of Arts in Business Administration and Management from Muskingum College. Since 2019, Mr. Pesicka</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has served as a director of Owens &amp; Minor, Inc., a global healthcare logistics and supply chain management company.</w:t>
            </w:r>
          </w:p>
        </w:tc>
        <w:tc>
          <w:tcPr>
            <w:tcW w:w="0" w:type="dxa"/>
            <w:vAlign w:val="bottom"/>
          </w:tcPr>
          <w:p>
            <w:pPr>
              <w:spacing w:after="0"/>
              <w:rPr>
                <w:sz w:val="1"/>
                <w:szCs w:val="1"/>
                <w:color w:val="auto"/>
              </w:rPr>
            </w:pPr>
          </w:p>
        </w:tc>
      </w:tr>
      <w:tr>
        <w:trPr>
          <w:trHeight w:val="96"/>
        </w:trPr>
        <w:tc>
          <w:tcPr>
            <w:tcW w:w="1360" w:type="dxa"/>
            <w:vAlign w:val="bottom"/>
            <w:shd w:val="clear" w:color="auto" w:fill="EDEDED"/>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1360" w:type="dxa"/>
            <w:vAlign w:val="bottom"/>
            <w:tcBorders>
              <w:bottom w:val="single" w:sz="8" w:color="0BC11C"/>
            </w:tcBorders>
          </w:tcPr>
          <w:p>
            <w:pPr>
              <w:spacing w:after="0"/>
              <w:rPr>
                <w:sz w:val="24"/>
                <w:szCs w:val="24"/>
                <w:color w:val="auto"/>
              </w:rPr>
            </w:pPr>
          </w:p>
        </w:tc>
        <w:tc>
          <w:tcPr>
            <w:tcW w:w="9660" w:type="dxa"/>
            <w:vAlign w:val="bottom"/>
            <w:tcBorders>
              <w:bottom w:val="single" w:sz="8" w:color="0BC11C"/>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9660" w:type="dxa"/>
            <w:vAlign w:val="bottom"/>
          </w:tcPr>
          <w:p>
            <w:pPr>
              <w:ind w:left="7360"/>
              <w:spacing w:after="0"/>
              <w:rPr>
                <w:sz w:val="20"/>
                <w:szCs w:val="20"/>
                <w:color w:val="auto"/>
              </w:rPr>
            </w:pPr>
            <w:r>
              <w:rPr>
                <w:rFonts w:ascii="Arial" w:cs="Arial" w:eastAsia="Arial" w:hAnsi="Arial"/>
                <w:sz w:val="13"/>
                <w:szCs w:val="13"/>
                <w:color w:val="auto"/>
                <w:w w:val="90"/>
              </w:rPr>
              <w:t xml:space="preserve">FORTREA  •  2026 Proxy Statement   </w:t>
            </w:r>
            <w:r>
              <w:rPr>
                <w:rFonts w:ascii="Arial" w:cs="Arial" w:eastAsia="Arial" w:hAnsi="Arial"/>
                <w:sz w:val="14"/>
                <w:szCs w:val="14"/>
                <w:b w:val="1"/>
                <w:bCs w:val="1"/>
                <w:color w:val="0BC11C"/>
                <w:w w:val="90"/>
              </w:rPr>
              <w:t>13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Age:</w:t>
            </w:r>
          </w:p>
        </w:tc>
        <w:tc>
          <w:tcPr>
            <w:tcW w:w="9660" w:type="dxa"/>
            <w:vAlign w:val="bottom"/>
          </w:tcPr>
          <w:p>
            <w:pPr>
              <w:ind w:left="140"/>
              <w:spacing w:after="0"/>
              <w:rPr>
                <w:sz w:val="20"/>
                <w:szCs w:val="20"/>
                <w:color w:val="auto"/>
              </w:rPr>
            </w:pPr>
            <w:r>
              <w:rPr>
                <w:rFonts w:ascii="Arial" w:cs="Arial" w:eastAsia="Arial" w:hAnsi="Arial"/>
                <w:sz w:val="25"/>
                <w:szCs w:val="25"/>
                <w:color w:val="auto"/>
              </w:rPr>
              <w:t>David Smith</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60</w:t>
            </w:r>
          </w:p>
        </w:tc>
        <w:tc>
          <w:tcPr>
            <w:tcW w:w="9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Mr. Smith </w:t>
            </w:r>
            <w:r>
              <w:rPr>
                <w:rFonts w:ascii="Arial" w:cs="Arial" w:eastAsia="Arial" w:hAnsi="Arial"/>
                <w:sz w:val="16"/>
                <w:szCs w:val="16"/>
                <w:color w:val="auto"/>
              </w:rPr>
              <w:t>has served as a director since June 2023. Mr. Smith has over 25 years of pharmaceutical industry experience. Mr. Smith</w:t>
            </w:r>
          </w:p>
        </w:tc>
        <w:tc>
          <w:tcPr>
            <w:tcW w:w="0" w:type="dxa"/>
            <w:vAlign w:val="bottom"/>
          </w:tcPr>
          <w:p>
            <w:pPr>
              <w:spacing w:after="0"/>
              <w:rPr>
                <w:sz w:val="1"/>
                <w:szCs w:val="1"/>
                <w:color w:val="auto"/>
              </w:rPr>
            </w:pPr>
          </w:p>
        </w:tc>
      </w:tr>
      <w:tr>
        <w:trPr>
          <w:trHeight w:val="69"/>
        </w:trPr>
        <w:tc>
          <w:tcPr>
            <w:tcW w:w="136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9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60" w:type="dxa"/>
            <w:vAlign w:val="bottom"/>
            <w:vMerge w:val="continue"/>
            <w:shd w:val="clear" w:color="auto" w:fill="EDEDED"/>
          </w:tcPr>
          <w:p>
            <w:pPr>
              <w:spacing w:after="0"/>
              <w:rPr>
                <w:sz w:val="15"/>
                <w:szCs w:val="15"/>
                <w:color w:val="auto"/>
              </w:rPr>
            </w:pPr>
          </w:p>
        </w:tc>
        <w:tc>
          <w:tcPr>
            <w:tcW w:w="9660" w:type="dxa"/>
            <w:vAlign w:val="bottom"/>
          </w:tcPr>
          <w:p>
            <w:pPr>
              <w:ind w:left="140"/>
              <w:spacing w:after="0" w:line="175" w:lineRule="exact"/>
              <w:rPr>
                <w:sz w:val="20"/>
                <w:szCs w:val="20"/>
                <w:color w:val="auto"/>
              </w:rPr>
            </w:pPr>
            <w:r>
              <w:rPr>
                <w:rFonts w:ascii="Arial" w:cs="Arial" w:eastAsia="Arial" w:hAnsi="Arial"/>
                <w:sz w:val="16"/>
                <w:szCs w:val="16"/>
                <w:color w:val="auto"/>
              </w:rPr>
              <w:t>served as Executive Vice President and Chief Financial Officer for Charles River Laboratories International, Inc., an American</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Since:</w:t>
            </w:r>
          </w:p>
        </w:tc>
        <w:tc>
          <w:tcPr>
            <w:tcW w:w="9660" w:type="dxa"/>
            <w:vAlign w:val="bottom"/>
          </w:tcPr>
          <w:p>
            <w:pPr>
              <w:ind w:left="140"/>
              <w:spacing w:after="0"/>
              <w:rPr>
                <w:sz w:val="20"/>
                <w:szCs w:val="20"/>
                <w:color w:val="auto"/>
              </w:rPr>
            </w:pPr>
            <w:r>
              <w:rPr>
                <w:rFonts w:ascii="Arial" w:cs="Arial" w:eastAsia="Arial" w:hAnsi="Arial"/>
                <w:sz w:val="16"/>
                <w:szCs w:val="16"/>
                <w:color w:val="auto"/>
              </w:rPr>
              <w:t>pre-clinical contract research organization supporting the global pharmaceutical industry. Mr. Smith joined Charles River in April</w:t>
            </w:r>
          </w:p>
        </w:tc>
        <w:tc>
          <w:tcPr>
            <w:tcW w:w="0" w:type="dxa"/>
            <w:vAlign w:val="bottom"/>
          </w:tcPr>
          <w:p>
            <w:pPr>
              <w:spacing w:after="0"/>
              <w:rPr>
                <w:sz w:val="1"/>
                <w:szCs w:val="1"/>
                <w:color w:val="auto"/>
              </w:rPr>
            </w:pPr>
          </w:p>
        </w:tc>
      </w:tr>
      <w:tr>
        <w:trPr>
          <w:trHeight w:val="203"/>
        </w:trPr>
        <w:tc>
          <w:tcPr>
            <w:tcW w:w="13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June 15, 2023</w:t>
            </w:r>
          </w:p>
        </w:tc>
        <w:tc>
          <w:tcPr>
            <w:tcW w:w="9660" w:type="dxa"/>
            <w:vAlign w:val="bottom"/>
          </w:tcPr>
          <w:p>
            <w:pPr>
              <w:ind w:left="140"/>
              <w:spacing w:after="0"/>
              <w:rPr>
                <w:sz w:val="20"/>
                <w:szCs w:val="20"/>
                <w:color w:val="auto"/>
              </w:rPr>
            </w:pPr>
            <w:r>
              <w:rPr>
                <w:rFonts w:ascii="Arial" w:cs="Arial" w:eastAsia="Arial" w:hAnsi="Arial"/>
                <w:sz w:val="16"/>
                <w:szCs w:val="16"/>
                <w:color w:val="auto"/>
              </w:rPr>
              <w:t>2014 through their acquisition of the Galapagos Services Division, which was carved out from its parent company Galapagos NV, a</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Belgian pharmaceutical research company. Mr. Smith served as the Chief Executive Officer for that division and, on its acquisition,</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continued to manage its operation as Corporate Vice President at Charles River. In October that year, Mr. Smith was promoted to</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Corporate Senior Vice President with responsibilities for all Discovery Services at Charles River. In the following February, he was</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nominated as the successor to the incumbent Chief Financial Officer, formally taking the helm in August 2015, a post Mr. Smith held</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until his retirement in May 2022. During Mr. Smith’s tenure as Chief Financial Officer, Charles River entered the S&amp;P 500 in May</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2021. Previously, Mr. Smith also served as Chief Financial Officer at Cambridge University Hospitals in the United Kingdom and</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Galapagos NV. He held management positions at AstraZeneca in the Netherlands, Hungary, Sweden and the U.K. and held a variety</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of leadership roles, including in the R&amp;D division where he helped determine which molecules progressed through the pipeline.</w:t>
            </w:r>
          </w:p>
        </w:tc>
        <w:tc>
          <w:tcPr>
            <w:tcW w:w="0" w:type="dxa"/>
            <w:vAlign w:val="bottom"/>
          </w:tcPr>
          <w:p>
            <w:pPr>
              <w:spacing w:after="0"/>
              <w:rPr>
                <w:sz w:val="1"/>
                <w:szCs w:val="1"/>
                <w:color w:val="auto"/>
              </w:rPr>
            </w:pPr>
          </w:p>
        </w:tc>
      </w:tr>
      <w:tr>
        <w:trPr>
          <w:trHeight w:val="189"/>
        </w:trPr>
        <w:tc>
          <w:tcPr>
            <w:tcW w:w="1360" w:type="dxa"/>
            <w:vAlign w:val="bottom"/>
            <w:shd w:val="clear" w:color="auto" w:fill="EDEDED"/>
          </w:tcPr>
          <w:p>
            <w:pPr>
              <w:spacing w:after="0"/>
              <w:rPr>
                <w:sz w:val="16"/>
                <w:szCs w:val="16"/>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Mr. Smith trained as a Chartered Accountant in the U.K., with what is now called PricewaterhouseCoopers, before relocating with the</w:t>
            </w:r>
          </w:p>
        </w:tc>
        <w:tc>
          <w:tcPr>
            <w:tcW w:w="0" w:type="dxa"/>
            <w:vAlign w:val="bottom"/>
          </w:tcPr>
          <w:p>
            <w:pPr>
              <w:spacing w:after="0"/>
              <w:rPr>
                <w:sz w:val="1"/>
                <w:szCs w:val="1"/>
                <w:color w:val="auto"/>
              </w:rPr>
            </w:pPr>
          </w:p>
        </w:tc>
      </w:tr>
      <w:tr>
        <w:trPr>
          <w:trHeight w:val="215"/>
        </w:trPr>
        <w:tc>
          <w:tcPr>
            <w:tcW w:w="1360" w:type="dxa"/>
            <w:vAlign w:val="bottom"/>
            <w:shd w:val="clear" w:color="auto" w:fill="EDEDED"/>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firm to Dubai. Mr. Smith earned his Bachelor of Sciences Honors degree in Molecular Biophysics at the University of Leeds, U.K.</w:t>
            </w:r>
          </w:p>
        </w:tc>
        <w:tc>
          <w:tcPr>
            <w:tcW w:w="0" w:type="dxa"/>
            <w:vAlign w:val="bottom"/>
          </w:tcPr>
          <w:p>
            <w:pPr>
              <w:spacing w:after="0"/>
              <w:rPr>
                <w:sz w:val="1"/>
                <w:szCs w:val="1"/>
                <w:color w:val="auto"/>
              </w:rPr>
            </w:pPr>
          </w:p>
        </w:tc>
      </w:tr>
      <w:tr>
        <w:trPr>
          <w:trHeight w:val="97"/>
        </w:trPr>
        <w:tc>
          <w:tcPr>
            <w:tcW w:w="1360" w:type="dxa"/>
            <w:vAlign w:val="bottom"/>
            <w:shd w:val="clear" w:color="auto" w:fill="EDEDED"/>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0BC11C"/>
            </w:tcBorders>
          </w:tcPr>
          <w:p>
            <w:pPr>
              <w:spacing w:after="0"/>
              <w:rPr>
                <w:sz w:val="14"/>
                <w:szCs w:val="14"/>
                <w:color w:val="auto"/>
              </w:rPr>
            </w:pPr>
          </w:p>
        </w:tc>
        <w:tc>
          <w:tcPr>
            <w:tcW w:w="9660" w:type="dxa"/>
            <w:vAlign w:val="bottom"/>
            <w:tcBorders>
              <w:bottom w:val="single" w:sz="8" w:color="0BC11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14</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right="340"/>
        <w:spacing w:after="0" w:line="275" w:lineRule="auto"/>
        <w:rPr>
          <w:sz w:val="20"/>
          <w:szCs w:val="20"/>
          <w:color w:val="auto"/>
        </w:rPr>
      </w:pPr>
      <w:r>
        <w:rPr>
          <w:rFonts w:ascii="Times New Roman" w:cs="Times New Roman" w:eastAsia="Times New Roman" w:hAnsi="Times New Roman"/>
          <w:sz w:val="36"/>
          <w:szCs w:val="36"/>
          <w:color w:val="auto"/>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Our Audit Committee has appointed Deloitte &amp; Touche LLP as our independent registered public accounting firm for the fiscal year ending December 31, 2026. Our Board has directed that the appointment for the fiscal year ending December 31, 2026, be submitted to our stockholders for ratification. Although ratification of our appointment of Deloitte &amp; Touche LLP is not required, we value the opinions of our stockholders and believe that stockholder ratification of our appointment is a good corporate governance practice. Deloitte &amp; Touche LLP has served as our independent registered accounting firm since it was engaged by Labcorp (and later ratified by Fortrea) in connection with the Spin in 2023.</w:t>
      </w:r>
    </w:p>
    <w:p>
      <w:pPr>
        <w:spacing w:after="0" w:line="99" w:lineRule="exact"/>
        <w:rPr>
          <w:sz w:val="20"/>
          <w:szCs w:val="20"/>
          <w:color w:val="auto"/>
        </w:rPr>
      </w:pPr>
    </w:p>
    <w:p>
      <w:pPr>
        <w:jc w:val="both"/>
        <w:ind w:left="120" w:right="220"/>
        <w:spacing w:after="0" w:line="266" w:lineRule="auto"/>
        <w:rPr>
          <w:sz w:val="20"/>
          <w:szCs w:val="20"/>
          <w:color w:val="auto"/>
        </w:rPr>
      </w:pPr>
      <w:r>
        <w:rPr>
          <w:rFonts w:ascii="Arial" w:cs="Arial" w:eastAsia="Arial" w:hAnsi="Arial"/>
          <w:sz w:val="16"/>
          <w:szCs w:val="16"/>
          <w:color w:val="auto"/>
        </w:rPr>
        <w:t>Neither the accounting firm nor any of its members has any direct or indirect financial interest in or any connection with us in any capacity other than as our auditors, providing audit and non-audit related services. A representative of Deloitte &amp; Touche LLP is expected to attend the Annual Meeting and to have an opportunity to make a statement and be available to respond to appropriate questions from stockholders.</w:t>
      </w:r>
    </w:p>
    <w:p>
      <w:pPr>
        <w:spacing w:after="0" w:line="10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In the event that the appointment of Deloitte &amp; Touche LLP is not ratified by the stockholders, the Audit Committee will consider this fact when it appoints the independent registered public accounting firm for the fiscal year ending December 31, 2027. Even if the appointment of Deloitte &amp; Touche LLP is ratified, the Audit Committee retains the discretion to appoint a different independent registered public accounting firm at any time if it determines that such a change is in the interests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35"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This proposal requires the affirmative vote of the holders of a majority in voting power of the shares present and entitled to vote on the matter. Abstentions have the same effect as votes against the proposal. Because brokers have discretionary authority to vote on the ratification of the appointment of Deloitte &amp; Touche LLP, we do not expect any broker non-votes on this proposal, however they would have no effect under the applicable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15</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under applicable Public Company Accounting Oversight Board (“PCAOB”) standards.</w:t>
      </w:r>
    </w:p>
    <w:p>
      <w:pPr>
        <w:spacing w:after="0" w:line="99"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Company’s independent registered public accounting firm also provided the Audit Committee with a formal written statement required by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Fortrea Holdings Inc.</w:t>
      </w:r>
    </w:p>
    <w:p>
      <w:pPr>
        <w:spacing w:after="0" w:line="11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2025. This report is provided by the following independent directors, who comprise the committee:</w:t>
      </w:r>
    </w:p>
    <w:p>
      <w:pPr>
        <w:spacing w:after="0" w:line="394"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The Audit Committee</w:t>
      </w:r>
    </w:p>
    <w:p>
      <w:pPr>
        <w:spacing w:after="0" w:line="21"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David Smith (Chair)</w:t>
      </w:r>
    </w:p>
    <w:p>
      <w:pPr>
        <w:spacing w:after="0" w:line="5"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Edward Pesicka</w:t>
      </w:r>
    </w:p>
    <w:p>
      <w:pPr>
        <w:spacing w:after="0" w:line="5"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Erin L. Russell</w:t>
      </w:r>
    </w:p>
    <w:p>
      <w:pPr>
        <w:spacing w:after="0" w:line="5"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William Sharbaugh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16</w:t>
      </w:r>
      <w:r>
        <w:rPr>
          <w:rFonts w:ascii="Arial" w:cs="Arial" w:eastAsia="Arial" w:hAnsi="Arial"/>
          <w:sz w:val="12"/>
          <w:szCs w:val="12"/>
          <w:color w:val="000000"/>
        </w:rPr>
        <w:t xml:space="preserve">   2026 Proxy Statement  •  FORTREA</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Deloitte &amp; Touche LLP (“Deloitte”) began serving as our independent registered public accounting firm in fiscal year 2023. The following table summarizes the fees of Deloitte and its subsidiaries and affiliates billed to us for services rendered during 2024 and 2025. All Deloitte services for 2024 and 2025 were approved in advance by our Audit Committee.</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295"/>
        </w:trPr>
        <w:tc>
          <w:tcPr>
            <w:tcW w:w="6960" w:type="dxa"/>
            <w:vAlign w:val="bottom"/>
            <w:shd w:val="clear" w:color="auto" w:fill="0BC11C"/>
          </w:tcPr>
          <w:p>
            <w:pPr>
              <w:jc w:val="right"/>
              <w:ind w:right="5901"/>
              <w:spacing w:after="0"/>
              <w:rPr>
                <w:sz w:val="20"/>
                <w:szCs w:val="20"/>
                <w:color w:val="auto"/>
              </w:rPr>
            </w:pPr>
            <w:r>
              <w:rPr>
                <w:rFonts w:ascii="Arial" w:cs="Arial" w:eastAsia="Arial" w:hAnsi="Arial"/>
                <w:sz w:val="14"/>
                <w:szCs w:val="14"/>
                <w:b w:val="1"/>
                <w:bCs w:val="1"/>
                <w:color w:val="FFFFFF"/>
                <w:w w:val="96"/>
              </w:rPr>
              <w:t>  Fee Category</w:t>
            </w:r>
          </w:p>
        </w:tc>
        <w:tc>
          <w:tcPr>
            <w:tcW w:w="1300" w:type="dxa"/>
            <w:vAlign w:val="bottom"/>
            <w:shd w:val="clear" w:color="auto" w:fill="0BC11C"/>
          </w:tcPr>
          <w:p>
            <w:pPr>
              <w:jc w:val="right"/>
              <w:ind w:right="361"/>
              <w:spacing w:after="0"/>
              <w:rPr>
                <w:sz w:val="20"/>
                <w:szCs w:val="20"/>
                <w:color w:val="auto"/>
              </w:rPr>
            </w:pPr>
            <w:r>
              <w:rPr>
                <w:rFonts w:ascii="Arial" w:cs="Arial" w:eastAsia="Arial" w:hAnsi="Arial"/>
                <w:sz w:val="14"/>
                <w:szCs w:val="14"/>
                <w:b w:val="1"/>
                <w:bCs w:val="1"/>
                <w:color w:val="FFFFFF"/>
              </w:rPr>
              <w:t>2025</w:t>
            </w:r>
          </w:p>
        </w:tc>
        <w:tc>
          <w:tcPr>
            <w:tcW w:w="260" w:type="dxa"/>
            <w:vAlign w:val="bottom"/>
            <w:shd w:val="clear" w:color="auto" w:fill="0BC11C"/>
          </w:tcPr>
          <w:p>
            <w:pPr>
              <w:spacing w:after="0"/>
              <w:rPr>
                <w:sz w:val="24"/>
                <w:szCs w:val="24"/>
                <w:color w:val="auto"/>
              </w:rPr>
            </w:pPr>
          </w:p>
        </w:tc>
        <w:tc>
          <w:tcPr>
            <w:tcW w:w="740" w:type="dxa"/>
            <w:vAlign w:val="bottom"/>
            <w:shd w:val="clear" w:color="auto" w:fill="0BC11C"/>
          </w:tcPr>
          <w:p>
            <w:pPr>
              <w:jc w:val="right"/>
              <w:ind w:right="221"/>
              <w:spacing w:after="0"/>
              <w:rPr>
                <w:sz w:val="20"/>
                <w:szCs w:val="20"/>
                <w:color w:val="auto"/>
              </w:rPr>
            </w:pPr>
            <w:r>
              <w:rPr>
                <w:rFonts w:ascii="Arial" w:cs="Arial" w:eastAsia="Arial" w:hAnsi="Arial"/>
                <w:sz w:val="14"/>
                <w:szCs w:val="14"/>
                <w:b w:val="1"/>
                <w:bCs w:val="1"/>
                <w:color w:val="FFFFFF"/>
              </w:rPr>
              <w:t>2024</w:t>
            </w:r>
          </w:p>
        </w:tc>
      </w:tr>
      <w:tr>
        <w:trPr>
          <w:trHeight w:val="83"/>
        </w:trPr>
        <w:tc>
          <w:tcPr>
            <w:tcW w:w="6960" w:type="dxa"/>
            <w:vAlign w:val="bottom"/>
            <w:shd w:val="clear" w:color="auto" w:fill="0BC11C"/>
          </w:tcPr>
          <w:p>
            <w:pPr>
              <w:spacing w:after="0"/>
              <w:rPr>
                <w:sz w:val="7"/>
                <w:szCs w:val="7"/>
                <w:color w:val="auto"/>
              </w:rPr>
            </w:pPr>
          </w:p>
        </w:tc>
        <w:tc>
          <w:tcPr>
            <w:tcW w:w="1300" w:type="dxa"/>
            <w:vAlign w:val="bottom"/>
            <w:shd w:val="clear" w:color="auto" w:fill="0BC11C"/>
          </w:tcPr>
          <w:p>
            <w:pPr>
              <w:spacing w:after="0"/>
              <w:rPr>
                <w:sz w:val="7"/>
                <w:szCs w:val="7"/>
                <w:color w:val="auto"/>
              </w:rPr>
            </w:pPr>
          </w:p>
        </w:tc>
        <w:tc>
          <w:tcPr>
            <w:tcW w:w="260" w:type="dxa"/>
            <w:vAlign w:val="bottom"/>
            <w:shd w:val="clear" w:color="auto" w:fill="0BC11C"/>
          </w:tcPr>
          <w:p>
            <w:pPr>
              <w:spacing w:after="0"/>
              <w:rPr>
                <w:sz w:val="7"/>
                <w:szCs w:val="7"/>
                <w:color w:val="auto"/>
              </w:rPr>
            </w:pPr>
          </w:p>
        </w:tc>
        <w:tc>
          <w:tcPr>
            <w:tcW w:w="740" w:type="dxa"/>
            <w:vAlign w:val="bottom"/>
            <w:shd w:val="clear" w:color="auto" w:fill="0BC11C"/>
          </w:tcPr>
          <w:p>
            <w:pPr>
              <w:spacing w:after="0"/>
              <w:rPr>
                <w:sz w:val="7"/>
                <w:szCs w:val="7"/>
                <w:color w:val="auto"/>
              </w:rPr>
            </w:pPr>
          </w:p>
        </w:tc>
      </w:tr>
      <w:tr>
        <w:trPr>
          <w:trHeight w:val="228"/>
        </w:trPr>
        <w:tc>
          <w:tcPr>
            <w:tcW w:w="6960" w:type="dxa"/>
            <w:vAlign w:val="bottom"/>
          </w:tcPr>
          <w:p>
            <w:pPr>
              <w:ind w:left="80"/>
              <w:spacing w:after="0"/>
              <w:rPr>
                <w:sz w:val="20"/>
                <w:szCs w:val="20"/>
                <w:color w:val="auto"/>
              </w:rPr>
            </w:pPr>
            <w:r>
              <w:rPr>
                <w:rFonts w:ascii="Arial" w:cs="Arial" w:eastAsia="Arial" w:hAnsi="Arial"/>
                <w:sz w:val="16"/>
                <w:szCs w:val="16"/>
                <w:color w:val="auto"/>
              </w:rPr>
              <w:t>Audit Fees (1)</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$3,888,907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4,796,570</w:t>
            </w:r>
          </w:p>
        </w:tc>
      </w:tr>
      <w:tr>
        <w:trPr>
          <w:trHeight w:val="251"/>
        </w:trPr>
        <w:tc>
          <w:tcPr>
            <w:tcW w:w="6960" w:type="dxa"/>
            <w:vAlign w:val="bottom"/>
          </w:tcPr>
          <w:p>
            <w:pPr>
              <w:ind w:left="80"/>
              <w:spacing w:after="0"/>
              <w:rPr>
                <w:sz w:val="20"/>
                <w:szCs w:val="20"/>
                <w:color w:val="auto"/>
              </w:rPr>
            </w:pPr>
            <w:r>
              <w:rPr>
                <w:rFonts w:ascii="Arial" w:cs="Arial" w:eastAsia="Arial" w:hAnsi="Arial"/>
                <w:sz w:val="16"/>
                <w:szCs w:val="16"/>
                <w:color w:val="auto"/>
              </w:rPr>
              <w:t>All Other Fees (2)</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122,000</w:t>
            </w:r>
          </w:p>
        </w:tc>
      </w:tr>
      <w:tr>
        <w:trPr>
          <w:trHeight w:val="251"/>
        </w:trPr>
        <w:tc>
          <w:tcPr>
            <w:tcW w:w="6960" w:type="dxa"/>
            <w:vAlign w:val="bottom"/>
            <w:shd w:val="clear" w:color="auto" w:fill="EDEDED"/>
          </w:tcPr>
          <w:p>
            <w:pPr>
              <w:jc w:val="right"/>
              <w:ind w:right="5901"/>
              <w:spacing w:after="0"/>
              <w:rPr>
                <w:sz w:val="20"/>
                <w:szCs w:val="20"/>
                <w:color w:val="auto"/>
              </w:rPr>
            </w:pPr>
            <w:r>
              <w:rPr>
                <w:rFonts w:ascii="Arial" w:cs="Arial" w:eastAsia="Arial" w:hAnsi="Arial"/>
                <w:sz w:val="16"/>
                <w:szCs w:val="16"/>
                <w:color w:val="auto"/>
              </w:rPr>
              <w:t>Total Fees</w:t>
            </w:r>
          </w:p>
        </w:tc>
        <w:tc>
          <w:tcPr>
            <w:tcW w:w="1300" w:type="dxa"/>
            <w:vAlign w:val="bottom"/>
            <w:shd w:val="clear" w:color="auto" w:fill="EDEDED"/>
          </w:tcPr>
          <w:p>
            <w:pPr>
              <w:jc w:val="right"/>
              <w:ind w:right="81"/>
              <w:spacing w:after="0"/>
              <w:rPr>
                <w:sz w:val="20"/>
                <w:szCs w:val="20"/>
                <w:color w:val="auto"/>
              </w:rPr>
            </w:pPr>
            <w:r>
              <w:rPr>
                <w:rFonts w:ascii="Arial" w:cs="Arial" w:eastAsia="Arial" w:hAnsi="Arial"/>
                <w:sz w:val="16"/>
                <w:szCs w:val="16"/>
                <w:color w:val="auto"/>
                <w:shd w:val="clear" w:color="auto" w:fill="EDEDED"/>
              </w:rPr>
              <w:t>$3,888,907</w:t>
            </w:r>
          </w:p>
        </w:tc>
        <w:tc>
          <w:tcPr>
            <w:tcW w:w="260" w:type="dxa"/>
            <w:vAlign w:val="bottom"/>
            <w:shd w:val="clear" w:color="auto" w:fill="EDEDED"/>
          </w:tcPr>
          <w:p>
            <w:pPr>
              <w:jc w:val="right"/>
              <w:spacing w:after="0"/>
              <w:rPr>
                <w:sz w:val="20"/>
                <w:szCs w:val="20"/>
                <w:color w:val="auto"/>
              </w:rPr>
            </w:pPr>
            <w:r>
              <w:rPr>
                <w:rFonts w:ascii="Arial" w:cs="Arial" w:eastAsia="Arial" w:hAnsi="Arial"/>
                <w:sz w:val="16"/>
                <w:szCs w:val="16"/>
                <w:color w:val="auto"/>
                <w:shd w:val="clear" w:color="auto" w:fill="EDEDED"/>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6"/>
                <w:szCs w:val="16"/>
                <w:color w:val="auto"/>
                <w:w w:val="98"/>
                <w:shd w:val="clear" w:color="auto" w:fill="EDEDED"/>
              </w:rPr>
              <w:t>4,918,570</w:t>
            </w:r>
          </w:p>
        </w:tc>
      </w:tr>
    </w:tbl>
    <w:p>
      <w:pPr>
        <w:spacing w:after="0" w:line="131" w:lineRule="exact"/>
        <w:rPr>
          <w:sz w:val="20"/>
          <w:szCs w:val="20"/>
          <w:color w:val="auto"/>
        </w:rPr>
      </w:pPr>
    </w:p>
    <w:p>
      <w:pPr>
        <w:ind w:left="440" w:right="260" w:hanging="324"/>
        <w:spacing w:after="0" w:line="243" w:lineRule="auto"/>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“Audit Fees” include fees incurred for the audit of the Company’s annual financial statements, review of financial statements included in the Company’s quarterly reports on Form 10-Q, and services that were normally provided by Deloitte in connection with statutory and regulatory filings or engagements.</w:t>
      </w:r>
    </w:p>
    <w:p>
      <w:pPr>
        <w:spacing w:after="0" w:line="48" w:lineRule="exact"/>
        <w:rPr>
          <w:rFonts w:ascii="Arial" w:cs="Arial" w:eastAsia="Arial" w:hAnsi="Arial"/>
          <w:sz w:val="13"/>
          <w:szCs w:val="13"/>
          <w:color w:val="auto"/>
        </w:rPr>
      </w:pPr>
    </w:p>
    <w:p>
      <w:pPr>
        <w:ind w:left="440" w:hanging="324"/>
        <w:spacing w:after="0"/>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Other Fees” consisted of accounting software pre-implementation assistance, accounting research software and professional development services.</w:t>
      </w:r>
    </w:p>
    <w:p>
      <w:pPr>
        <w:spacing w:after="0" w:line="97"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All audit and non-audit services to be performed by our independent registered public accounting firm must be approved in advance by the Audit Committee. As permitted by SEC rules, the Audit Committee also has delegated to each of its members, acting singly, the authority to pre-approve any audit or non-audit services if the need for pre-approval arises between regularly scheduled meetings. Such interim approvals, together with full documentation, are presented to the Audit Committee at its next scheduled meeting.</w:t>
      </w:r>
    </w:p>
    <w:p>
      <w:pPr>
        <w:spacing w:after="0" w:line="97"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As early as practicable in each fiscal year, the independent registered public accounting firm provides to the Audit Committee a schedule of the audit and other services that the independent registered public accounting firm expects to provide or may provide during the year. The schedule must be specific as to the nature of the proposed services, the proposed fees and other details that the Audit Committee may request. The Audit Committee will by resolution authorize or decline the proposed services. Upon approval, this schedule will serve as the budget for fees by specific activity or service for the year. A schedule of additional services proposed to be provided by the independent registered public accounting firm, or proposed revisions to services already approved, along with associated proposed fees, may be presented to the Audit Committee for their consideration and approval at any time. The schedule must be specific as to the nature of the proposed service, the proposed fee, and other details that the Audit Committee may request. The Audit Committee will by resolution authorize or decline authorization for each proposed new service. The Audit Committee pre-approved all fees incurred by Deloitte in 2025.</w:t>
      </w:r>
    </w:p>
    <w:p>
      <w:pPr>
        <w:spacing w:after="0" w:line="310"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auto"/>
        </w:rPr>
        <w:t>Applicable SEC rules and regulations permit waivers of the pre-approval requirements for services other than audit, review or attest services if certain conditions are met. The Audit Committee has considered the compatibility of non-audit services performed by Deloitte with its independence and has concluded that the provision of non-audit services by Deloitte is compatible with that firm maintaining its independence from us and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identifies our current named executive officers, who are all our executive officers: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288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 xml:space="preserve">Name                                        </w:t>
            </w:r>
          </w:p>
        </w:tc>
        <w:tc>
          <w:tcPr>
            <w:tcW w:w="8140" w:type="dxa"/>
            <w:vAlign w:val="bottom"/>
            <w:shd w:val="clear" w:color="auto" w:fill="0BC11C"/>
          </w:tcPr>
          <w:p>
            <w:pPr>
              <w:ind w:left="100"/>
              <w:spacing w:after="0"/>
              <w:rPr>
                <w:sz w:val="20"/>
                <w:szCs w:val="20"/>
                <w:color w:val="auto"/>
              </w:rPr>
            </w:pPr>
            <w:r>
              <w:rPr>
                <w:rFonts w:ascii="Arial" w:cs="Arial" w:eastAsia="Arial" w:hAnsi="Arial"/>
                <w:sz w:val="14"/>
                <w:szCs w:val="14"/>
                <w:b w:val="1"/>
                <w:bCs w:val="1"/>
                <w:color w:val="FFFFFF"/>
              </w:rPr>
              <w:t>Biographical Information</w:t>
            </w:r>
          </w:p>
        </w:tc>
      </w:tr>
      <w:tr>
        <w:trPr>
          <w:trHeight w:val="83"/>
        </w:trPr>
        <w:tc>
          <w:tcPr>
            <w:tcW w:w="2880" w:type="dxa"/>
            <w:vAlign w:val="bottom"/>
            <w:shd w:val="clear" w:color="auto" w:fill="0BC11C"/>
          </w:tcPr>
          <w:p>
            <w:pPr>
              <w:spacing w:after="0"/>
              <w:rPr>
                <w:sz w:val="7"/>
                <w:szCs w:val="7"/>
                <w:color w:val="auto"/>
              </w:rPr>
            </w:pPr>
          </w:p>
        </w:tc>
        <w:tc>
          <w:tcPr>
            <w:tcW w:w="8140" w:type="dxa"/>
            <w:vAlign w:val="bottom"/>
            <w:shd w:val="clear" w:color="auto" w:fill="0BC11C"/>
          </w:tcPr>
          <w:p>
            <w:pPr>
              <w:spacing w:after="0"/>
              <w:rPr>
                <w:sz w:val="7"/>
                <w:szCs w:val="7"/>
                <w:color w:val="auto"/>
              </w:rPr>
            </w:pPr>
          </w:p>
        </w:tc>
      </w:tr>
      <w:tr>
        <w:trPr>
          <w:trHeight w:val="242"/>
        </w:trPr>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Anshul Thakral</w:t>
            </w:r>
          </w:p>
        </w:tc>
        <w:tc>
          <w:tcPr>
            <w:tcW w:w="8140" w:type="dxa"/>
            <w:vAlign w:val="bottom"/>
          </w:tcPr>
          <w:p>
            <w:pPr>
              <w:ind w:left="100"/>
              <w:spacing w:after="0"/>
              <w:rPr>
                <w:sz w:val="20"/>
                <w:szCs w:val="20"/>
                <w:color w:val="auto"/>
              </w:rPr>
            </w:pPr>
            <w:r>
              <w:rPr>
                <w:rFonts w:ascii="Arial" w:cs="Arial" w:eastAsia="Arial" w:hAnsi="Arial"/>
                <w:sz w:val="16"/>
                <w:szCs w:val="16"/>
                <w:color w:val="auto"/>
              </w:rPr>
              <w:t>See biography on page 11 of this proxy statement.</w:t>
            </w:r>
          </w:p>
        </w:tc>
      </w:tr>
      <w:tr>
        <w:trPr>
          <w:trHeight w:val="191"/>
        </w:trPr>
        <w:tc>
          <w:tcPr>
            <w:tcW w:w="2880" w:type="dxa"/>
            <w:vAlign w:val="bottom"/>
          </w:tcPr>
          <w:p>
            <w:pPr>
              <w:ind w:left="60"/>
              <w:spacing w:after="0"/>
              <w:rPr>
                <w:sz w:val="20"/>
                <w:szCs w:val="20"/>
                <w:color w:val="auto"/>
              </w:rPr>
            </w:pPr>
            <w:r>
              <w:rPr>
                <w:rFonts w:ascii="Arial" w:cs="Arial" w:eastAsia="Arial" w:hAnsi="Arial"/>
                <w:sz w:val="16"/>
                <w:szCs w:val="16"/>
                <w:color w:val="auto"/>
              </w:rPr>
              <w:t>Age: 48</w:t>
            </w:r>
          </w:p>
        </w:tc>
        <w:tc>
          <w:tcPr>
            <w:tcW w:w="8140" w:type="dxa"/>
            <w:vAlign w:val="bottom"/>
          </w:tcPr>
          <w:p>
            <w:pPr>
              <w:spacing w:after="0"/>
              <w:rPr>
                <w:sz w:val="16"/>
                <w:szCs w:val="16"/>
                <w:color w:val="auto"/>
              </w:rPr>
            </w:pPr>
          </w:p>
        </w:tc>
      </w:tr>
      <w:tr>
        <w:trPr>
          <w:trHeight w:val="213"/>
        </w:trPr>
        <w:tc>
          <w:tcPr>
            <w:tcW w:w="2880" w:type="dxa"/>
            <w:vAlign w:val="bottom"/>
          </w:tcPr>
          <w:p>
            <w:pPr>
              <w:ind w:left="60"/>
              <w:spacing w:after="0"/>
              <w:rPr>
                <w:sz w:val="20"/>
                <w:szCs w:val="20"/>
                <w:color w:val="auto"/>
              </w:rPr>
            </w:pPr>
            <w:r>
              <w:rPr>
                <w:rFonts w:ascii="Arial" w:cs="Arial" w:eastAsia="Arial" w:hAnsi="Arial"/>
                <w:sz w:val="16"/>
                <w:szCs w:val="16"/>
                <w:i w:val="1"/>
                <w:iCs w:val="1"/>
                <w:color w:val="auto"/>
              </w:rPr>
              <w:t>Chief Executive Officer and Director</w:t>
            </w:r>
          </w:p>
        </w:tc>
        <w:tc>
          <w:tcPr>
            <w:tcW w:w="8140" w:type="dxa"/>
            <w:vAlign w:val="bottom"/>
          </w:tcPr>
          <w:p>
            <w:pPr>
              <w:spacing w:after="0"/>
              <w:rPr>
                <w:sz w:val="18"/>
                <w:szCs w:val="18"/>
                <w:color w:val="auto"/>
              </w:rPr>
            </w:pPr>
          </w:p>
        </w:tc>
      </w:tr>
      <w:tr>
        <w:trPr>
          <w:trHeight w:val="29"/>
        </w:trPr>
        <w:tc>
          <w:tcPr>
            <w:tcW w:w="2880" w:type="dxa"/>
            <w:vAlign w:val="bottom"/>
          </w:tcPr>
          <w:p>
            <w:pPr>
              <w:spacing w:after="0"/>
              <w:rPr>
                <w:sz w:val="2"/>
                <w:szCs w:val="2"/>
                <w:color w:val="auto"/>
              </w:rPr>
            </w:pPr>
          </w:p>
        </w:tc>
        <w:tc>
          <w:tcPr>
            <w:tcW w:w="8140" w:type="dxa"/>
            <w:vAlign w:val="bottom"/>
          </w:tcPr>
          <w:p>
            <w:pPr>
              <w:spacing w:after="0"/>
              <w:rPr>
                <w:sz w:val="2"/>
                <w:szCs w:val="2"/>
                <w:color w:val="auto"/>
              </w:rPr>
            </w:pPr>
          </w:p>
        </w:tc>
      </w:tr>
      <w:tr>
        <w:trPr>
          <w:trHeight w:val="242"/>
        </w:trPr>
        <w:tc>
          <w:tcPr>
            <w:tcW w:w="28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Jill McConnell</w:t>
            </w: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Jill McConnell has served as our Chief Financial Officer since the Spin and previously served as Chief Financial</w:t>
            </w:r>
          </w:p>
        </w:tc>
      </w:tr>
      <w:tr>
        <w:trPr>
          <w:trHeight w:val="189"/>
        </w:trPr>
        <w:tc>
          <w:tcPr>
            <w:tcW w:w="2880" w:type="dxa"/>
            <w:vAlign w:val="bottom"/>
            <w:shd w:val="clear" w:color="auto" w:fill="EDEDED"/>
          </w:tcPr>
          <w:p>
            <w:pPr>
              <w:ind w:left="60"/>
              <w:spacing w:after="0"/>
              <w:rPr>
                <w:sz w:val="20"/>
                <w:szCs w:val="20"/>
                <w:color w:val="auto"/>
              </w:rPr>
            </w:pPr>
            <w:r>
              <w:rPr>
                <w:rFonts w:ascii="Arial" w:cs="Arial" w:eastAsia="Arial" w:hAnsi="Arial"/>
                <w:sz w:val="16"/>
                <w:szCs w:val="16"/>
                <w:color w:val="auto"/>
              </w:rPr>
              <w:t>Age: 52</w:t>
            </w: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Officer of the Labcorp Drug Development segment since 2018. In the approximately 20 years prior to 2018,</w:t>
            </w:r>
          </w:p>
        </w:tc>
      </w:tr>
      <w:tr>
        <w:trPr>
          <w:trHeight w:val="189"/>
        </w:trPr>
        <w:tc>
          <w:tcPr>
            <w:tcW w:w="2880" w:type="dxa"/>
            <w:vAlign w:val="bottom"/>
            <w:shd w:val="clear" w:color="auto" w:fill="EDEDED"/>
          </w:tcPr>
          <w:p>
            <w:pPr>
              <w:ind w:left="60"/>
              <w:spacing w:after="0"/>
              <w:rPr>
                <w:sz w:val="20"/>
                <w:szCs w:val="20"/>
                <w:color w:val="auto"/>
              </w:rPr>
            </w:pPr>
            <w:r>
              <w:rPr>
                <w:rFonts w:ascii="Arial" w:cs="Arial" w:eastAsia="Arial" w:hAnsi="Arial"/>
                <w:sz w:val="16"/>
                <w:szCs w:val="16"/>
                <w:i w:val="1"/>
                <w:iCs w:val="1"/>
                <w:color w:val="auto"/>
              </w:rPr>
              <w:t>Chief Financial Officer</w:t>
            </w: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Ms. McConnell served in a variety of finance roles of increasing responsibility at GSK, a British multinational</w:t>
            </w:r>
          </w:p>
        </w:tc>
      </w:tr>
      <w:tr>
        <w:trPr>
          <w:trHeight w:val="189"/>
        </w:trPr>
        <w:tc>
          <w:tcPr>
            <w:tcW w:w="2880" w:type="dxa"/>
            <w:vAlign w:val="bottom"/>
            <w:shd w:val="clear" w:color="auto" w:fill="EDEDED"/>
          </w:tcPr>
          <w:p>
            <w:pPr>
              <w:spacing w:after="0"/>
              <w:rPr>
                <w:sz w:val="16"/>
                <w:szCs w:val="16"/>
                <w:color w:val="auto"/>
              </w:rPr>
            </w:pP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pharmaceutical and biotechnology company, including Senior Vice President and Chief Financial Officer of its</w:t>
            </w:r>
          </w:p>
        </w:tc>
      </w:tr>
      <w:tr>
        <w:trPr>
          <w:trHeight w:val="189"/>
        </w:trPr>
        <w:tc>
          <w:tcPr>
            <w:tcW w:w="2880" w:type="dxa"/>
            <w:vAlign w:val="bottom"/>
            <w:shd w:val="clear" w:color="auto" w:fill="EDEDED"/>
          </w:tcPr>
          <w:p>
            <w:pPr>
              <w:spacing w:after="0"/>
              <w:rPr>
                <w:sz w:val="16"/>
                <w:szCs w:val="16"/>
                <w:color w:val="auto"/>
              </w:rPr>
            </w:pP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ViiV Healthcare division and Vice President and Head of Finance of its US Pharmaceuticals division, among</w:t>
            </w:r>
          </w:p>
        </w:tc>
      </w:tr>
      <w:tr>
        <w:trPr>
          <w:trHeight w:val="189"/>
        </w:trPr>
        <w:tc>
          <w:tcPr>
            <w:tcW w:w="2880" w:type="dxa"/>
            <w:vAlign w:val="bottom"/>
            <w:shd w:val="clear" w:color="auto" w:fill="EDEDED"/>
          </w:tcPr>
          <w:p>
            <w:pPr>
              <w:spacing w:after="0"/>
              <w:rPr>
                <w:sz w:val="16"/>
                <w:szCs w:val="16"/>
                <w:color w:val="auto"/>
              </w:rPr>
            </w:pP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others. Ms. McConnell earned her Bachelor of Arts degree from Gettysburg College, and her Master of</w:t>
            </w:r>
          </w:p>
        </w:tc>
      </w:tr>
      <w:tr>
        <w:trPr>
          <w:trHeight w:val="230"/>
        </w:trPr>
        <w:tc>
          <w:tcPr>
            <w:tcW w:w="2880" w:type="dxa"/>
            <w:vAlign w:val="bottom"/>
            <w:shd w:val="clear" w:color="auto" w:fill="EDEDED"/>
          </w:tcPr>
          <w:p>
            <w:pPr>
              <w:spacing w:after="0"/>
              <w:rPr>
                <w:sz w:val="20"/>
                <w:szCs w:val="20"/>
                <w:color w:val="auto"/>
              </w:rPr>
            </w:pPr>
          </w:p>
        </w:tc>
        <w:tc>
          <w:tcPr>
            <w:tcW w:w="81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Business Administration and Management, Health &amp; Medical Services from Saint Joseph’s University.</w:t>
            </w:r>
          </w:p>
        </w:tc>
      </w:tr>
      <w:tr>
        <w:trPr>
          <w:trHeight w:val="242"/>
        </w:trPr>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Mark Morais,</w:t>
            </w:r>
          </w:p>
        </w:tc>
        <w:tc>
          <w:tcPr>
            <w:tcW w:w="8140" w:type="dxa"/>
            <w:vAlign w:val="bottom"/>
          </w:tcPr>
          <w:p>
            <w:pPr>
              <w:ind w:left="100"/>
              <w:spacing w:after="0"/>
              <w:rPr>
                <w:sz w:val="20"/>
                <w:szCs w:val="20"/>
                <w:color w:val="auto"/>
              </w:rPr>
            </w:pPr>
            <w:r>
              <w:rPr>
                <w:rFonts w:ascii="Arial" w:cs="Arial" w:eastAsia="Arial" w:hAnsi="Arial"/>
                <w:sz w:val="16"/>
                <w:szCs w:val="16"/>
                <w:color w:val="auto"/>
              </w:rPr>
              <w:t>Mark Morais has served as our Chief Operating Officer and President, Clinical Services, since the Spin.</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color w:val="auto"/>
              </w:rPr>
              <w:t>Age: 50</w:t>
            </w:r>
          </w:p>
        </w:tc>
        <w:tc>
          <w:tcPr>
            <w:tcW w:w="8140" w:type="dxa"/>
            <w:vAlign w:val="bottom"/>
          </w:tcPr>
          <w:p>
            <w:pPr>
              <w:ind w:left="100"/>
              <w:spacing w:after="0"/>
              <w:rPr>
                <w:sz w:val="20"/>
                <w:szCs w:val="20"/>
                <w:color w:val="auto"/>
              </w:rPr>
            </w:pPr>
            <w:r>
              <w:rPr>
                <w:rFonts w:ascii="Arial" w:cs="Arial" w:eastAsia="Arial" w:hAnsi="Arial"/>
                <w:sz w:val="16"/>
                <w:szCs w:val="16"/>
                <w:color w:val="auto"/>
              </w:rPr>
              <w:t>Previously, Mr. Morais served as President of Clinical Services and Commercial Solutions, within the Labcorp</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i w:val="1"/>
                <w:iCs w:val="1"/>
                <w:color w:val="auto"/>
              </w:rPr>
              <w:t>Chief Operating Officer and President,</w:t>
            </w:r>
          </w:p>
        </w:tc>
        <w:tc>
          <w:tcPr>
            <w:tcW w:w="8140" w:type="dxa"/>
            <w:vAlign w:val="bottom"/>
          </w:tcPr>
          <w:p>
            <w:pPr>
              <w:ind w:left="100"/>
              <w:spacing w:after="0"/>
              <w:rPr>
                <w:sz w:val="20"/>
                <w:szCs w:val="20"/>
                <w:color w:val="auto"/>
              </w:rPr>
            </w:pPr>
            <w:r>
              <w:rPr>
                <w:rFonts w:ascii="Arial" w:cs="Arial" w:eastAsia="Arial" w:hAnsi="Arial"/>
                <w:sz w:val="16"/>
                <w:szCs w:val="16"/>
                <w:color w:val="auto"/>
              </w:rPr>
              <w:t>Drug Development segment, since September 2020 and Chief Operating Officer and President of Clinical</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i w:val="1"/>
                <w:iCs w:val="1"/>
                <w:color w:val="auto"/>
              </w:rPr>
              <w:t>Clinical Services</w:t>
            </w:r>
          </w:p>
        </w:tc>
        <w:tc>
          <w:tcPr>
            <w:tcW w:w="8140" w:type="dxa"/>
            <w:vAlign w:val="bottom"/>
          </w:tcPr>
          <w:p>
            <w:pPr>
              <w:ind w:left="100"/>
              <w:spacing w:after="0"/>
              <w:rPr>
                <w:sz w:val="20"/>
                <w:szCs w:val="20"/>
                <w:color w:val="auto"/>
              </w:rPr>
            </w:pPr>
            <w:r>
              <w:rPr>
                <w:rFonts w:ascii="Arial" w:cs="Arial" w:eastAsia="Arial" w:hAnsi="Arial"/>
                <w:sz w:val="16"/>
                <w:szCs w:val="16"/>
                <w:color w:val="auto"/>
              </w:rPr>
              <w:t>Development and Commercialization Services, since October 2022. Prior to September 2020, Mr. Morais</w:t>
            </w:r>
          </w:p>
        </w:tc>
      </w:tr>
      <w:tr>
        <w:trPr>
          <w:trHeight w:val="189"/>
        </w:trPr>
        <w:tc>
          <w:tcPr>
            <w:tcW w:w="288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6"/>
                <w:szCs w:val="16"/>
                <w:color w:val="auto"/>
              </w:rPr>
              <w:t>served as Senior Vice President Strategic Deal Development, Enterprise Client Solutions and Alliance</w:t>
            </w:r>
          </w:p>
        </w:tc>
      </w:tr>
      <w:tr>
        <w:trPr>
          <w:trHeight w:val="189"/>
        </w:trPr>
        <w:tc>
          <w:tcPr>
            <w:tcW w:w="288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6"/>
                <w:szCs w:val="16"/>
                <w:color w:val="auto"/>
              </w:rPr>
              <w:t>Management at Covance, Labcorp’s drug development company, from May 2018 to September 2020 and from</w:t>
            </w:r>
          </w:p>
        </w:tc>
      </w:tr>
      <w:tr>
        <w:trPr>
          <w:trHeight w:val="189"/>
        </w:trPr>
        <w:tc>
          <w:tcPr>
            <w:tcW w:w="288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6"/>
                <w:szCs w:val="16"/>
                <w:color w:val="auto"/>
              </w:rPr>
              <w:t>June 2017 to May 2018 he served as Covance’s Vice President of Strategic Deal Development and Pricing.</w:t>
            </w:r>
          </w:p>
        </w:tc>
      </w:tr>
      <w:tr>
        <w:trPr>
          <w:trHeight w:val="189"/>
        </w:trPr>
        <w:tc>
          <w:tcPr>
            <w:tcW w:w="2880" w:type="dxa"/>
            <w:vAlign w:val="bottom"/>
          </w:tcPr>
          <w:p>
            <w:pPr>
              <w:spacing w:after="0"/>
              <w:rPr>
                <w:sz w:val="16"/>
                <w:szCs w:val="16"/>
                <w:color w:val="auto"/>
              </w:rPr>
            </w:pPr>
          </w:p>
        </w:tc>
        <w:tc>
          <w:tcPr>
            <w:tcW w:w="8140" w:type="dxa"/>
            <w:vAlign w:val="bottom"/>
          </w:tcPr>
          <w:p>
            <w:pPr>
              <w:ind w:left="100"/>
              <w:spacing w:after="0"/>
              <w:rPr>
                <w:sz w:val="20"/>
                <w:szCs w:val="20"/>
                <w:color w:val="auto"/>
              </w:rPr>
            </w:pPr>
            <w:r>
              <w:rPr>
                <w:rFonts w:ascii="Arial" w:cs="Arial" w:eastAsia="Arial" w:hAnsi="Arial"/>
                <w:sz w:val="16"/>
                <w:szCs w:val="16"/>
                <w:color w:val="auto"/>
              </w:rPr>
              <w:t>Prior to Covance, Mr. Morais served in various positions of increasing responsibility at Quintiles from April 2001</w:t>
            </w:r>
          </w:p>
        </w:tc>
      </w:tr>
      <w:tr>
        <w:trPr>
          <w:trHeight w:val="215"/>
        </w:trPr>
        <w:tc>
          <w:tcPr>
            <w:tcW w:w="2880" w:type="dxa"/>
            <w:vAlign w:val="bottom"/>
          </w:tcPr>
          <w:p>
            <w:pPr>
              <w:spacing w:after="0"/>
              <w:rPr>
                <w:sz w:val="18"/>
                <w:szCs w:val="18"/>
                <w:color w:val="auto"/>
              </w:rPr>
            </w:pPr>
          </w:p>
        </w:tc>
        <w:tc>
          <w:tcPr>
            <w:tcW w:w="8140" w:type="dxa"/>
            <w:vAlign w:val="bottom"/>
          </w:tcPr>
          <w:p>
            <w:pPr>
              <w:ind w:left="100"/>
              <w:spacing w:after="0"/>
              <w:rPr>
                <w:sz w:val="20"/>
                <w:szCs w:val="20"/>
                <w:color w:val="auto"/>
              </w:rPr>
            </w:pPr>
            <w:r>
              <w:rPr>
                <w:rFonts w:ascii="Arial" w:cs="Arial" w:eastAsia="Arial" w:hAnsi="Arial"/>
                <w:sz w:val="16"/>
                <w:szCs w:val="16"/>
                <w:color w:val="auto"/>
              </w:rPr>
              <w:t>to 2017. Mr. Morais earned his Bachelor of Science degree from North Carolina State University.</w:t>
            </w:r>
          </w:p>
        </w:tc>
      </w:tr>
      <w:tr>
        <w:trPr>
          <w:trHeight w:val="178"/>
        </w:trPr>
        <w:tc>
          <w:tcPr>
            <w:tcW w:w="2880" w:type="dxa"/>
            <w:vAlign w:val="bottom"/>
            <w:tcBorders>
              <w:bottom w:val="single" w:sz="8" w:color="0BC11C"/>
            </w:tcBorders>
          </w:tcPr>
          <w:p>
            <w:pPr>
              <w:spacing w:after="0"/>
              <w:rPr>
                <w:sz w:val="15"/>
                <w:szCs w:val="15"/>
                <w:color w:val="auto"/>
              </w:rPr>
            </w:pPr>
          </w:p>
        </w:tc>
        <w:tc>
          <w:tcPr>
            <w:tcW w:w="8140" w:type="dxa"/>
            <w:vAlign w:val="bottom"/>
            <w:tcBorders>
              <w:bottom w:val="single" w:sz="8" w:color="0BC11C"/>
            </w:tcBorders>
          </w:tcPr>
          <w:p>
            <w:pPr>
              <w:spacing w:after="0"/>
              <w:rPr>
                <w:sz w:val="15"/>
                <w:szCs w:val="15"/>
                <w:color w:val="auto"/>
              </w:rPr>
            </w:pPr>
          </w:p>
        </w:tc>
      </w:tr>
      <w:tr>
        <w:trPr>
          <w:trHeight w:val="221"/>
        </w:trPr>
        <w:tc>
          <w:tcPr>
            <w:tcW w:w="2880" w:type="dxa"/>
            <w:vAlign w:val="bottom"/>
          </w:tcPr>
          <w:p>
            <w:pPr>
              <w:spacing w:after="0"/>
              <w:rPr>
                <w:sz w:val="20"/>
                <w:szCs w:val="20"/>
                <w:color w:val="auto"/>
              </w:rPr>
            </w:pPr>
            <w:r>
              <w:rPr>
                <w:rFonts w:ascii="Arial" w:cs="Arial" w:eastAsia="Arial" w:hAnsi="Arial"/>
                <w:sz w:val="14"/>
                <w:szCs w:val="14"/>
                <w:b w:val="1"/>
                <w:bCs w:val="1"/>
                <w:color w:val="0BC11C"/>
              </w:rPr>
              <w:t>18</w:t>
            </w:r>
            <w:r>
              <w:rPr>
                <w:rFonts w:ascii="Arial" w:cs="Arial" w:eastAsia="Arial" w:hAnsi="Arial"/>
                <w:sz w:val="12"/>
                <w:szCs w:val="12"/>
                <w:color w:val="000000"/>
              </w:rPr>
              <w:t xml:space="preserve">   2026 Proxy Statement  •  FORTREA</w:t>
            </w:r>
          </w:p>
        </w:tc>
        <w:tc>
          <w:tcPr>
            <w:tcW w:w="8140" w:type="dxa"/>
            <w:vAlign w:val="bottom"/>
          </w:tcPr>
          <w:p>
            <w:pPr>
              <w:spacing w:after="0"/>
              <w:rPr>
                <w:sz w:val="19"/>
                <w:szCs w:val="19"/>
                <w:color w:val="auto"/>
              </w:rPr>
            </w:pP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 xml:space="preserve">Our Board has adopted Corporate Governance Guidelines, a Code of Conduct and Ethics, a Supplier Code of Conduct, and charters for our Audit Committee, Management Development and Compensation Committee, and Nominating, Corporate Governance and Compliance Committee to assist the Board in the exercise of its responsibilities and to serve as a framework for the effective governance of the Company. You can access our current committee charters, our Corporate Governance Guidelines, our Code of Conduct and Ethics, and our Supplier Code of Conduct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or by writing to our Corporate Secretary at our offices at 8 Moore Drive, Durham, North Carolina 27713.</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Our Board currently consists of eight members: Peter M. Neupert, Anshul Thakral, Edward Pesicka, Dr. Amrit Ray, Erin L. Russell, Machelle Sanders, William Sharbaugh, and David Smith. As set forth in our Amended and Restated Certificate of Incorporation, the Board is currently divided into three classes with staggered, three-year terms that will transition to a Board that is not classified as of the 2028 Annual Meeting. As part of that transition, at the Annual Meeting, the Class III directors will be elected for a term of office to expire at the 2028 Annual Meeting. At the 2027 Annual Meeting, the Class I directors will be elected for a term of office to expire at the 2028 Annual Meeting. Commencing at the 2028 Annual Meeting of Stockholders and at all subsequent Annual Meetings, the Board will no longer be classified, and all directors will be elected for a term of office to expire at the next succeeding Annual Meeting. Our Amended and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terms ending at the 2028 Annual Meeting may delay or prevent a change of management or a change in control of our Company. Our directors may be removed only for cause, at a meeting called for that purpose.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All our current directors (and our former directors who served during 2025), other than Anshul Thakral and Thomas Pike, qualify as “independent” in accordance with the listing requirements of Nasdaq. While Mr. Neupert previously served as Interim Chief Executive Officer, he ceased serving in that capacity effective as of August 4, 2025, and such service on an interim basis did not disqualify him from being considered independent following such service, as the interim service did not last longer than one year.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Mr. Thakral is not independent because he is the Chief Executive Officer of Fortrea and Mr. Pike was not independent because he served as Chief Executive Officer of Fortrea while serving as a director.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Candidates</w:t>
      </w:r>
    </w:p>
    <w:p>
      <w:pPr>
        <w:spacing w:after="0" w:line="10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In June 2023, the Board established a Nominating, Corporate Governance and Compliance Committee and adopted a committee charter. For more information, see “Committees of the Board—Nominating, Corporate Governance and Compliance Committee.”</w:t>
      </w:r>
    </w:p>
    <w:p>
      <w:pPr>
        <w:spacing w:after="0" w:line="75"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With respect to facilitating the search process for director candidates, the Nominating, Corporate Governance and Compliance Committee has the sole authority to retain and terminate any search firm to be used to identify director candidates, including the sole authority to approve the search firm’s fees and other retention terms. The Nominating, Corporate 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3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Compliance Committee also has the authority to obtain advice and assistance from internal or outside legal, accounting or other advisors. Once potential candidates are identified, the Nominating, Corporate Governance and Compliance Committee evaluates the qualifications of potential candidates for director, including any nominees submitted by stockholders under and in accordance with the provisions of our bylaws and applicable laws and regulations.</w:t>
      </w:r>
    </w:p>
    <w:p>
      <w:pPr>
        <w:spacing w:after="0" w:line="97"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evaluating the suitability of individual candidates, the Nominating, Corporate Governance and Compliance Committee may consider many factors, including: (i) minimum individual qualifications, including a high level of personal and professional integrity, strong ethics and values and the ability to make mature business judgments, and (ii) all other factors it considers appropriate, which may include experience in corporate management, experience as a board member of other public companies, relevant professional or academic experience, leadership skills, financial and accounting background, executive compensation background, and whether the candidate has the time required to fully participate as a director of the Company. The Nominating, Corporate Governance and Compliance Committee values and includes diversity of backgrounds, skills, age, tenure, and expertise as part of its search criteria, consistent with its commitment to select director candidates with relevant and diverse experience, skills and industry familiarity. Our Corporate Governance Guidelines provide that the Board should monitor the mix of specific experience, qualifications and skills of its directors in order to assure that the Board, as a whole, has the necessary tools to perform its oversight function effectively in light of our business and structure.</w:t>
      </w:r>
    </w:p>
    <w:p>
      <w:pPr>
        <w:spacing w:after="0" w:line="118"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Stockholders may nominate individuals to the Board for consideration as potential director candidates by submitting the names of the recommended individuals, together with all information with respect to such proposed nominee required to be set forth in a stockholder’s notice pursuant to Bylaw 10(b) (i), all information relating to such proposed nominee that would be required to be disclosed in a proxy statement or other filing required pursuant to Section 14(a) under the Exchange Act, a reasonably detailed description of all direct and indirect compensation and other material monetary agreements, arrangements or understandings during the past three years, a completed questionnaire with respect to the identity, background and qualification of the proposed nominee and the background of any other person or entity on whose behalf the nomination is being made, and a written representation and agreement pursuant to Bylaw 10(b)(ii)(E) and any other materials required by Bylaw 10(b) of our Bylaws, to the Board of Directors, c/o Corporate Secretary, Fortrea Holdings Inc., 8 Moore Drive, Durham, North Carolina 27713. Bylaw 10(b) of our Bylaws outlines the specific requirements for stockholders who wish to nominate individuals for election as directors. The nomination notice required by the Bylaws must be delivered not later than the 90th day, nor earlier than the 120th day prior to the first anniversary of the preceding year’s annual meeting, subject to the other conditions in the Bylaws. In the event there is a vacancy, and assuming that appropriate biographical and background material has been provided on a timely basis, the Board will evaluate stockholder recommended candidates by following substantially the same process, and applying substantially the same criteria, as it follows for candidates submitted by others.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Engagement</w:t>
      </w:r>
    </w:p>
    <w:p>
      <w:pPr>
        <w:spacing w:after="0" w:line="10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We value our stockholders’ perspectives and proactively engage with investors throughout the year to better understand the priorities and topics that matter most to them. Our stockholder engagement program includes a variety of outreach initiatives, including: (i) quarterly earnings releases accompanied by conference calls and webcasts; (ii) regular reports filed with the SEC, including annual and quarterly reports; (iii) participation in investor conferences and non-deal roadshows; (iv) in-person and virtual meetings with current and prospective investors and research analysts; and (v) proactive outreach to institutional investors, pension funds, and governance professionals.</w:t>
      </w:r>
    </w:p>
    <w:p>
      <w:pPr>
        <w:spacing w:after="0" w:line="112"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During 2025, we engaged with approximately 63% of our top 30 active stockholders, as well as with prospective investors that requested meetings or with whom we proactively initiated outreach. In addition to our quarterly earnings presentations, during 2025 we presented at four sell-side conferences and conducted one non-deal roadshow with institutional investors. In these engagements, we discussed our business results and initiatives, strategy, capital structure, and other matters important to our stockholders, including risk management and governance-related topics. Insights from these interactions are regularly shared with our Board and inform ongoing Board-level discussions and oversight.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from Stockholders</w:t>
      </w:r>
    </w:p>
    <w:p>
      <w:pPr>
        <w:spacing w:after="0" w:line="108"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Stockholders and other interested parties who desire to send a communication to members of the Board of Directors, its Chairman, its committees or any Director, may submit their communication by mail addressed to the attention of the Board of Directors, c/o Corporate Secretary, Fortrea Holdings Inc., 8 Moore Drive, Durham, North Carolina 27713.</w:t>
      </w:r>
    </w:p>
    <w:p>
      <w:pPr>
        <w:spacing w:after="0" w:line="90"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Any communication should clearly specify the intended recipient. The office of the Corporate Secretary will receive the correspondence and forward it to the intended recipient unless the communication is an advertisement or other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20</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1"/>
          <w:szCs w:val="21"/>
          <w:b w:val="1"/>
          <w:bCs w:val="1"/>
          <w:color w:val="auto"/>
        </w:rPr>
        <w:t>CORPORATE GOVERNANCE</w:t>
      </w:r>
    </w:p>
    <w:p>
      <w:pPr>
        <w:spacing w:after="0" w:line="383"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solicitation or communication, obviously frivolous or obscene, unduly hostile, threatening or illegal, or is related to trivial matters (in which case it will be delivered to the intended recipient for review at the next regularly scheduled Board meeting).</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08"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Our Board exercises its discretion in combining or separating the roles of Chairman of the Board and Chief Executive Officer as it deems appropriate in light of prevailing circumstances. We believe that we, like many U.S. companies, are well-served by a flexible leadership structure. Peter M. Neupert serves as independent Chairman of the Board and Anshul Thakral serves as our Chief Executive Officer. The Board believes that this leadership structure, separating the Chairman and Chief Executive Officer roles, is optimal at this time. With separate Chairman and Chief Executive Officer roles, our independent Chairman can lead the Board in the performance of its duties by establishing agendas, presiding at all meetings of the Board and executive sessions of non-management directors, engaging with the Chief Executive Officer and executive leadership team between Board meetings on business developments, and providing overall guidance to our Chief Executive Officer as to the Board’s views and perspectives, particularly on the strategic direction of Fortrea. However, our Board will continue to periodically review our leadership structure and may make such changes in the future as it deems appropriate. Our Board is comprised of individuals with extensive experience in finance, the healthcare industry and public company management and, with the exception of Mr. Thakral, is comprised of directors who meet the independence standards of Nasdaq.</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Our Corporate Governance Guidelines provide that, if the Company does not qualify as a “controlled company” within the meaning of the Nasdaq rules, whenever our Chairman is not an Independent Director, the Board will elect one of the Board’s Independent Directors to serve as the Lead Independent Director. The Lead Independent Director is responsible for coordinating the activities of the Independent Directors and shall perform such other duties and responsibilities as the Board may determine, including: presiding at executive sessions of the Board; reporting the results of the executive sessions to the Chairman; providing feedback from executive sessions to the Chairman; serving as a liaison between the Chairman and the other Directors; advising the Chairman with respect to the schedule, agenda and information for Board meetings; advising the Chairman with respect to consultants who report directly to the Board; and being available, as appropriate, to communicate with the Company’s stockholders. Appointment of a Lead Independent Director, however, is not intended to diminish the role of the Chairman of the Board or the various Committee Chairs or the interaction between the directors and the Chairman. The Chairman, who presides at all meetings of the Board, takes the lead role in the boardroom. The Chair of each Board committee takes the lead on matters falling within the committee’s purview. The full list of responsibilities of the Lead Independent Director (when appointed) may be found in our Corporate Governance Guidelines.</w:t>
      </w:r>
    </w:p>
    <w:p>
      <w:pPr>
        <w:spacing w:after="0" w:line="119"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Risk assessment and oversight are an integral part of our governance and management processes. Our management is responsible for our day-to-day risk management activities. Our Board oversees the implementation of risk mitigation strategies by management and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Examples of these risks include, but are not limited to, legal risks, economic risks, business operations risks, regulatory compliance risks, cybersecurity risks and reputational risks. With respect to the Board’s oversight of cybersecurity risks, which is set forth in greater detail below, the Board receives, at least twice per year, from management and our information systems officers, fulsome reports on our information systems, the cybersecurity landscape and cyber actors and threats.</w:t>
      </w:r>
    </w:p>
    <w:p>
      <w:pPr>
        <w:spacing w:after="0" w:line="115"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Throughout the year, senior management reviews these and other risks with the Board at regular board meetings as part of management presentations that focus on particular business functions, operations or strategies, and presents the steps taken by management to mitigate or eliminate such risks. Our Board is apprised of particular risk management matters in connection with its general oversight and approval of corporate matters and significant transactions. Our Board administers this oversight function directly through the Board as a whole, as well as through various standing committees of the Board that address risks inherent in their respective areas of oversight. The Board does not believe that its role in the oversight of our risks affects the Board’s leadership structure.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Board Evaluation</w:t>
      </w:r>
    </w:p>
    <w:p>
      <w:pPr>
        <w:spacing w:after="0" w:line="135"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Our Corporate Governance Guidelines require the Board to oversee a periodic assessment of the Board and its committees. The Board of Directors and committees conducted self-evaluations to assess the qualifications, attributes, skills and experience represented on the Board and to determine whether the Board and its committees are functioning effectively. The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372"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Corporate Governance and Compliance Committee received input on the Board’s performance from directors and, through its Chair, discussed the input with the full Board and oversaw the full Board’s review of its performance. The self-assessments focused on the Board’s and committees’ contribution to the Company and on areas in which the Board or management believes that the Board or any of its committees could improve. The Board and the Nominating, Corporate Governance and Compliance Committee will use the self-evaluations in making determinations regarding which directors will be nominated for election at the Annual Meeting. The Board and committee evaluation process also informs Board and committee composition, which includes evolution of the director skills and experience qualifications criteria to meet the current and anticipated needs of the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 and Ethics</w:t>
      </w:r>
    </w:p>
    <w:p>
      <w:pPr>
        <w:spacing w:after="0" w:line="135"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 xml:space="preserve">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In addition, we intend to post on our website all disclosures that are required by law or the rules of Nasdaq concerning any amendments to, or waivers from, any provision of the Code.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149"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There were ten (10) meetings of the Board during the fiscal year ended December 31, 2025. During the fiscal year ended December 31, 2025, all members of the Board of Directors attended all meetings of the Board and all non-employee directors attended all executive sessions of meetings of the Board without the presence of management.</w:t>
      </w:r>
    </w:p>
    <w:p>
      <w:pPr>
        <w:spacing w:after="0" w:line="10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 xml:space="preserve">Under our Corporate Governance Guidelines, which are available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directors are expected to devote the time necessary to appropriately discharge their responsibilities and to prepare for and,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possible, attend and participate in all meetings of the Board and of Board committees on which they serve. Each director is also expected to attend the annual meeting of stockholders. In 2025, all directors then in office attended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22</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Board has established three standing committees, Audit, Management Development and Compensation, and Nominating, Corporate Governance and Compliance, each of which operates under a written charter that has been approved by our Board. All of the members of each of the Board’s three standing committees are independent as defined under the Nasdaq rules and any applicable heightened standards required for the particular committee. Anshul Thakral, as our Chief Executive Officer, does not serve on any of our standing committees.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current members of each of the Board committees and committee Chairs are set forth in the following chart.</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80" w:type="dxa"/>
            <w:vAlign w:val="bottom"/>
            <w:shd w:val="clear" w:color="auto" w:fill="0BC11C"/>
          </w:tcPr>
          <w:p>
            <w:pPr>
              <w:spacing w:after="0"/>
              <w:rPr>
                <w:sz w:val="17"/>
                <w:szCs w:val="17"/>
                <w:color w:val="auto"/>
              </w:rPr>
            </w:pPr>
          </w:p>
        </w:tc>
        <w:tc>
          <w:tcPr>
            <w:tcW w:w="1360" w:type="dxa"/>
            <w:vAlign w:val="bottom"/>
            <w:shd w:val="clear" w:color="auto" w:fill="0BC11C"/>
          </w:tcPr>
          <w:p>
            <w:pPr>
              <w:spacing w:after="0"/>
              <w:rPr>
                <w:sz w:val="17"/>
                <w:szCs w:val="17"/>
                <w:color w:val="auto"/>
              </w:rPr>
            </w:pPr>
          </w:p>
        </w:tc>
        <w:tc>
          <w:tcPr>
            <w:tcW w:w="2540" w:type="dxa"/>
            <w:vAlign w:val="bottom"/>
            <w:shd w:val="clear" w:color="auto" w:fill="0BC11C"/>
          </w:tcPr>
          <w:p>
            <w:pPr>
              <w:spacing w:after="0"/>
              <w:rPr>
                <w:sz w:val="17"/>
                <w:szCs w:val="17"/>
                <w:color w:val="auto"/>
              </w:rPr>
            </w:pPr>
          </w:p>
        </w:tc>
        <w:tc>
          <w:tcPr>
            <w:tcW w:w="2040" w:type="dxa"/>
            <w:vAlign w:val="bottom"/>
            <w:shd w:val="clear" w:color="auto" w:fill="0BC11C"/>
          </w:tcPr>
          <w:p>
            <w:pPr>
              <w:ind w:left="320"/>
              <w:spacing w:after="0"/>
              <w:rPr>
                <w:sz w:val="20"/>
                <w:szCs w:val="20"/>
                <w:color w:val="auto"/>
              </w:rPr>
            </w:pPr>
            <w:r>
              <w:rPr>
                <w:rFonts w:ascii="Arial" w:cs="Arial" w:eastAsia="Arial" w:hAnsi="Arial"/>
                <w:sz w:val="14"/>
                <w:szCs w:val="14"/>
                <w:b w:val="1"/>
                <w:bCs w:val="1"/>
                <w:color w:val="FFFFFF"/>
              </w:rPr>
              <w:t>  Nominating, Corporate</w:t>
            </w:r>
          </w:p>
        </w:tc>
      </w:tr>
      <w:tr>
        <w:trPr>
          <w:trHeight w:val="162"/>
        </w:trPr>
        <w:tc>
          <w:tcPr>
            <w:tcW w:w="5080" w:type="dxa"/>
            <w:vAlign w:val="bottom"/>
            <w:shd w:val="clear" w:color="auto" w:fill="0BC11C"/>
          </w:tcPr>
          <w:p>
            <w:pPr>
              <w:spacing w:after="0"/>
              <w:rPr>
                <w:sz w:val="14"/>
                <w:szCs w:val="14"/>
                <w:color w:val="auto"/>
              </w:rPr>
            </w:pPr>
          </w:p>
        </w:tc>
        <w:tc>
          <w:tcPr>
            <w:tcW w:w="1360" w:type="dxa"/>
            <w:vAlign w:val="bottom"/>
            <w:shd w:val="clear" w:color="auto" w:fill="0BC11C"/>
          </w:tcPr>
          <w:p>
            <w:pPr>
              <w:spacing w:after="0"/>
              <w:rPr>
                <w:sz w:val="14"/>
                <w:szCs w:val="14"/>
                <w:color w:val="auto"/>
              </w:rPr>
            </w:pPr>
          </w:p>
        </w:tc>
        <w:tc>
          <w:tcPr>
            <w:tcW w:w="2540" w:type="dxa"/>
            <w:vAlign w:val="bottom"/>
            <w:shd w:val="clear" w:color="auto" w:fill="0BC11C"/>
          </w:tcPr>
          <w:p>
            <w:pPr>
              <w:ind w:left="300"/>
              <w:spacing w:after="0"/>
              <w:rPr>
                <w:sz w:val="20"/>
                <w:szCs w:val="20"/>
                <w:color w:val="auto"/>
              </w:rPr>
            </w:pPr>
            <w:r>
              <w:rPr>
                <w:rFonts w:ascii="Arial" w:cs="Arial" w:eastAsia="Arial" w:hAnsi="Arial"/>
                <w:sz w:val="14"/>
                <w:szCs w:val="14"/>
                <w:b w:val="1"/>
                <w:bCs w:val="1"/>
                <w:color w:val="FFFFFF"/>
              </w:rPr>
              <w:t>  Management Development</w:t>
            </w:r>
          </w:p>
        </w:tc>
        <w:tc>
          <w:tcPr>
            <w:tcW w:w="2040" w:type="dxa"/>
            <w:vAlign w:val="bottom"/>
            <w:shd w:val="clear" w:color="auto" w:fill="0BC11C"/>
          </w:tcPr>
          <w:p>
            <w:pPr>
              <w:jc w:val="center"/>
              <w:ind w:left="243"/>
              <w:spacing w:after="0"/>
              <w:rPr>
                <w:sz w:val="20"/>
                <w:szCs w:val="20"/>
                <w:color w:val="auto"/>
              </w:rPr>
            </w:pPr>
            <w:r>
              <w:rPr>
                <w:rFonts w:ascii="Arial" w:cs="Arial" w:eastAsia="Arial" w:hAnsi="Arial"/>
                <w:sz w:val="14"/>
                <w:szCs w:val="14"/>
                <w:b w:val="1"/>
                <w:bCs w:val="1"/>
                <w:color w:val="FFFFFF"/>
              </w:rPr>
              <w:t>Governance and</w:t>
            </w:r>
          </w:p>
        </w:tc>
      </w:tr>
      <w:tr>
        <w:trPr>
          <w:trHeight w:val="219"/>
        </w:trPr>
        <w:tc>
          <w:tcPr>
            <w:tcW w:w="508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0BC11C"/>
            </w:tcBorders>
            <w:shd w:val="clear" w:color="auto" w:fill="0BC11C"/>
          </w:tcPr>
          <w:p>
            <w:pPr>
              <w:jc w:val="center"/>
              <w:ind w:left="181"/>
              <w:spacing w:after="0"/>
              <w:rPr>
                <w:sz w:val="20"/>
                <w:szCs w:val="20"/>
                <w:color w:val="auto"/>
              </w:rPr>
            </w:pPr>
            <w:r>
              <w:rPr>
                <w:rFonts w:ascii="Arial" w:cs="Arial" w:eastAsia="Arial" w:hAnsi="Arial"/>
                <w:sz w:val="14"/>
                <w:szCs w:val="14"/>
                <w:b w:val="1"/>
                <w:bCs w:val="1"/>
                <w:color w:val="FFFFFF"/>
                <w:w w:val="85"/>
              </w:rPr>
              <w:t>  Audit </w:t>
            </w:r>
          </w:p>
        </w:tc>
        <w:tc>
          <w:tcPr>
            <w:tcW w:w="254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and Compensation</w:t>
            </w:r>
          </w:p>
        </w:tc>
        <w:tc>
          <w:tcPr>
            <w:tcW w:w="2040" w:type="dxa"/>
            <w:vAlign w:val="bottom"/>
            <w:tcBorders>
              <w:bottom w:val="single" w:sz="8" w:color="0BC11C"/>
            </w:tcBorders>
            <w:shd w:val="clear" w:color="auto" w:fill="0BC11C"/>
          </w:tcPr>
          <w:p>
            <w:pPr>
              <w:jc w:val="center"/>
              <w:ind w:left="223"/>
              <w:spacing w:after="0"/>
              <w:rPr>
                <w:sz w:val="20"/>
                <w:szCs w:val="20"/>
                <w:color w:val="auto"/>
              </w:rPr>
            </w:pPr>
            <w:r>
              <w:rPr>
                <w:rFonts w:ascii="Arial" w:cs="Arial" w:eastAsia="Arial" w:hAnsi="Arial"/>
                <w:sz w:val="14"/>
                <w:szCs w:val="14"/>
                <w:b w:val="1"/>
                <w:bCs w:val="1"/>
                <w:color w:val="FFFFFF"/>
              </w:rPr>
              <w:t>Compliance</w:t>
            </w:r>
          </w:p>
        </w:tc>
      </w:tr>
      <w:tr>
        <w:trPr>
          <w:trHeight w:val="235"/>
        </w:trPr>
        <w:tc>
          <w:tcPr>
            <w:tcW w:w="5080" w:type="dxa"/>
            <w:vAlign w:val="bottom"/>
          </w:tcPr>
          <w:p>
            <w:pPr>
              <w:ind w:left="60"/>
              <w:spacing w:after="0"/>
              <w:rPr>
                <w:sz w:val="20"/>
                <w:szCs w:val="20"/>
                <w:color w:val="auto"/>
              </w:rPr>
            </w:pPr>
            <w:r>
              <w:rPr>
                <w:rFonts w:ascii="Arial" w:cs="Arial" w:eastAsia="Arial" w:hAnsi="Arial"/>
                <w:sz w:val="16"/>
                <w:szCs w:val="16"/>
                <w:color w:val="auto"/>
              </w:rPr>
              <w:t>Anshul Thakral</w:t>
            </w:r>
          </w:p>
        </w:tc>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51"/>
        </w:trPr>
        <w:tc>
          <w:tcPr>
            <w:tcW w:w="508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M. Neupert</w:t>
            </w:r>
          </w:p>
        </w:tc>
        <w:tc>
          <w:tcPr>
            <w:tcW w:w="1360" w:type="dxa"/>
            <w:vAlign w:val="bottom"/>
            <w:shd w:val="clear" w:color="auto" w:fill="EDEDED"/>
          </w:tcPr>
          <w:p>
            <w:pPr>
              <w:spacing w:after="0"/>
              <w:rPr>
                <w:sz w:val="21"/>
                <w:szCs w:val="21"/>
                <w:color w:val="auto"/>
              </w:rPr>
            </w:pPr>
          </w:p>
        </w:tc>
        <w:tc>
          <w:tcPr>
            <w:tcW w:w="2540" w:type="dxa"/>
            <w:vAlign w:val="bottom"/>
            <w:shd w:val="clear" w:color="auto" w:fill="EDEDED"/>
          </w:tcPr>
          <w:p>
            <w:pPr>
              <w:spacing w:after="0"/>
              <w:rPr>
                <w:sz w:val="21"/>
                <w:szCs w:val="21"/>
                <w:color w:val="auto"/>
              </w:rPr>
            </w:pPr>
          </w:p>
        </w:tc>
        <w:tc>
          <w:tcPr>
            <w:tcW w:w="2040" w:type="dxa"/>
            <w:vAlign w:val="bottom"/>
            <w:shd w:val="clear" w:color="auto" w:fill="EDEDED"/>
          </w:tcPr>
          <w:p>
            <w:pPr>
              <w:jc w:val="center"/>
              <w:ind w:left="223"/>
              <w:spacing w:after="0"/>
              <w:rPr>
                <w:sz w:val="20"/>
                <w:szCs w:val="20"/>
                <w:color w:val="auto"/>
              </w:rPr>
            </w:pPr>
            <w:r>
              <w:rPr>
                <w:rFonts w:ascii="Arial" w:cs="Arial" w:eastAsia="Arial" w:hAnsi="Arial"/>
                <w:sz w:val="16"/>
                <w:szCs w:val="16"/>
                <w:color w:val="auto"/>
                <w:w w:val="93"/>
              </w:rPr>
              <w:t>X</w:t>
            </w:r>
          </w:p>
        </w:tc>
      </w:tr>
      <w:tr>
        <w:trPr>
          <w:trHeight w:val="243"/>
        </w:trPr>
        <w:tc>
          <w:tcPr>
            <w:tcW w:w="5080" w:type="dxa"/>
            <w:vAlign w:val="bottom"/>
          </w:tcPr>
          <w:p>
            <w:pPr>
              <w:ind w:left="60"/>
              <w:spacing w:after="0" w:line="243" w:lineRule="exact"/>
              <w:rPr>
                <w:sz w:val="20"/>
                <w:szCs w:val="20"/>
                <w:color w:val="auto"/>
              </w:rPr>
            </w:pPr>
            <w:r>
              <w:rPr>
                <w:rFonts w:ascii="Arial" w:cs="Arial" w:eastAsia="Arial" w:hAnsi="Arial"/>
                <w:sz w:val="16"/>
                <w:szCs w:val="16"/>
                <w:color w:val="auto"/>
              </w:rPr>
              <w:t>Edward Pesicka</w:t>
            </w:r>
            <w:r>
              <w:rPr>
                <w:rFonts w:ascii="Arial" w:cs="Arial" w:eastAsia="Arial" w:hAnsi="Arial"/>
                <w:sz w:val="24"/>
                <w:szCs w:val="24"/>
                <w:color w:val="auto"/>
                <w:vertAlign w:val="superscript"/>
              </w:rPr>
              <w:t>(1)</w:t>
            </w:r>
          </w:p>
        </w:tc>
        <w:tc>
          <w:tcPr>
            <w:tcW w:w="1360" w:type="dxa"/>
            <w:vAlign w:val="bottom"/>
          </w:tcPr>
          <w:p>
            <w:pPr>
              <w:jc w:val="center"/>
              <w:ind w:left="221"/>
              <w:spacing w:after="0"/>
              <w:rPr>
                <w:sz w:val="20"/>
                <w:szCs w:val="20"/>
                <w:color w:val="auto"/>
              </w:rPr>
            </w:pPr>
            <w:r>
              <w:rPr>
                <w:rFonts w:ascii="Arial" w:cs="Arial" w:eastAsia="Arial" w:hAnsi="Arial"/>
                <w:sz w:val="16"/>
                <w:szCs w:val="16"/>
                <w:color w:val="auto"/>
                <w:w w:val="93"/>
              </w:rPr>
              <w:t>X</w:t>
            </w:r>
          </w:p>
        </w:tc>
        <w:tc>
          <w:tcPr>
            <w:tcW w:w="25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2040" w:type="dxa"/>
            <w:vAlign w:val="bottom"/>
          </w:tcPr>
          <w:p>
            <w:pPr>
              <w:spacing w:after="0"/>
              <w:rPr>
                <w:sz w:val="21"/>
                <w:szCs w:val="21"/>
                <w:color w:val="auto"/>
              </w:rPr>
            </w:pPr>
          </w:p>
        </w:tc>
      </w:tr>
      <w:tr>
        <w:trPr>
          <w:trHeight w:val="243"/>
        </w:trPr>
        <w:tc>
          <w:tcPr>
            <w:tcW w:w="5080" w:type="dxa"/>
            <w:vAlign w:val="bottom"/>
            <w:shd w:val="clear" w:color="auto" w:fill="EDEDED"/>
          </w:tcPr>
          <w:p>
            <w:pPr>
              <w:ind w:left="60"/>
              <w:spacing w:after="0"/>
              <w:rPr>
                <w:sz w:val="20"/>
                <w:szCs w:val="20"/>
                <w:color w:val="auto"/>
              </w:rPr>
            </w:pPr>
            <w:r>
              <w:rPr>
                <w:rFonts w:ascii="Arial" w:cs="Arial" w:eastAsia="Arial" w:hAnsi="Arial"/>
                <w:sz w:val="16"/>
                <w:szCs w:val="16"/>
                <w:color w:val="auto"/>
              </w:rPr>
              <w:t>Dr. Amrit Ray</w:t>
            </w:r>
          </w:p>
        </w:tc>
        <w:tc>
          <w:tcPr>
            <w:tcW w:w="1360" w:type="dxa"/>
            <w:vAlign w:val="bottom"/>
            <w:shd w:val="clear" w:color="auto" w:fill="EDEDED"/>
          </w:tcPr>
          <w:p>
            <w:pPr>
              <w:spacing w:after="0"/>
              <w:rPr>
                <w:sz w:val="21"/>
                <w:szCs w:val="21"/>
                <w:color w:val="auto"/>
              </w:rPr>
            </w:pPr>
          </w:p>
        </w:tc>
        <w:tc>
          <w:tcPr>
            <w:tcW w:w="254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Chair</w:t>
            </w:r>
          </w:p>
        </w:tc>
        <w:tc>
          <w:tcPr>
            <w:tcW w:w="2040" w:type="dxa"/>
            <w:vAlign w:val="bottom"/>
            <w:shd w:val="clear" w:color="auto" w:fill="EDEDED"/>
          </w:tcPr>
          <w:p>
            <w:pPr>
              <w:jc w:val="center"/>
              <w:ind w:left="223"/>
              <w:spacing w:after="0"/>
              <w:rPr>
                <w:sz w:val="20"/>
                <w:szCs w:val="20"/>
                <w:color w:val="auto"/>
              </w:rPr>
            </w:pPr>
            <w:r>
              <w:rPr>
                <w:rFonts w:ascii="Arial" w:cs="Arial" w:eastAsia="Arial" w:hAnsi="Arial"/>
                <w:sz w:val="16"/>
                <w:szCs w:val="16"/>
                <w:color w:val="auto"/>
                <w:w w:val="93"/>
              </w:rPr>
              <w:t>X</w:t>
            </w:r>
          </w:p>
        </w:tc>
      </w:tr>
      <w:tr>
        <w:trPr>
          <w:trHeight w:val="243"/>
        </w:trPr>
        <w:tc>
          <w:tcPr>
            <w:tcW w:w="5080" w:type="dxa"/>
            <w:vAlign w:val="bottom"/>
          </w:tcPr>
          <w:p>
            <w:pPr>
              <w:ind w:left="60"/>
              <w:spacing w:after="0" w:line="243" w:lineRule="exact"/>
              <w:rPr>
                <w:sz w:val="20"/>
                <w:szCs w:val="20"/>
                <w:color w:val="auto"/>
              </w:rPr>
            </w:pPr>
            <w:r>
              <w:rPr>
                <w:rFonts w:ascii="Arial" w:cs="Arial" w:eastAsia="Arial" w:hAnsi="Arial"/>
                <w:sz w:val="16"/>
                <w:szCs w:val="16"/>
                <w:color w:val="auto"/>
              </w:rPr>
              <w:t>Erin L. Russell</w:t>
            </w:r>
            <w:r>
              <w:rPr>
                <w:rFonts w:ascii="Arial" w:cs="Arial" w:eastAsia="Arial" w:hAnsi="Arial"/>
                <w:sz w:val="24"/>
                <w:szCs w:val="24"/>
                <w:color w:val="auto"/>
                <w:vertAlign w:val="superscript"/>
              </w:rPr>
              <w:t>(1)</w:t>
            </w:r>
          </w:p>
        </w:tc>
        <w:tc>
          <w:tcPr>
            <w:tcW w:w="1360" w:type="dxa"/>
            <w:vAlign w:val="bottom"/>
          </w:tcPr>
          <w:p>
            <w:pPr>
              <w:jc w:val="center"/>
              <w:ind w:left="221"/>
              <w:spacing w:after="0"/>
              <w:rPr>
                <w:sz w:val="20"/>
                <w:szCs w:val="20"/>
                <w:color w:val="auto"/>
              </w:rPr>
            </w:pPr>
            <w:r>
              <w:rPr>
                <w:rFonts w:ascii="Arial" w:cs="Arial" w:eastAsia="Arial" w:hAnsi="Arial"/>
                <w:sz w:val="16"/>
                <w:szCs w:val="16"/>
                <w:color w:val="auto"/>
                <w:w w:val="93"/>
              </w:rPr>
              <w:t>X</w:t>
            </w:r>
          </w:p>
        </w:tc>
        <w:tc>
          <w:tcPr>
            <w:tcW w:w="2540" w:type="dxa"/>
            <w:vAlign w:val="bottom"/>
          </w:tcPr>
          <w:p>
            <w:pPr>
              <w:spacing w:after="0"/>
              <w:rPr>
                <w:sz w:val="21"/>
                <w:szCs w:val="21"/>
                <w:color w:val="auto"/>
              </w:rPr>
            </w:pPr>
          </w:p>
        </w:tc>
        <w:tc>
          <w:tcPr>
            <w:tcW w:w="2040" w:type="dxa"/>
            <w:vAlign w:val="bottom"/>
          </w:tcPr>
          <w:p>
            <w:pPr>
              <w:jc w:val="center"/>
              <w:ind w:left="223"/>
              <w:spacing w:after="0"/>
              <w:rPr>
                <w:sz w:val="20"/>
                <w:szCs w:val="20"/>
                <w:color w:val="auto"/>
              </w:rPr>
            </w:pPr>
            <w:r>
              <w:rPr>
                <w:rFonts w:ascii="Arial" w:cs="Arial" w:eastAsia="Arial" w:hAnsi="Arial"/>
                <w:sz w:val="16"/>
                <w:szCs w:val="16"/>
                <w:color w:val="auto"/>
                <w:w w:val="93"/>
              </w:rPr>
              <w:t>X</w:t>
            </w:r>
          </w:p>
        </w:tc>
      </w:tr>
      <w:tr>
        <w:trPr>
          <w:trHeight w:val="243"/>
        </w:trPr>
        <w:tc>
          <w:tcPr>
            <w:tcW w:w="5080" w:type="dxa"/>
            <w:vAlign w:val="bottom"/>
            <w:shd w:val="clear" w:color="auto" w:fill="EDEDED"/>
          </w:tcPr>
          <w:p>
            <w:pPr>
              <w:ind w:left="60"/>
              <w:spacing w:after="0"/>
              <w:rPr>
                <w:sz w:val="20"/>
                <w:szCs w:val="20"/>
                <w:color w:val="auto"/>
              </w:rPr>
            </w:pPr>
            <w:r>
              <w:rPr>
                <w:rFonts w:ascii="Arial" w:cs="Arial" w:eastAsia="Arial" w:hAnsi="Arial"/>
                <w:sz w:val="16"/>
                <w:szCs w:val="16"/>
                <w:color w:val="auto"/>
              </w:rPr>
              <w:t>Machelle Sanders</w:t>
            </w:r>
          </w:p>
        </w:tc>
        <w:tc>
          <w:tcPr>
            <w:tcW w:w="1360" w:type="dxa"/>
            <w:vAlign w:val="bottom"/>
            <w:shd w:val="clear" w:color="auto" w:fill="EDEDED"/>
          </w:tcPr>
          <w:p>
            <w:pPr>
              <w:spacing w:after="0"/>
              <w:rPr>
                <w:sz w:val="21"/>
                <w:szCs w:val="21"/>
                <w:color w:val="auto"/>
              </w:rPr>
            </w:pPr>
          </w:p>
        </w:tc>
        <w:tc>
          <w:tcPr>
            <w:tcW w:w="254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2040" w:type="dxa"/>
            <w:vAlign w:val="bottom"/>
            <w:shd w:val="clear" w:color="auto" w:fill="EDEDED"/>
          </w:tcPr>
          <w:p>
            <w:pPr>
              <w:jc w:val="center"/>
              <w:ind w:left="223"/>
              <w:spacing w:after="0"/>
              <w:rPr>
                <w:sz w:val="20"/>
                <w:szCs w:val="20"/>
                <w:color w:val="auto"/>
              </w:rPr>
            </w:pPr>
            <w:r>
              <w:rPr>
                <w:rFonts w:ascii="Arial" w:cs="Arial" w:eastAsia="Arial" w:hAnsi="Arial"/>
                <w:sz w:val="16"/>
                <w:szCs w:val="16"/>
                <w:color w:val="auto"/>
                <w:w w:val="99"/>
              </w:rPr>
              <w:t>Chair</w:t>
            </w:r>
          </w:p>
        </w:tc>
      </w:tr>
      <w:tr>
        <w:trPr>
          <w:trHeight w:val="243"/>
        </w:trPr>
        <w:tc>
          <w:tcPr>
            <w:tcW w:w="5080" w:type="dxa"/>
            <w:vAlign w:val="bottom"/>
          </w:tcPr>
          <w:p>
            <w:pPr>
              <w:ind w:left="60"/>
              <w:spacing w:after="0" w:line="243" w:lineRule="exact"/>
              <w:rPr>
                <w:sz w:val="20"/>
                <w:szCs w:val="20"/>
                <w:color w:val="auto"/>
              </w:rPr>
            </w:pPr>
            <w:r>
              <w:rPr>
                <w:rFonts w:ascii="Arial" w:cs="Arial" w:eastAsia="Arial" w:hAnsi="Arial"/>
                <w:sz w:val="16"/>
                <w:szCs w:val="16"/>
                <w:color w:val="auto"/>
              </w:rPr>
              <w:t>William Sharbaugh</w:t>
            </w:r>
            <w:r>
              <w:rPr>
                <w:rFonts w:ascii="Arial" w:cs="Arial" w:eastAsia="Arial" w:hAnsi="Arial"/>
                <w:sz w:val="24"/>
                <w:szCs w:val="24"/>
                <w:color w:val="auto"/>
                <w:vertAlign w:val="superscript"/>
              </w:rPr>
              <w:t>(1)</w:t>
            </w:r>
          </w:p>
        </w:tc>
        <w:tc>
          <w:tcPr>
            <w:tcW w:w="1360" w:type="dxa"/>
            <w:vAlign w:val="bottom"/>
          </w:tcPr>
          <w:p>
            <w:pPr>
              <w:jc w:val="center"/>
              <w:ind w:left="221"/>
              <w:spacing w:after="0"/>
              <w:rPr>
                <w:sz w:val="20"/>
                <w:szCs w:val="20"/>
                <w:color w:val="auto"/>
              </w:rPr>
            </w:pPr>
            <w:r>
              <w:rPr>
                <w:rFonts w:ascii="Arial" w:cs="Arial" w:eastAsia="Arial" w:hAnsi="Arial"/>
                <w:sz w:val="16"/>
                <w:szCs w:val="16"/>
                <w:color w:val="auto"/>
                <w:w w:val="93"/>
              </w:rPr>
              <w:t>X</w:t>
            </w:r>
          </w:p>
        </w:tc>
        <w:tc>
          <w:tcPr>
            <w:tcW w:w="25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2040" w:type="dxa"/>
            <w:vAlign w:val="bottom"/>
          </w:tcPr>
          <w:p>
            <w:pPr>
              <w:spacing w:after="0"/>
              <w:rPr>
                <w:sz w:val="21"/>
                <w:szCs w:val="21"/>
                <w:color w:val="auto"/>
              </w:rPr>
            </w:pPr>
          </w:p>
        </w:tc>
      </w:tr>
      <w:tr>
        <w:trPr>
          <w:trHeight w:val="243"/>
        </w:trPr>
        <w:tc>
          <w:tcPr>
            <w:tcW w:w="5080" w:type="dxa"/>
            <w:vAlign w:val="bottom"/>
            <w:shd w:val="clear" w:color="auto" w:fill="EDEDED"/>
          </w:tcPr>
          <w:p>
            <w:pPr>
              <w:ind w:left="60"/>
              <w:spacing w:after="0" w:line="243" w:lineRule="exact"/>
              <w:rPr>
                <w:sz w:val="20"/>
                <w:szCs w:val="20"/>
                <w:color w:val="auto"/>
              </w:rPr>
            </w:pPr>
            <w:r>
              <w:rPr>
                <w:rFonts w:ascii="Arial" w:cs="Arial" w:eastAsia="Arial" w:hAnsi="Arial"/>
                <w:sz w:val="16"/>
                <w:szCs w:val="16"/>
                <w:color w:val="auto"/>
              </w:rPr>
              <w:t>David Smith</w:t>
            </w:r>
            <w:r>
              <w:rPr>
                <w:rFonts w:ascii="Arial" w:cs="Arial" w:eastAsia="Arial" w:hAnsi="Arial"/>
                <w:sz w:val="24"/>
                <w:szCs w:val="24"/>
                <w:color w:val="auto"/>
                <w:vertAlign w:val="superscript"/>
              </w:rPr>
              <w:t>(1)</w:t>
            </w:r>
          </w:p>
        </w:tc>
        <w:tc>
          <w:tcPr>
            <w:tcW w:w="1360" w:type="dxa"/>
            <w:vAlign w:val="bottom"/>
            <w:shd w:val="clear" w:color="auto" w:fill="EDEDED"/>
          </w:tcPr>
          <w:p>
            <w:pPr>
              <w:jc w:val="center"/>
              <w:ind w:left="221"/>
              <w:spacing w:after="0"/>
              <w:rPr>
                <w:sz w:val="20"/>
                <w:szCs w:val="20"/>
                <w:color w:val="auto"/>
              </w:rPr>
            </w:pPr>
            <w:r>
              <w:rPr>
                <w:rFonts w:ascii="Arial" w:cs="Arial" w:eastAsia="Arial" w:hAnsi="Arial"/>
                <w:sz w:val="16"/>
                <w:szCs w:val="16"/>
                <w:color w:val="auto"/>
                <w:w w:val="99"/>
              </w:rPr>
              <w:t>Chair</w:t>
            </w:r>
          </w:p>
        </w:tc>
        <w:tc>
          <w:tcPr>
            <w:tcW w:w="254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3"/>
              </w:rPr>
              <w:t>X</w:t>
            </w:r>
          </w:p>
        </w:tc>
        <w:tc>
          <w:tcPr>
            <w:tcW w:w="2040" w:type="dxa"/>
            <w:vAlign w:val="bottom"/>
            <w:shd w:val="clear" w:color="auto" w:fill="EDEDED"/>
          </w:tcPr>
          <w:p>
            <w:pPr>
              <w:spacing w:after="0"/>
              <w:rPr>
                <w:sz w:val="21"/>
                <w:szCs w:val="21"/>
                <w:color w:val="auto"/>
              </w:rPr>
            </w:pPr>
          </w:p>
        </w:tc>
      </w:tr>
    </w:tbl>
    <w:p>
      <w:pPr>
        <w:spacing w:after="0" w:line="104" w:lineRule="exact"/>
        <w:rPr>
          <w:sz w:val="20"/>
          <w:szCs w:val="20"/>
          <w:color w:val="auto"/>
        </w:rPr>
      </w:pPr>
    </w:p>
    <w:p>
      <w:pPr>
        <w:ind w:left="440" w:right="520" w:hanging="324"/>
        <w:spacing w:after="0" w:line="243" w:lineRule="auto"/>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Board of Directors has determined that Mr. Pesicka, Mr. Smith, Mr. Sharbaugh, and Ms. Russell are each an “audit committee financial expert” as defined under the SEC rules and regulations.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The purpose of our Audit Committee is to assist the Board in its oversight of our accounting and financial reporting processes and the audit of our financial statements, the integrity of our financial statements, compliance with legal and regulatory requirements, the independence and qualifications of the independent auditor, the performance of our internal audit function and independent auditor, and other activities typical of an audit committee. The Audit Committee’s role also includes oversight as it relates to enterprise risk management and cybersecurity risk. In fulfilling its purpose, our Audit Committee has the following principal duties:</w:t>
      </w:r>
    </w:p>
    <w:p>
      <w:pPr>
        <w:spacing w:after="0" w:line="112"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selecting, compensating, and overseeing the independent auditors of the Company, and discharging or replacing the independent auditors;</w:t>
      </w:r>
    </w:p>
    <w:p>
      <w:pPr>
        <w:spacing w:after="0" w:line="86" w:lineRule="exact"/>
        <w:rPr>
          <w:rFonts w:ascii="Arial" w:cs="Arial" w:eastAsia="Arial" w:hAnsi="Arial"/>
          <w:sz w:val="16"/>
          <w:szCs w:val="16"/>
          <w:color w:val="auto"/>
        </w:rPr>
      </w:pPr>
    </w:p>
    <w:p>
      <w:pPr>
        <w:ind w:left="340" w:right="320" w:hanging="224"/>
        <w:spacing w:after="0" w:line="26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the annual audited financial statements with management and the independent auditors, including (a) major issues regarding accounting and auditing principles and practices, (b) our disclosures under “Management’s Discussion and Analysis of Results of Operations and Financial Condition,” and (c) the adequacy of internal controls that could significantly affect the Company’s financial statements;</w:t>
      </w:r>
    </w:p>
    <w:p>
      <w:pPr>
        <w:spacing w:after="0" w:line="36" w:lineRule="exact"/>
        <w:rPr>
          <w:rFonts w:ascii="Arial" w:cs="Arial" w:eastAsia="Arial" w:hAnsi="Arial"/>
          <w:sz w:val="16"/>
          <w:szCs w:val="16"/>
          <w:color w:val="auto"/>
        </w:rPr>
      </w:pPr>
    </w:p>
    <w:p>
      <w:pPr>
        <w:ind w:left="340" w:right="340" w:hanging="224"/>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analyses and reports prepared by management and the independent auditors of significant financial reporting issues and judgments and critical accounting policies and practices;</w:t>
      </w:r>
    </w:p>
    <w:p>
      <w:pPr>
        <w:spacing w:after="0" w:line="20" w:lineRule="exact"/>
        <w:rPr>
          <w:rFonts w:ascii="Arial" w:cs="Arial" w:eastAsia="Arial" w:hAnsi="Arial"/>
          <w:sz w:val="16"/>
          <w:szCs w:val="16"/>
          <w:color w:val="auto"/>
        </w:rPr>
      </w:pPr>
    </w:p>
    <w:p>
      <w:pPr>
        <w:jc w:val="both"/>
        <w:ind w:left="340" w:right="80" w:hanging="224"/>
        <w:spacing w:after="0" w:line="26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management and the independent auditors our quarterly financial statements and our disclosures and recommending to the Board that the audited financial statements be included in our Annual Report on Form 10-K and whether the Annual Report on Form 10-K should be filed with the SEC;</w:t>
      </w:r>
    </w:p>
    <w:p>
      <w:pPr>
        <w:spacing w:after="0" w:line="36" w:lineRule="exact"/>
        <w:rPr>
          <w:rFonts w:ascii="Arial" w:cs="Arial" w:eastAsia="Arial" w:hAnsi="Arial"/>
          <w:sz w:val="16"/>
          <w:szCs w:val="16"/>
          <w:color w:val="auto"/>
        </w:rPr>
      </w:pPr>
    </w:p>
    <w:p>
      <w:pPr>
        <w:ind w:left="340" w:hanging="224"/>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all related party transactions in accordance with our Related Party Transactions Policy, Nasdaq listing rules and SEC rules;</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meeting periodically with management, internal audit staff, and the independent auditors to review and discuss our major financial risk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372" w:lineRule="exact"/>
        <w:rPr>
          <w:sz w:val="20"/>
          <w:szCs w:val="20"/>
          <w:color w:val="auto"/>
        </w:rPr>
      </w:pPr>
    </w:p>
    <w:p>
      <w:pPr>
        <w:ind w:left="340" w:right="700" w:hanging="224"/>
        <w:spacing w:after="0" w:line="28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major changes to our auditing and accounting principles and practices as suggested by the independent auditors, the internal audit department or management;</w:t>
      </w:r>
    </w:p>
    <w:p>
      <w:pPr>
        <w:spacing w:after="0" w:line="20" w:lineRule="exact"/>
        <w:rPr>
          <w:rFonts w:ascii="Arial" w:cs="Arial" w:eastAsia="Arial" w:hAnsi="Arial"/>
          <w:sz w:val="16"/>
          <w:szCs w:val="16"/>
          <w:color w:val="auto"/>
        </w:rPr>
      </w:pPr>
    </w:p>
    <w:p>
      <w:pPr>
        <w:ind w:left="340" w:right="80" w:hanging="224"/>
        <w:spacing w:after="0" w:line="26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receiving periodic reports, at least annually, from the independent auditors regarding the auditors’ independence; the independent auditors’ internal quality control procedures; any material issues raised by the most recent internal quality control review, or peer review, of the firm, or by any inquiry or investigation by governmental or professional authorities;</w:t>
      </w:r>
    </w:p>
    <w:p>
      <w:pPr>
        <w:spacing w:after="0" w:line="36" w:lineRule="exact"/>
        <w:rPr>
          <w:rFonts w:ascii="Arial" w:cs="Arial" w:eastAsia="Arial" w:hAnsi="Arial"/>
          <w:sz w:val="16"/>
          <w:szCs w:val="16"/>
          <w:color w:val="auto"/>
        </w:rPr>
      </w:pPr>
    </w:p>
    <w:p>
      <w:pPr>
        <w:ind w:left="340" w:hanging="224"/>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approving a risk-based internal audit plan and any significant changes to that plan;</w:t>
      </w:r>
    </w:p>
    <w:p>
      <w:pPr>
        <w:spacing w:after="0" w:line="86" w:lineRule="exact"/>
        <w:rPr>
          <w:rFonts w:ascii="Arial" w:cs="Arial" w:eastAsia="Arial" w:hAnsi="Arial"/>
          <w:sz w:val="16"/>
          <w:szCs w:val="16"/>
          <w:color w:val="auto"/>
        </w:rPr>
      </w:pPr>
    </w:p>
    <w:p>
      <w:pPr>
        <w:ind w:left="340" w:right="340" w:hanging="224"/>
        <w:spacing w:after="0" w:line="26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w:t>
      </w:r>
    </w:p>
    <w:p>
      <w:pPr>
        <w:spacing w:after="0" w:line="36" w:lineRule="exact"/>
        <w:rPr>
          <w:rFonts w:ascii="Arial" w:cs="Arial" w:eastAsia="Arial" w:hAnsi="Arial"/>
          <w:sz w:val="16"/>
          <w:szCs w:val="16"/>
          <w:color w:val="auto"/>
        </w:rPr>
      </w:pPr>
    </w:p>
    <w:p>
      <w:pPr>
        <w:ind w:left="340" w:right="580" w:hanging="224"/>
        <w:spacing w:after="0" w:line="28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reassessing the adequacy of the Audit Committee’s charter annually and recommending any proposed changes to the Board for approval;</w:t>
      </w:r>
    </w:p>
    <w:p>
      <w:pPr>
        <w:spacing w:after="0" w:line="20" w:lineRule="exact"/>
        <w:rPr>
          <w:rFonts w:ascii="Arial" w:cs="Arial" w:eastAsia="Arial" w:hAnsi="Arial"/>
          <w:sz w:val="16"/>
          <w:szCs w:val="16"/>
          <w:color w:val="auto"/>
        </w:rPr>
      </w:pPr>
    </w:p>
    <w:p>
      <w:pPr>
        <w:ind w:left="340" w:hanging="224"/>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regularly reviewing our cybersecurity and other information technology risks, controls and procedures, and;</w:t>
      </w:r>
    </w:p>
    <w:p>
      <w:pPr>
        <w:spacing w:after="0" w:line="86" w:lineRule="exact"/>
        <w:rPr>
          <w:rFonts w:ascii="Arial" w:cs="Arial" w:eastAsia="Arial" w:hAnsi="Arial"/>
          <w:sz w:val="16"/>
          <w:szCs w:val="16"/>
          <w:color w:val="auto"/>
        </w:rPr>
      </w:pPr>
    </w:p>
    <w:p>
      <w:pPr>
        <w:ind w:left="340" w:right="220" w:hanging="224"/>
        <w:spacing w:after="0" w:line="28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approving the decision to enter into swap transactions that are exempt from the initial and variation margin and clearing requirements under the Commodity Exchange Act (as amended) and the regulations promulgated thereunder.</w:t>
      </w:r>
    </w:p>
    <w:p>
      <w:pPr>
        <w:spacing w:after="0" w:line="7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 xml:space="preserve">The Audit Committee charter is available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As of April 27, 2026, the members of the Audit Committee are Mr. Pesicka, Ms. Russell, Mr. Sharbaugh, and Mr. Smith, all of whom meet the independence requirements under Rule 10A-3 promulgated under the Exchange Act, and the rules of Nasdaq, including those related to Audit Committee membership. Mr. Neupert resigned from the Audit Committee upon assuming the role of Interim Chief Executive Officer in May 2025. Mr. Smith serves as the Chair of the Audit Committee. The members of our Audit Committee meet the requirements for financial literacy under the applicable rules of Nasdaq. Our Board has determined that each of Mr. Smith, Mr. Pesicka, Ms. Russell, and Mr. Sharbaugh is an “audit committee financial expert” as defined by Item 407(d)(5) (ii) of Regulation S-K.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 met eight (8) times in 2025.</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Development and Compensation Committee</w:t>
      </w:r>
    </w:p>
    <w:p>
      <w:pPr>
        <w:spacing w:after="0" w:line="149"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purpose of our Management Development and Compensation Committee (the “MDCC”) is to assist the Board in the discharge of its responsibilities relating to the compensation of our executive officers, to consider, recommend, administer and implement our incentive compensation plans and equity-based plans, and to oversee strategies relating to culture and human capital leadership. In fulfilling its purpose, our MDCC has the following principal duties:</w:t>
      </w:r>
    </w:p>
    <w:p>
      <w:pPr>
        <w:spacing w:after="0" w:line="110"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discharging the Board’s responsibilities relating to the oversight of our compensation and benefits policies generally;</w:t>
      </w:r>
    </w:p>
    <w:p>
      <w:pPr>
        <w:spacing w:after="0" w:line="86" w:lineRule="exact"/>
        <w:rPr>
          <w:rFonts w:ascii="Arial" w:cs="Arial" w:eastAsia="Arial" w:hAnsi="Arial"/>
          <w:sz w:val="16"/>
          <w:szCs w:val="16"/>
          <w:color w:val="auto"/>
        </w:rPr>
      </w:pPr>
    </w:p>
    <w:p>
      <w:pPr>
        <w:ind w:left="340" w:right="460" w:hanging="224"/>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evaluating the performance of and overseeing and setting compensation for our Chief Executive Officer (“CEO”), our Section 16 Officers and our “executive officers” within the meaning of Rule 3b-7 as promulgated under the Securities Exchange Act of 1934;</w:t>
      </w:r>
    </w:p>
    <w:p>
      <w:pPr>
        <w:spacing w:after="0" w:line="20" w:lineRule="exact"/>
        <w:rPr>
          <w:rFonts w:ascii="Arial" w:cs="Arial" w:eastAsia="Arial" w:hAnsi="Arial"/>
          <w:sz w:val="16"/>
          <w:szCs w:val="16"/>
          <w:color w:val="auto"/>
        </w:rPr>
      </w:pPr>
    </w:p>
    <w:p>
      <w:pPr>
        <w:ind w:left="340" w:hanging="224"/>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considering, recommending, administering and implementing our incentive compensation plans and equity-based plans; and</w:t>
      </w:r>
    </w:p>
    <w:p>
      <w:pPr>
        <w:spacing w:after="0" w:line="86" w:lineRule="exact"/>
        <w:rPr>
          <w:rFonts w:ascii="Arial" w:cs="Arial" w:eastAsia="Arial" w:hAnsi="Arial"/>
          <w:sz w:val="16"/>
          <w:szCs w:val="16"/>
          <w:color w:val="auto"/>
        </w:rPr>
      </w:pPr>
    </w:p>
    <w:p>
      <w:pPr>
        <w:ind w:left="340" w:right="60" w:hanging="224"/>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our overall human capital and executive compensation philosophies and strategies to ensure they support our objectives and stockholders’ interests, and that executives are being rewarded in a manner that is consistent with our philosophies.</w:t>
      </w:r>
    </w:p>
    <w:p>
      <w:pPr>
        <w:spacing w:after="0" w:line="7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 xml:space="preserve">Pursuant to the MDCC’s charter, which is available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the MDCC has the authority to retain and terminate any compensation consultant to assist in the evaluation of CEO or other Section 16 Officer compensation. The MDCC may delegate its authority under its charter to a subcommittee as it deems necessary or advisable from time to time. In addition to the foregoing and other authority expressly delegated to the MDCC in the charter, the MDCC may also exercise any other powers and carry out any other responsibilities consistent with the charter, the purposes of the MDCC, our Bylaws and applicable Nasdaq rules.</w:t>
      </w:r>
    </w:p>
    <w:p>
      <w:pPr>
        <w:spacing w:after="0" w:line="11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As of April 27, 2026, the members of our MDCC are Dr. Ray, Mr. Pesicka, Ms. Sanders, Mr. Sharbaugh, and Mr. Smith. All members of the MDCC meet the heightened standard for independence specific to members of a compensation committee under applicable SEC rules and Nasdaq rules. Dr. Ray serves as the Chair of the MDCC.</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MDCC met five (5) times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24</w:t>
      </w:r>
      <w:r>
        <w:rPr>
          <w:rFonts w:ascii="Arial" w:cs="Arial" w:eastAsia="Arial" w:hAnsi="Arial"/>
          <w:sz w:val="12"/>
          <w:szCs w:val="12"/>
          <w:color w:val="000000"/>
        </w:rPr>
        <w:t xml:space="preserve">   2026 Proxy Statement  •  FORTREA</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Corporate Governance and Compliance Committee</w:t>
      </w:r>
    </w:p>
    <w:p>
      <w:pPr>
        <w:spacing w:after="0" w:line="6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purpose of our Nominating, Corporate Governance and Compliance Committee (the “NCGCC”) is to assist the Board in identifying individuals qualified to become Board members, consistent with the criteria approved by the Board, and recommending to the Board the director nominees for the next annual meeting and otherwise when necessary, to develop and recommend to the Board a set of corporate governance guidelines applicable to the Company and appropriate amendments thereto, to lead the Board in its annual review of the performance of the Board and management, to oversee, and advise the Board with respect to, our corporate governance policies and practices, to assist the Board in carrying out its oversight responsibility with respect to compliance issues and attendant risks and to assist the Board to oversee management’s efforts to adopt and implement policies and procedures that require the Company and its employees to act in compliance with high ethical and legal standards, and to be compliant with applicable operational, health, safety, environmental, quality, and regulatory requirements, and best practices.</w:t>
      </w:r>
    </w:p>
    <w:p>
      <w:pPr>
        <w:spacing w:after="0" w:line="11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 xml:space="preserve">Pursuant to the NCGCC’s charter, which is available in the “Governance” section of the “Investors” page of our website located at </w:t>
      </w:r>
      <w:r>
        <w:rPr>
          <w:rFonts w:ascii="Arial" w:cs="Arial" w:eastAsia="Arial" w:hAnsi="Arial"/>
          <w:sz w:val="16"/>
          <w:szCs w:val="16"/>
          <w:i w:val="1"/>
          <w:iCs w:val="1"/>
          <w:color w:val="auto"/>
        </w:rPr>
        <w:t>www.fortrea.com</w:t>
      </w:r>
      <w:r>
        <w:rPr>
          <w:rFonts w:ascii="Arial" w:cs="Arial" w:eastAsia="Arial" w:hAnsi="Arial"/>
          <w:sz w:val="16"/>
          <w:szCs w:val="16"/>
          <w:color w:val="auto"/>
        </w:rPr>
        <w:t>, the NCGCC has the authority to retain or terminate any search firm to be used to identify director candidates, including the sole authority to approve the search firm’s fees and other retention terms. The NCGCC also has the authority to obtain advice and assistance from internal or outside legal, accounting or other advisors. The NCGCC may delegate its responsibilities under its charter to a subcommittee if determined to be necessary or advisable. In addition to the foregoing and other duties and responsibilities expressly delegated to the NCGCC in the charter, the NCGCC may also exercise any other powers and carry out any other responsibilities consistent with the charter, the purposes of the NCGCC, our Bylaws and applicable Nasdaq rules. As of April 27, 2026, the members of our NCGCC were Mr. Neupert, Dr. Ray, Ms. Russell, and Ms. Sanders. Mr. Neupert resigned from the NCGCC upon assuming the role of Interim Chief Executive Officer in May 2025 but rejoined upon the completion of such service. All members of the NCGCC meet the standard for independence specific to members of a nominating and governance committee under Nasdaq rules.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NCGCC met four (4) times during 2025. Ms. Sanders serves as the Chair of the NCGCC.</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Cybersecurity &amp; the Audit Committee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Cybersecurity Risk Management Program and Strategy</w:t>
      </w:r>
    </w:p>
    <w:p>
      <w:pPr>
        <w:spacing w:after="0" w:line="140"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cybersecurity risk management program (the “Cybersecurity Risk Management Program”) was designed to identify, manage, mitigate, and respond to ongoing cybersecurity threats and associated risks and is responsible for their escalation to the Board when determined to be material. The underlying controls utilized by our programs are based on industry recognized best practices and standards for cybersecurity and information technology which include the National Institute of Standards and Technology (NIST) Cybersecurity Framework (CSF) and the International Organization for Standardization (ISO) 27001:2022 Information Security Management Systems Requirements.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Cybersecurity Risk Management Program is administered through two primary channels: (i) Fortrea-led cybersecurity services and capabilities and</w:t>
      </w:r>
    </w:p>
    <w:p>
      <w:pPr>
        <w:spacing w:after="0" w:line="21" w:lineRule="exact"/>
        <w:rPr>
          <w:sz w:val="20"/>
          <w:szCs w:val="20"/>
          <w:color w:val="auto"/>
        </w:rPr>
      </w:pPr>
    </w:p>
    <w:p>
      <w:pPr>
        <w:ind w:left="120" w:right="420" w:hanging="4"/>
        <w:spacing w:after="0" w:line="265"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trusted third-party partners delivering cybersecurity services overseen by our Cybersecurity leadership team. Both channels combined deliver the entire Cybersecurity Program, which includes key items such as: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Cybersecurity risk management program, including, but not limited to, the following:</w:t>
      </w:r>
    </w:p>
    <w:p>
      <w:pPr>
        <w:spacing w:after="0" w:line="84"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assessment activities/analyses;</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Committee oversight, documentation, escalation; and</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Reporting of risk issues deemed material to our Audit Committee of the Board of Directors.</w:t>
      </w:r>
    </w:p>
    <w:p>
      <w:pPr>
        <w:spacing w:after="0" w:line="33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Global Cybersecurity services, including, but not limited to, the following:</w:t>
      </w:r>
    </w:p>
    <w:p>
      <w:pPr>
        <w:spacing w:after="0" w:line="152" w:lineRule="exact"/>
        <w:rPr>
          <w:sz w:val="20"/>
          <w:szCs w:val="20"/>
          <w:color w:val="auto"/>
        </w:rPr>
      </w:pPr>
    </w:p>
    <w:p>
      <w:pPr>
        <w:ind w:left="760" w:hanging="21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24x7 Security Operations and Incident Response;</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Identity Access Management support and governance;</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Security Architecture oversight and guidance;</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Governance, Risk and Compliance (“GRC”) functions such as third-party risk management, cybersecurity policies, training, and awareness; and</w:t>
      </w:r>
    </w:p>
    <w:p>
      <w:pPr>
        <w:spacing w:after="0" w:line="86" w:lineRule="exact"/>
        <w:rPr>
          <w:rFonts w:ascii="Arial" w:cs="Arial" w:eastAsia="Arial" w:hAnsi="Arial"/>
          <w:sz w:val="16"/>
          <w:szCs w:val="16"/>
          <w:color w:val="auto"/>
        </w:rPr>
      </w:pPr>
    </w:p>
    <w:p>
      <w:pPr>
        <w:ind w:left="760" w:hanging="21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Independent penetration testing and vulnerability scanning activities conducted by trusted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37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External cybersecurity reviews and assessments performed by third-party risk management, including, but not limited to, the following:</w:t>
      </w:r>
    </w:p>
    <w:p>
      <w:pPr>
        <w:spacing w:after="0" w:line="152" w:lineRule="exact"/>
        <w:rPr>
          <w:sz w:val="20"/>
          <w:szCs w:val="20"/>
          <w:color w:val="auto"/>
        </w:rPr>
      </w:pPr>
    </w:p>
    <w:p>
      <w:pPr>
        <w:ind w:left="540"/>
        <w:spacing w:after="0"/>
        <w:tabs>
          <w:tab w:leader="none" w:pos="740" w:val="left"/>
        </w:tabs>
        <w:rPr>
          <w:sz w:val="20"/>
          <w:szCs w:val="20"/>
          <w:color w:val="auto"/>
        </w:rPr>
      </w:pPr>
      <w:r>
        <w:rPr>
          <w:rFonts w:ascii="Arial" w:cs="Arial" w:eastAsia="Arial" w:hAnsi="Arial"/>
          <w:sz w:val="16"/>
          <w:szCs w:val="16"/>
          <w:color w:val="auto"/>
        </w:rPr>
        <w:t>•</w:t>
        <w:tab/>
        <w:t>Periodic reviews and assessments measuring cybersecurity services capability and maturity.</w:t>
      </w:r>
    </w:p>
    <w:p>
      <w:pPr>
        <w:spacing w:after="0" w:line="140"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Cybersecurity risks are identified and documented by our cybersecurity team leadership, presented, and reviewed with the Fortrea Cybersecurity Risk Management Committee (the “Risk Committee”) as noted in the Governance of Cybersecurity section below. The Risk Committee, in conjunction with business stakeholders as required, evaluates risks which are presented to them to determine materiality. Cybersecurity risks deemed material are then formally agreed upon as items to be reported by the Chief Information Security Officer (“CISO”) to the Audit Committee.</w:t>
      </w:r>
    </w:p>
    <w:p>
      <w:pPr>
        <w:spacing w:after="0" w:line="110"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We have established plans to conduct periodic reviews and tabletop exercises to test various processes for preparedness in the event of a critical cybersecurity incident as well as including cybersecurity risk within our Enterprise Risk Management Framework. As part of our overall risk management strategy, we have secured comprehensive cyber insurance coverage. We regularly review and update our cybersecurity insurance coverage to align with the evolving nature of cyber threats and industry standards.</w:t>
      </w:r>
    </w:p>
    <w:p>
      <w:pPr>
        <w:spacing w:after="0" w:line="11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Fortrea leverages our internal audit department to provide independent reviews and recommendations to enhance Fortrea’s ability to manage risks effectively, as well as pursue external certifications. Although unknown cybersecurity risks could materialize, including in connection with the implementation of independent systems following the Spin, we are not aware of any disclosures at this time which would be considered material risks and associated with cybersecurity threats or incidents.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Refer to “Item 1A. Risk Factors” of our Annual Report on Form 10-K for further discussion of cybersecurity risks.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 of Cybersecurity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 has been authorized by the Board of Directors to oversee risks from cybersecurity threats.</w:t>
      </w:r>
    </w:p>
    <w:p>
      <w:pPr>
        <w:spacing w:after="0" w:line="15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We have established a Risk Committee chaired by the CISO and chartered to determine and execute the processes for the identification and management of material cybersecurity risks. The Risk Committee is comprised of cross-functional executive leaders who can assess materiality impact and are accountable for materiality disclosure. The CISO is responsible for reporting on the state of cybersecurity to the Audit Committee on a quarterly basis, including those risks deemed material by the Risk Committee.</w:t>
      </w:r>
    </w:p>
    <w:p>
      <w:pPr>
        <w:spacing w:after="0" w:line="110"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Our CISO has more than 30 years of experience building and leading cybersecurity programs for global healthcare and retail companies. The cybersecurity leadership team reporting to the CISO is comprised of leaders with skills in cybersecurity risk management, cybersecurity architecture, identity and access management, and cybersecurity operations and engineering. Their experience and certifications are commensurate with their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26</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81"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purpose of this Compensation Discussion and Analysis (“CD&amp;A”) is to provide our stockholders with an understanding of our approach to executive compensation and to detail our decision-making processes for compensation to our NEOs for fiscal year 2025.</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2025 NEOs are listed below, and an overview of the compensation decisions made is highlighted on the pages that follow.</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2025 NAMED EXECUTIVE OFFICERS</w:t>
      </w:r>
    </w:p>
    <w:p>
      <w:pPr>
        <w:spacing w:after="0" w:line="143" w:lineRule="exact"/>
        <w:rPr>
          <w:sz w:val="20"/>
          <w:szCs w:val="20"/>
          <w:color w:val="auto"/>
        </w:rPr>
      </w:pPr>
    </w:p>
    <w:tbl>
      <w:tblPr>
        <w:tblLayout w:type="fixed"/>
        <w:tblInd w:w="1230" w:type="dxa"/>
        <w:tblCellMar>
          <w:top w:w="0" w:type="dxa"/>
          <w:left w:w="0" w:type="dxa"/>
          <w:bottom w:w="0" w:type="dxa"/>
          <w:right w:w="0" w:type="dxa"/>
        </w:tblCellMar>
      </w:tblPr>
      <w:tr>
        <w:trPr>
          <w:trHeight w:val="275"/>
        </w:trPr>
        <w:tc>
          <w:tcPr>
            <w:tcW w:w="2580" w:type="dxa"/>
            <w:vAlign w:val="bottom"/>
            <w:tcBorders>
              <w:top w:val="single" w:sz="8" w:color="auto"/>
              <w:left w:val="single" w:sz="8" w:color="auto"/>
              <w:bottom w:val="single" w:sz="8" w:color="0BC11C"/>
              <w:right w:val="single" w:sz="8" w:color="auto"/>
            </w:tcBorders>
            <w:shd w:val="clear" w:color="auto" w:fill="0BC11C"/>
          </w:tcPr>
          <w:p>
            <w:pPr>
              <w:ind w:left="240"/>
              <w:spacing w:after="0"/>
              <w:rPr>
                <w:sz w:val="20"/>
                <w:szCs w:val="20"/>
                <w:color w:val="auto"/>
              </w:rPr>
            </w:pPr>
            <w:r>
              <w:rPr>
                <w:rFonts w:ascii="Arial" w:cs="Arial" w:eastAsia="Arial" w:hAnsi="Arial"/>
                <w:sz w:val="14"/>
                <w:szCs w:val="14"/>
                <w:b w:val="1"/>
                <w:bCs w:val="1"/>
                <w:color w:val="FFFFFF"/>
              </w:rPr>
              <w:t>Name</w:t>
            </w:r>
          </w:p>
        </w:tc>
        <w:tc>
          <w:tcPr>
            <w:tcW w:w="6240" w:type="dxa"/>
            <w:vAlign w:val="bottom"/>
            <w:tcBorders>
              <w:top w:val="single" w:sz="8" w:color="auto"/>
              <w:bottom w:val="single" w:sz="8" w:color="0BC11C"/>
              <w:right w:val="single" w:sz="8" w:color="auto"/>
            </w:tcBorders>
            <w:shd w:val="clear" w:color="auto" w:fill="0BC11C"/>
          </w:tcPr>
          <w:p>
            <w:pPr>
              <w:ind w:left="160"/>
              <w:spacing w:after="0"/>
              <w:rPr>
                <w:sz w:val="20"/>
                <w:szCs w:val="20"/>
                <w:color w:val="auto"/>
              </w:rPr>
            </w:pPr>
            <w:r>
              <w:rPr>
                <w:rFonts w:ascii="Arial" w:cs="Arial" w:eastAsia="Arial" w:hAnsi="Arial"/>
                <w:sz w:val="14"/>
                <w:szCs w:val="14"/>
                <w:b w:val="1"/>
                <w:bCs w:val="1"/>
                <w:color w:val="FFFFFF"/>
              </w:rPr>
              <w:t>Title</w:t>
            </w:r>
          </w:p>
        </w:tc>
      </w:tr>
      <w:tr>
        <w:trPr>
          <w:trHeight w:val="261"/>
        </w:trPr>
        <w:tc>
          <w:tcPr>
            <w:tcW w:w="258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Anshul Thakral</w:t>
            </w:r>
          </w:p>
        </w:tc>
        <w:tc>
          <w:tcPr>
            <w:tcW w:w="6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Chief Executive Officer and Director</w:t>
            </w:r>
          </w:p>
        </w:tc>
      </w:tr>
      <w:tr>
        <w:trPr>
          <w:trHeight w:val="43"/>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62"/>
        </w:trPr>
        <w:tc>
          <w:tcPr>
            <w:tcW w:w="25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Jill McConnell</w:t>
            </w:r>
          </w:p>
        </w:tc>
        <w:tc>
          <w:tcPr>
            <w:tcW w:w="6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Chief Financial Officer</w:t>
            </w:r>
          </w:p>
        </w:tc>
      </w:tr>
      <w:tr>
        <w:trPr>
          <w:trHeight w:val="43"/>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61"/>
        </w:trPr>
        <w:tc>
          <w:tcPr>
            <w:tcW w:w="25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Mark Morais</w:t>
            </w:r>
          </w:p>
        </w:tc>
        <w:tc>
          <w:tcPr>
            <w:tcW w:w="6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Chief Operating Officer and President, Clinical Services</w:t>
            </w:r>
          </w:p>
        </w:tc>
      </w:tr>
      <w:tr>
        <w:trPr>
          <w:trHeight w:val="43"/>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62"/>
        </w:trPr>
        <w:tc>
          <w:tcPr>
            <w:tcW w:w="25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Peter M. Neupert</w:t>
            </w:r>
          </w:p>
        </w:tc>
        <w:tc>
          <w:tcPr>
            <w:tcW w:w="6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Chairman and Former Interim Chief Executive Officer</w:t>
            </w:r>
          </w:p>
        </w:tc>
      </w:tr>
      <w:tr>
        <w:trPr>
          <w:trHeight w:val="42"/>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62"/>
        </w:trPr>
        <w:tc>
          <w:tcPr>
            <w:tcW w:w="25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Thomas Pike</w:t>
            </w:r>
          </w:p>
        </w:tc>
        <w:tc>
          <w:tcPr>
            <w:tcW w:w="6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Former Chairman and Chief Executive Officer</w:t>
            </w:r>
          </w:p>
        </w:tc>
      </w:tr>
      <w:tr>
        <w:trPr>
          <w:trHeight w:val="43"/>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ind w:left="120" w:right="380"/>
        <w:spacing w:after="0" w:line="254" w:lineRule="auto"/>
        <w:rPr>
          <w:sz w:val="20"/>
          <w:szCs w:val="20"/>
          <w:color w:val="auto"/>
        </w:rPr>
      </w:pPr>
      <w:r>
        <w:rPr>
          <w:rFonts w:ascii="Arial" w:cs="Arial" w:eastAsia="Arial" w:hAnsi="Arial"/>
          <w:sz w:val="16"/>
          <w:szCs w:val="16"/>
          <w:color w:val="auto"/>
        </w:rPr>
        <w:t>We are a leading global contract research organization (“CRO”), providing biopharmaceutical product and medical device development solutions to pharmaceutical, biotechnology and medical device customers. We provide phase I through IV clinical trial management, clinical pharmacology, and consulting services for our customers. For more than 30 years, we have supported our global pharmaceutical, biotechnology, and medical device customers across more than 20 therapeutic areas, providing agile delivery models that include Full Service, Functional Service Provider (“FSP”), and Hybrid structures. We believe we are well positioned to leverage our global scale, scientific and therapeutic expertise, access to clinical data-driven insights, industry network, and decades of experience to bring customers distinctive, expert solutions.</w:t>
      </w:r>
    </w:p>
    <w:p>
      <w:pPr>
        <w:spacing w:after="0" w:line="114" w:lineRule="exact"/>
        <w:rPr>
          <w:sz w:val="20"/>
          <w:szCs w:val="20"/>
          <w:color w:val="auto"/>
        </w:rPr>
      </w:pPr>
    </w:p>
    <w:p>
      <w:pPr>
        <w:ind w:left="120" w:right="1300"/>
        <w:spacing w:after="0" w:line="286" w:lineRule="auto"/>
        <w:rPr>
          <w:sz w:val="20"/>
          <w:szCs w:val="20"/>
          <w:color w:val="auto"/>
        </w:rPr>
      </w:pPr>
      <w:r>
        <w:rPr>
          <w:rFonts w:ascii="Arial" w:cs="Arial" w:eastAsia="Arial" w:hAnsi="Arial"/>
          <w:sz w:val="16"/>
          <w:szCs w:val="16"/>
          <w:color w:val="auto"/>
        </w:rPr>
        <w:t>Our team of approximately 14,300 employees is able to conduct operations in approximately 100 countries. Our solutions streamline the biopharmaceutical product and medical device development process.</w:t>
      </w:r>
    </w:p>
    <w:p>
      <w:pPr>
        <w:spacing w:after="0" w:line="75"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Fortrea combines decades of domain expertise with the nimbleness required to meet market demand for flexible engagements with large and small customers, delivering solutions that bring life-changing treatments to patients faster and creating value for all stakeholders. Our expertise in the biopharmaceutical product and medical device development process has enabled us to design service offerings to better meet the needs of customers.</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On June 29, 2023, Fortrea and Labcorp entered into a Separation and Distribution Agreement pursuant to which Labcorp agreed to spin-off its contract research organization business into Fortrea, a new publicly-traded company, through a pro-rata distribution of shares that was effective on June 30, 2023, which is referred to herein as the “Spin”.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2025 Performance Highlights</w:t>
      </w:r>
    </w:p>
    <w:p>
      <w:pPr>
        <w:spacing w:after="0" w:line="108"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In March 2025, Fortrea provided initial financial guidance for the full year 2025, which was updated in August and November. Fiscal-year (“FY”) 2025 performance relative to this guidance and certain prior year metrics are below:</w:t>
      </w:r>
    </w:p>
    <w:p>
      <w:pPr>
        <w:spacing w:after="0" w:line="88"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for the year ended December 31, 2025 was $2,723.4 million, in line with our revised guidance range.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for the full year 2025 was $189.9 million, towards the higher end of our revised guidance range.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Trailing twelve-month book-to-bill ratio was 1.02x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27</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72" w:lineRule="exact"/>
        <w:rPr>
          <w:sz w:val="20"/>
          <w:szCs w:val="20"/>
          <w:color w:val="auto"/>
        </w:rPr>
      </w:pPr>
    </w:p>
    <w:p>
      <w:pPr>
        <w:ind w:left="120" w:right="3540" w:hanging="4"/>
        <w:spacing w:after="0" w:line="413" w:lineRule="auto"/>
        <w:tabs>
          <w:tab w:leader="none" w:pos="3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Backlog as of December 31, 2025, was $7,728 million, an increase of 0.4% from December 31, 2024. Additional FY 2025 performance highlights include:</w:t>
      </w:r>
    </w:p>
    <w:p>
      <w:pPr>
        <w:spacing w:after="0" w:line="1" w:lineRule="exact"/>
        <w:rPr>
          <w:rFonts w:ascii="Arial" w:cs="Arial" w:eastAsia="Arial" w:hAnsi="Arial"/>
          <w:sz w:val="16"/>
          <w:szCs w:val="16"/>
          <w:color w:val="auto"/>
        </w:rPr>
      </w:pPr>
    </w:p>
    <w:p>
      <w:pPr>
        <w:ind w:left="340" w:right="260" w:hanging="224"/>
        <w:spacing w:after="0" w:line="28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Completing our exit of the Transition Service Agreement (“TSA”) in place with Labcorp, including establishing and deploying standalone financial, IT and other systems that are more tailored to the needs of Fortrea and with a more appropriate cost structure for a company of our size.</w:t>
      </w:r>
    </w:p>
    <w:p>
      <w:pPr>
        <w:spacing w:after="0" w:line="20" w:lineRule="exact"/>
        <w:rPr>
          <w:rFonts w:ascii="Arial" w:cs="Arial" w:eastAsia="Arial" w:hAnsi="Arial"/>
          <w:sz w:val="16"/>
          <w:szCs w:val="16"/>
          <w:color w:val="auto"/>
        </w:rPr>
      </w:pPr>
    </w:p>
    <w:p>
      <w:pPr>
        <w:ind w:left="340" w:hanging="224"/>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Strengthened balance sheet through $75.7M debt paydown using cash on hand.</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Delivered FY $153M gross / $93M net savings to improve underlying margin, exceeding annual targets.</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Generated positive Q4 and FY operating &amp; free cash flow with improved days sales outstanding.</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Pay-for-Performance</w:t>
      </w:r>
    </w:p>
    <w:p>
      <w:pPr>
        <w:spacing w:after="0" w:line="8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Our executive compensation program is comprised of three primary elements: base salary, annual performance-based incentive compensation, and long-term incentive compensation in the form of Performance Stock Units (“PSUs”) and Restricted Stock Units (“RSUs”).</w:t>
      </w:r>
    </w:p>
    <w:p>
      <w:pPr>
        <w:spacing w:after="0" w:line="75" w:lineRule="exact"/>
        <w:rPr>
          <w:sz w:val="20"/>
          <w:szCs w:val="20"/>
          <w:color w:val="auto"/>
        </w:rPr>
      </w:pPr>
    </w:p>
    <w:p>
      <w:pPr>
        <w:ind w:left="120" w:right="780"/>
        <w:spacing w:after="0" w:line="286" w:lineRule="auto"/>
        <w:rPr>
          <w:sz w:val="20"/>
          <w:szCs w:val="20"/>
          <w:color w:val="auto"/>
        </w:rPr>
      </w:pPr>
      <w:r>
        <w:rPr>
          <w:rFonts w:ascii="Arial" w:cs="Arial" w:eastAsia="Arial" w:hAnsi="Arial"/>
          <w:sz w:val="16"/>
          <w:szCs w:val="16"/>
          <w:color w:val="auto"/>
        </w:rPr>
        <w:t>A significant percentage of the target total direct compensation opportunities for our NEOs is structured as “performance-based” compensation, comprised of an annual short-term bonus opportunity and PSUs.</w:t>
      </w:r>
    </w:p>
    <w:p>
      <w:pPr>
        <w:spacing w:after="0" w:line="8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In 2025, as detailed later in this Compensation Discussion and Analysis, the pay-for-performance structure of our executive compensation program operated as designed and intended. The annual bonus and long-term incentive compensation paid out or vested at levels to recognize progress over the prior year but still below target based on our financial performance during 2025.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Advisory Vote (“Say on Pay”)</w:t>
      </w:r>
    </w:p>
    <w:p>
      <w:pPr>
        <w:spacing w:after="0" w:line="6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At our 2025 annual meeting of stockholders, we held an advisory stockholder vote on the compensation paid to our named executive officers, which we refer to as “Say on Pay.” The compensation of our named executive officers reported in our 2025 proxy statement was approved by over 94% of the votes cast at the 2025 annual meeting of stockholders.</w:t>
      </w:r>
    </w:p>
    <w:p>
      <w:pPr>
        <w:spacing w:after="0" w:line="10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MDCC believes this affirms our stockholders’ support of our approach to executive compensation. The MDCC will continue to consider the outcome of our say-on-pay votes and feedback from stockholders when making future compensation decisions for our named executive officers.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2025 Compensation Highlights</w:t>
      </w:r>
    </w:p>
    <w:p>
      <w:pPr>
        <w:spacing w:after="0" w:line="6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To further align our executive compensation program with our financial and operational results and stockholder interests, our MDCC took the following key actions with respect to our NEOs in fiscal year 2025:</w:t>
      </w:r>
    </w:p>
    <w:p>
      <w:pPr>
        <w:spacing w:after="0" w:line="21"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As an integral part of establishing our executive leadership in 2025, the MDCC and Board developed a compensation package for</w:t>
      </w:r>
    </w:p>
    <w:p>
      <w:pPr>
        <w:spacing w:after="0" w:line="21" w:lineRule="exact"/>
        <w:rPr>
          <w:rFonts w:ascii="Arial" w:cs="Arial" w:eastAsia="Arial" w:hAnsi="Arial"/>
          <w:sz w:val="16"/>
          <w:szCs w:val="16"/>
          <w:color w:val="auto"/>
        </w:rPr>
      </w:pPr>
    </w:p>
    <w:p>
      <w:pPr>
        <w:ind w:left="340"/>
        <w:spacing w:after="0" w:line="252" w:lineRule="auto"/>
        <w:rPr>
          <w:rFonts w:ascii="Arial" w:cs="Arial" w:eastAsia="Arial" w:hAnsi="Arial"/>
          <w:sz w:val="16"/>
          <w:szCs w:val="16"/>
          <w:color w:val="auto"/>
        </w:rPr>
      </w:pPr>
      <w:r>
        <w:rPr>
          <w:rFonts w:ascii="Arial" w:cs="Arial" w:eastAsia="Arial" w:hAnsi="Arial"/>
          <w:sz w:val="16"/>
          <w:szCs w:val="16"/>
          <w:color w:val="auto"/>
        </w:rPr>
        <w:t>Mr. Thakral consistent with our philosophy of aligning executive compensation with our financial and operational results and stockholders’ interest. The MDCC established an initial base salary for Mr. Thakral based on an analysis of competitive market data and negotiations with Mr. Thakral. In February 2025, the MDCC evaluated the base salaries of our NEOs in place at that time and made certain adjustments for Ms. McConnell and Mr. Morais. No adjustments were made to Mr. Pike’s salary.</w:t>
      </w:r>
    </w:p>
    <w:p>
      <w:pPr>
        <w:spacing w:after="0" w:line="48" w:lineRule="exact"/>
        <w:rPr>
          <w:rFonts w:ascii="Arial" w:cs="Arial" w:eastAsia="Arial" w:hAnsi="Arial"/>
          <w:sz w:val="16"/>
          <w:szCs w:val="16"/>
          <w:color w:val="auto"/>
        </w:rPr>
      </w:pPr>
    </w:p>
    <w:p>
      <w:pPr>
        <w:ind w:left="340" w:right="620" w:hanging="224"/>
        <w:spacing w:after="0" w:line="28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Annual Incentive Compensation</w:t>
      </w:r>
      <w:r>
        <w:rPr>
          <w:rFonts w:ascii="Arial" w:cs="Arial" w:eastAsia="Arial" w:hAnsi="Arial"/>
          <w:sz w:val="16"/>
          <w:szCs w:val="16"/>
          <w:color w:val="auto"/>
        </w:rPr>
        <w:t>: The MDCC approved the actual achievement against target at 68.5%, based on 2025 performance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goals and their individual accomplishments.</w:t>
      </w:r>
    </w:p>
    <w:p>
      <w:pPr>
        <w:spacing w:after="0" w:line="20" w:lineRule="exact"/>
        <w:rPr>
          <w:rFonts w:ascii="Arial" w:cs="Arial" w:eastAsia="Arial" w:hAnsi="Arial"/>
          <w:sz w:val="16"/>
          <w:szCs w:val="16"/>
          <w:color w:val="auto"/>
        </w:rPr>
      </w:pPr>
    </w:p>
    <w:p>
      <w:pPr>
        <w:ind w:left="340" w:right="60" w:hanging="224"/>
        <w:spacing w:after="0" w:line="25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Long-term Incentive Compensation</w:t>
      </w:r>
      <w:r>
        <w:rPr>
          <w:rFonts w:ascii="Arial" w:cs="Arial" w:eastAsia="Arial" w:hAnsi="Arial"/>
          <w:sz w:val="16"/>
          <w:szCs w:val="16"/>
          <w:color w:val="auto"/>
        </w:rPr>
        <w:t>: Long-term incentive (“LTI”) grants were made to Ms. McConnell and Mr. Morais in the form of PSUs and time-vested RSUs. In August 2025, the Company granted PSUs and time-vested RSUs to Mr. Thakral in connection with his start date. These equity grants to Mr. Thakral, Ms. McConnell and Mr. Morais were intended to provide competitive compensation while increasing their share ownership and alignment with stockholders. The 2025 PSUs for Ms. McConnell and Mr. Morais have three, one-year performance periods based on revenue and adjusted EBITDA margin and include a three-year relative TSR modifier, and the terms of Mr. Thakral’s PSUs are further detailed in the Fortrea 2025 Long-Term Incentive Compensation – Performance Stock Units and Restricted Stock Units section below. Mr. Pike did not receive any LTI grants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28</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Transition</w:t>
      </w:r>
    </w:p>
    <w:p>
      <w:pPr>
        <w:spacing w:after="0" w:line="6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As previously disclosed, in May 2025, Mr. Pike stepped down as the Company’s Chief Executive Officer, and in connection therewith, Mr. Pike received severance as provided pursuant to Section 7(e) of his Executive Employment Agreement, dated as of January 4, 2023 (“Pike Employment Agreement”). In connection with Mr. Pike’s transition, the Board appointed Mr. Neupert, who was then serving as a director on the Board, to succeed Mr. Pike as Interim CEO. During the term of his employment as Interim CEO, Mr. Neupert was paid a base salary at a rate of $100,000 per month and was granted RSUs as disclosed below. Mr. Neupert served as Interim CEO until Mr. Thakral assumed the Chief Executive role in August 2025.</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2026 Compensation Highlights</w:t>
      </w:r>
    </w:p>
    <w:p>
      <w:pPr>
        <w:spacing w:after="0" w:line="6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2026, the MDCC reviewed the features of Fortrea’s bonus and long-term incentive plan and determined not to make any changes, with the exception of approving a one-time PSU Award program for the Company’s executive leadership team (other than the Company’s recently hired CEO and General Counsel) to incentivize executives to drive longer-term Company growth and performance while also enhancing retention. This award is incremental to the existing annual long-term incentive grant and tied to pre-determined stock price performance goals that are measured over a three-year performance period. The goals are intended to be sufficiently rigorous so as to encourage executives to perform above projections and receive meaningful payouts, as the plan design provides for up to 300% payout leverage. Payouts will be determined based on interpolation between the set share price metrics.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2025 Executive Compensation Program</w:t>
      </w:r>
    </w:p>
    <w:p>
      <w:pPr>
        <w:spacing w:after="0" w:line="81"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executive compensation program is intended to attract, motivate and retain talented executives in a highly competitive environment, consistent with Fortrea’s executive compensation philosophy to pay for performance by rewarding the achievement of specific short-term and long-term financial, operational and strategic goals.</w:t>
      </w:r>
    </w:p>
    <w:p>
      <w:pPr>
        <w:spacing w:after="0" w:line="9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Our 2025 executive compensation structure consisted of three core compensation elements: base salary, bonus, and long-term incentive awards. In 2025, the MDCC evaluated each compensation element individually while also considering the appropriate total compensation mix. Following its review, the MDCC took certain compensation actions to align named executive officer (“NEO”) compensation more closely with Fortrea’s compensation philosophy and the compensation practices of its public company peers.</w:t>
      </w:r>
    </w:p>
    <w:p>
      <w:pPr>
        <w:spacing w:after="0" w:line="110"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In 2026, the MDCC may conduct a further review of its use of equity in its compensation practices, given the recent market dynamics across the sector and for Fortrea specifically.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Compensation Highlights</w:t>
      </w:r>
    </w:p>
    <w:p>
      <w:pPr>
        <w:spacing w:after="0" w:line="141" w:lineRule="exact"/>
        <w:rPr>
          <w:sz w:val="20"/>
          <w:szCs w:val="20"/>
          <w:color w:val="auto"/>
        </w:rPr>
      </w:pPr>
    </w:p>
    <w:tbl>
      <w:tblPr>
        <w:tblLayout w:type="fixed"/>
        <w:tblInd w:w="130" w:type="dxa"/>
        <w:tblCellMar>
          <w:top w:w="0" w:type="dxa"/>
          <w:left w:w="0" w:type="dxa"/>
          <w:bottom w:w="0" w:type="dxa"/>
          <w:right w:w="0" w:type="dxa"/>
        </w:tblCellMar>
      </w:tblPr>
      <w:tr>
        <w:trPr>
          <w:trHeight w:val="370"/>
        </w:trPr>
        <w:tc>
          <w:tcPr>
            <w:tcW w:w="1560" w:type="dxa"/>
            <w:vAlign w:val="bottom"/>
            <w:tcBorders>
              <w:top w:val="single" w:sz="8" w:color="auto"/>
              <w:left w:val="single" w:sz="8" w:color="auto"/>
              <w:bottom w:val="single" w:sz="8" w:color="0BC11C"/>
              <w:right w:val="single" w:sz="8" w:color="auto"/>
            </w:tcBorders>
            <w:shd w:val="clear" w:color="auto" w:fill="0BC11C"/>
          </w:tcPr>
          <w:p>
            <w:pPr>
              <w:spacing w:after="0"/>
              <w:rPr>
                <w:sz w:val="24"/>
                <w:szCs w:val="24"/>
                <w:color w:val="auto"/>
              </w:rPr>
            </w:pPr>
          </w:p>
        </w:tc>
        <w:tc>
          <w:tcPr>
            <w:tcW w:w="4740" w:type="dxa"/>
            <w:vAlign w:val="bottom"/>
            <w:tcBorders>
              <w:top w:val="single" w:sz="8" w:color="auto"/>
              <w:bottom w:val="single" w:sz="8" w:color="0BC11C"/>
              <w:right w:val="single" w:sz="8" w:color="auto"/>
            </w:tcBorders>
            <w:shd w:val="clear" w:color="auto" w:fill="0BC11C"/>
          </w:tcPr>
          <w:p>
            <w:pPr>
              <w:ind w:left="160"/>
              <w:spacing w:after="0"/>
              <w:rPr>
                <w:sz w:val="20"/>
                <w:szCs w:val="20"/>
                <w:color w:val="auto"/>
              </w:rPr>
            </w:pPr>
            <w:r>
              <w:rPr>
                <w:rFonts w:ascii="Arial" w:cs="Arial" w:eastAsia="Arial" w:hAnsi="Arial"/>
                <w:sz w:val="14"/>
                <w:szCs w:val="14"/>
                <w:b w:val="1"/>
                <w:bCs w:val="1"/>
                <w:color w:val="FFFFFF"/>
              </w:rPr>
              <w:t>What We Do</w:t>
            </w:r>
          </w:p>
        </w:tc>
        <w:tc>
          <w:tcPr>
            <w:tcW w:w="4740" w:type="dxa"/>
            <w:vAlign w:val="bottom"/>
            <w:tcBorders>
              <w:top w:val="single" w:sz="8" w:color="auto"/>
              <w:bottom w:val="single" w:sz="8" w:color="0BC11C"/>
              <w:right w:val="single" w:sz="8" w:color="auto"/>
            </w:tcBorders>
            <w:shd w:val="clear" w:color="auto" w:fill="0BC11C"/>
          </w:tcPr>
          <w:p>
            <w:pPr>
              <w:ind w:left="100"/>
              <w:spacing w:after="0"/>
              <w:rPr>
                <w:sz w:val="20"/>
                <w:szCs w:val="20"/>
                <w:color w:val="auto"/>
              </w:rPr>
            </w:pPr>
            <w:r>
              <w:rPr>
                <w:rFonts w:ascii="Arial" w:cs="Arial" w:eastAsia="Arial" w:hAnsi="Arial"/>
                <w:sz w:val="14"/>
                <w:szCs w:val="14"/>
                <w:b w:val="1"/>
                <w:bCs w:val="1"/>
                <w:color w:val="FFFFFF"/>
              </w:rPr>
              <w:t>What We Don’t Do</w:t>
            </w:r>
          </w:p>
        </w:tc>
      </w:tr>
      <w:tr>
        <w:trPr>
          <w:trHeight w:val="222"/>
        </w:trPr>
        <w:tc>
          <w:tcPr>
            <w:tcW w:w="15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Compensation</w:t>
            </w:r>
          </w:p>
        </w:tc>
        <w:tc>
          <w:tcPr>
            <w:tcW w:w="4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Use balanced mix of cash and equity compensation and</w:t>
            </w:r>
          </w:p>
        </w:tc>
        <w:tc>
          <w:tcPr>
            <w:tcW w:w="4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No uncapped incentive opportunities.</w:t>
            </w:r>
          </w:p>
        </w:tc>
      </w:tr>
      <w:tr>
        <w:trPr>
          <w:trHeight w:val="189"/>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Program</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annual and long-term incentives.</w:t>
            </w: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No hedging or pledging of our shares.</w:t>
            </w:r>
          </w:p>
        </w:tc>
      </w:tr>
      <w:tr>
        <w:trPr>
          <w:trHeight w:val="189"/>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Elements</w:t>
            </w: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Provide competitive target total compensation to our NEOs.</w:t>
            </w:r>
          </w:p>
        </w:tc>
        <w:tc>
          <w:tcPr>
            <w:tcW w:w="4740" w:type="dxa"/>
            <w:vAlign w:val="bottom"/>
            <w:tcBorders>
              <w:right w:val="single" w:sz="8" w:color="auto"/>
            </w:tcBorders>
          </w:tcPr>
          <w:p>
            <w:pPr>
              <w:spacing w:after="0"/>
              <w:rPr>
                <w:sz w:val="16"/>
                <w:szCs w:val="16"/>
                <w:color w:val="auto"/>
              </w:rPr>
            </w:pP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Engage independent compensation consultant to provide</w:t>
            </w:r>
          </w:p>
        </w:tc>
        <w:tc>
          <w:tcPr>
            <w:tcW w:w="4740" w:type="dxa"/>
            <w:vAlign w:val="bottom"/>
            <w:tcBorders>
              <w:right w:val="single" w:sz="8" w:color="auto"/>
            </w:tcBorders>
          </w:tcPr>
          <w:p>
            <w:pPr>
              <w:spacing w:after="0"/>
              <w:rPr>
                <w:sz w:val="16"/>
                <w:szCs w:val="16"/>
                <w:color w:val="auto"/>
              </w:rPr>
            </w:pPr>
          </w:p>
        </w:tc>
      </w:tr>
      <w:tr>
        <w:trPr>
          <w:trHeight w:val="215"/>
        </w:trPr>
        <w:tc>
          <w:tcPr>
            <w:tcW w:w="156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MDCC advice and market trends on executive compensation.</w:t>
            </w:r>
          </w:p>
        </w:tc>
        <w:tc>
          <w:tcPr>
            <w:tcW w:w="4740" w:type="dxa"/>
            <w:vAlign w:val="bottom"/>
            <w:tcBorders>
              <w:right w:val="single" w:sz="8" w:color="auto"/>
            </w:tcBorders>
          </w:tcPr>
          <w:p>
            <w:pPr>
              <w:spacing w:after="0"/>
              <w:rPr>
                <w:sz w:val="18"/>
                <w:szCs w:val="18"/>
                <w:color w:val="auto"/>
              </w:rPr>
            </w:pPr>
          </w:p>
        </w:tc>
      </w:tr>
      <w:tr>
        <w:trPr>
          <w:trHeight w:val="56"/>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r>
        <w:trPr>
          <w:trHeight w:val="222"/>
        </w:trPr>
        <w:tc>
          <w:tcPr>
            <w:tcW w:w="156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b w:val="1"/>
                <w:bCs w:val="1"/>
                <w:color w:val="auto"/>
              </w:rPr>
              <w:t>Pay for</w:t>
            </w:r>
          </w:p>
        </w:tc>
        <w:tc>
          <w:tcPr>
            <w:tcW w:w="4740" w:type="dxa"/>
            <w:vAlign w:val="bottom"/>
            <w:tcBorders>
              <w:right w:val="single" w:sz="8" w:color="auto"/>
            </w:tcBorders>
            <w:shd w:val="clear" w:color="auto" w:fill="EDEDED"/>
          </w:tcPr>
          <w:p>
            <w:pPr>
              <w:ind w:left="100"/>
              <w:spacing w:after="0"/>
              <w:rPr>
                <w:sz w:val="20"/>
                <w:szCs w:val="20"/>
                <w:color w:val="auto"/>
              </w:rPr>
            </w:pPr>
            <w:r>
              <w:rPr>
                <w:rFonts w:ascii="Arial" w:cs="Arial" w:eastAsia="Arial" w:hAnsi="Arial"/>
                <w:sz w:val="16"/>
                <w:szCs w:val="16"/>
                <w:color w:val="auto"/>
              </w:rPr>
              <w:t>•  Align executive compensation with the execution of our</w:t>
            </w:r>
          </w:p>
        </w:tc>
        <w:tc>
          <w:tcPr>
            <w:tcW w:w="4740" w:type="dxa"/>
            <w:vAlign w:val="bottom"/>
            <w:tcBorders>
              <w:right w:val="single" w:sz="8" w:color="auto"/>
            </w:tcBorders>
            <w:shd w:val="clear" w:color="auto" w:fill="EDEDED"/>
          </w:tcPr>
          <w:p>
            <w:pPr>
              <w:ind w:left="100"/>
              <w:spacing w:after="0"/>
              <w:rPr>
                <w:sz w:val="20"/>
                <w:szCs w:val="20"/>
                <w:color w:val="auto"/>
              </w:rPr>
            </w:pPr>
            <w:r>
              <w:rPr>
                <w:rFonts w:ascii="Arial" w:cs="Arial" w:eastAsia="Arial" w:hAnsi="Arial"/>
                <w:sz w:val="16"/>
                <w:szCs w:val="16"/>
                <w:color w:val="auto"/>
              </w:rPr>
              <w:t>•  While we emphasize “at risk” pay tied to performance, our</w:t>
            </w:r>
          </w:p>
        </w:tc>
      </w:tr>
      <w:tr>
        <w:trPr>
          <w:trHeight w:val="189"/>
        </w:trPr>
        <w:tc>
          <w:tcPr>
            <w:tcW w:w="156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b w:val="1"/>
                <w:bCs w:val="1"/>
                <w:color w:val="auto"/>
              </w:rPr>
              <w:t>Performance</w:t>
            </w: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business strategy by using balanced performance metrics</w:t>
            </w: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program does not encourage excessive risk-taking by</w:t>
            </w:r>
          </w:p>
        </w:tc>
      </w:tr>
      <w:tr>
        <w:trPr>
          <w:trHeight w:val="189"/>
        </w:trPr>
        <w:tc>
          <w:tcPr>
            <w:tcW w:w="1560" w:type="dxa"/>
            <w:vAlign w:val="bottom"/>
            <w:tcBorders>
              <w:left w:val="single" w:sz="8" w:color="auto"/>
              <w:right w:val="single" w:sz="8" w:color="auto"/>
            </w:tcBorders>
            <w:shd w:val="clear" w:color="auto" w:fill="EDEDED"/>
          </w:tcPr>
          <w:p>
            <w:pPr>
              <w:spacing w:after="0"/>
              <w:rPr>
                <w:sz w:val="16"/>
                <w:szCs w:val="16"/>
                <w:color w:val="auto"/>
              </w:rPr>
            </w:pP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that are intended to reward behaviors that support our</w:t>
            </w: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management.</w:t>
            </w:r>
          </w:p>
        </w:tc>
      </w:tr>
      <w:tr>
        <w:trPr>
          <w:trHeight w:val="189"/>
        </w:trPr>
        <w:tc>
          <w:tcPr>
            <w:tcW w:w="1560" w:type="dxa"/>
            <w:vAlign w:val="bottom"/>
            <w:tcBorders>
              <w:left w:val="single" w:sz="8" w:color="auto"/>
              <w:right w:val="single" w:sz="8" w:color="auto"/>
            </w:tcBorders>
            <w:shd w:val="clear" w:color="auto" w:fill="EDEDED"/>
          </w:tcPr>
          <w:p>
            <w:pPr>
              <w:spacing w:after="0"/>
              <w:rPr>
                <w:sz w:val="16"/>
                <w:szCs w:val="16"/>
                <w:color w:val="auto"/>
              </w:rPr>
            </w:pP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business objectives and long-term stockholder value and</w:t>
            </w:r>
          </w:p>
        </w:tc>
        <w:tc>
          <w:tcPr>
            <w:tcW w:w="4740" w:type="dxa"/>
            <w:vAlign w:val="bottom"/>
            <w:tcBorders>
              <w:right w:val="single" w:sz="8" w:color="auto"/>
            </w:tcBorders>
            <w:shd w:val="clear" w:color="auto" w:fill="EDEDED"/>
          </w:tcPr>
          <w:p>
            <w:pPr>
              <w:ind w:left="100"/>
              <w:spacing w:after="0"/>
              <w:rPr>
                <w:sz w:val="20"/>
                <w:szCs w:val="20"/>
                <w:color w:val="auto"/>
              </w:rPr>
            </w:pPr>
            <w:r>
              <w:rPr>
                <w:rFonts w:ascii="Arial" w:cs="Arial" w:eastAsia="Arial" w:hAnsi="Arial"/>
                <w:sz w:val="16"/>
                <w:szCs w:val="16"/>
                <w:color w:val="auto"/>
              </w:rPr>
              <w:t>•  No guaranteed salary increases or incentive awards for</w:t>
            </w:r>
          </w:p>
        </w:tc>
      </w:tr>
      <w:tr>
        <w:trPr>
          <w:trHeight w:val="189"/>
        </w:trPr>
        <w:tc>
          <w:tcPr>
            <w:tcW w:w="1560" w:type="dxa"/>
            <w:vAlign w:val="bottom"/>
            <w:tcBorders>
              <w:left w:val="single" w:sz="8" w:color="auto"/>
              <w:right w:val="single" w:sz="8" w:color="auto"/>
            </w:tcBorders>
            <w:shd w:val="clear" w:color="auto" w:fill="EDEDED"/>
          </w:tcPr>
          <w:p>
            <w:pPr>
              <w:spacing w:after="0"/>
              <w:rPr>
                <w:sz w:val="16"/>
                <w:szCs w:val="16"/>
                <w:color w:val="auto"/>
              </w:rPr>
            </w:pP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that measure performance over multiple performance periods.</w:t>
            </w:r>
          </w:p>
        </w:tc>
        <w:tc>
          <w:tcPr>
            <w:tcW w:w="4740" w:type="dxa"/>
            <w:vAlign w:val="bottom"/>
            <w:tcBorders>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executive officers, outside of new-hire arrangements.</w:t>
            </w:r>
          </w:p>
        </w:tc>
      </w:tr>
      <w:tr>
        <w:trPr>
          <w:trHeight w:val="189"/>
        </w:trPr>
        <w:tc>
          <w:tcPr>
            <w:tcW w:w="1560" w:type="dxa"/>
            <w:vAlign w:val="bottom"/>
            <w:tcBorders>
              <w:left w:val="single" w:sz="8" w:color="auto"/>
              <w:right w:val="single" w:sz="8" w:color="auto"/>
            </w:tcBorders>
            <w:shd w:val="clear" w:color="auto" w:fill="EDEDED"/>
          </w:tcPr>
          <w:p>
            <w:pPr>
              <w:spacing w:after="0"/>
              <w:rPr>
                <w:sz w:val="16"/>
                <w:szCs w:val="16"/>
                <w:color w:val="auto"/>
              </w:rPr>
            </w:pPr>
          </w:p>
        </w:tc>
        <w:tc>
          <w:tcPr>
            <w:tcW w:w="4740" w:type="dxa"/>
            <w:vAlign w:val="bottom"/>
            <w:tcBorders>
              <w:right w:val="single" w:sz="8" w:color="auto"/>
            </w:tcBorders>
            <w:shd w:val="clear" w:color="auto" w:fill="EDEDED"/>
          </w:tcPr>
          <w:p>
            <w:pPr>
              <w:ind w:left="100"/>
              <w:spacing w:after="0"/>
              <w:rPr>
                <w:sz w:val="20"/>
                <w:szCs w:val="20"/>
                <w:color w:val="auto"/>
              </w:rPr>
            </w:pPr>
            <w:r>
              <w:rPr>
                <w:rFonts w:ascii="Arial" w:cs="Arial" w:eastAsia="Arial" w:hAnsi="Arial"/>
                <w:sz w:val="16"/>
                <w:szCs w:val="16"/>
                <w:color w:val="auto"/>
              </w:rPr>
              <w:t>•  Use relative total stockholder return metric in long-term plan</w:t>
            </w:r>
          </w:p>
        </w:tc>
        <w:tc>
          <w:tcPr>
            <w:tcW w:w="4740" w:type="dxa"/>
            <w:vAlign w:val="bottom"/>
            <w:tcBorders>
              <w:right w:val="single" w:sz="8" w:color="auto"/>
            </w:tcBorders>
            <w:shd w:val="clear" w:color="auto" w:fill="EDEDED"/>
          </w:tcPr>
          <w:p>
            <w:pPr>
              <w:ind w:left="100"/>
              <w:spacing w:after="0"/>
              <w:rPr>
                <w:sz w:val="20"/>
                <w:szCs w:val="20"/>
                <w:color w:val="auto"/>
              </w:rPr>
            </w:pPr>
            <w:r>
              <w:rPr>
                <w:rFonts w:ascii="Arial" w:cs="Arial" w:eastAsia="Arial" w:hAnsi="Arial"/>
                <w:sz w:val="16"/>
                <w:szCs w:val="16"/>
                <w:color w:val="auto"/>
              </w:rPr>
              <w:t>•  No defined benefit plans or retirement plans outside of the</w:t>
            </w:r>
          </w:p>
        </w:tc>
      </w:tr>
      <w:tr>
        <w:trPr>
          <w:trHeight w:val="276"/>
        </w:trPr>
        <w:tc>
          <w:tcPr>
            <w:tcW w:w="1560" w:type="dxa"/>
            <w:vAlign w:val="bottom"/>
            <w:tcBorders>
              <w:left w:val="single" w:sz="8" w:color="auto"/>
              <w:bottom w:val="single" w:sz="8" w:color="EDEDED"/>
              <w:right w:val="single" w:sz="8" w:color="auto"/>
            </w:tcBorders>
            <w:shd w:val="clear" w:color="auto" w:fill="EDEDED"/>
          </w:tcPr>
          <w:p>
            <w:pPr>
              <w:spacing w:after="0"/>
              <w:rPr>
                <w:sz w:val="23"/>
                <w:szCs w:val="23"/>
                <w:color w:val="auto"/>
              </w:rPr>
            </w:pPr>
          </w:p>
        </w:tc>
        <w:tc>
          <w:tcPr>
            <w:tcW w:w="4740" w:type="dxa"/>
            <w:vAlign w:val="bottom"/>
            <w:tcBorders>
              <w:bottom w:val="single" w:sz="8" w:color="EDEDED"/>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for strong alignment with stockholders.</w:t>
            </w:r>
          </w:p>
        </w:tc>
        <w:tc>
          <w:tcPr>
            <w:tcW w:w="4740" w:type="dxa"/>
            <w:vAlign w:val="bottom"/>
            <w:tcBorders>
              <w:bottom w:val="single" w:sz="8" w:color="EDEDED"/>
              <w:right w:val="single" w:sz="8" w:color="auto"/>
            </w:tcBorders>
            <w:shd w:val="clear" w:color="auto" w:fill="EDEDED"/>
          </w:tcPr>
          <w:p>
            <w:pPr>
              <w:ind w:left="260"/>
              <w:spacing w:after="0"/>
              <w:rPr>
                <w:sz w:val="20"/>
                <w:szCs w:val="20"/>
                <w:color w:val="auto"/>
              </w:rPr>
            </w:pPr>
            <w:r>
              <w:rPr>
                <w:rFonts w:ascii="Arial" w:cs="Arial" w:eastAsia="Arial" w:hAnsi="Arial"/>
                <w:sz w:val="16"/>
                <w:szCs w:val="16"/>
                <w:color w:val="auto"/>
              </w:rPr>
              <w:t>401(k) Plan available to all eligible employees.</w:t>
            </w:r>
          </w:p>
        </w:tc>
      </w:tr>
      <w:tr>
        <w:trPr>
          <w:trHeight w:val="222"/>
        </w:trPr>
        <w:tc>
          <w:tcPr>
            <w:tcW w:w="15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Strong</w:t>
            </w:r>
          </w:p>
        </w:tc>
        <w:tc>
          <w:tcPr>
            <w:tcW w:w="4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Robust share ownership guidelines.</w:t>
            </w:r>
          </w:p>
        </w:tc>
        <w:tc>
          <w:tcPr>
            <w:tcW w:w="4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No backdating of stock options. No repricing of equity awards</w:t>
            </w:r>
          </w:p>
        </w:tc>
      </w:tr>
      <w:tr>
        <w:trPr>
          <w:trHeight w:val="189"/>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Compensation</w:t>
            </w: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Insider Trading Policy prohibits pledging shares or hedging</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allowed without stockholder approval.</w:t>
            </w:r>
          </w:p>
        </w:tc>
      </w:tr>
      <w:tr>
        <w:trPr>
          <w:trHeight w:val="189"/>
        </w:trPr>
        <w:tc>
          <w:tcPr>
            <w:tcW w:w="1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Policies</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against the economic risk of ownership.</w:t>
            </w: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No individual change of control agreements with current</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Executive Severance Plan provides “Double-trigger” change</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NEOs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in control agreements with our executive officers, and double-</w:t>
            </w: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No excise tax “gross ups” in our change in control</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trigger vesting provisions for annual equity compensation</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agreements.</w:t>
            </w: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awards.</w:t>
            </w:r>
          </w:p>
        </w:tc>
        <w:tc>
          <w:tcPr>
            <w:tcW w:w="4740" w:type="dxa"/>
            <w:vAlign w:val="bottom"/>
            <w:tcBorders>
              <w:right w:val="single" w:sz="8" w:color="auto"/>
            </w:tcBorders>
          </w:tcPr>
          <w:p>
            <w:pPr>
              <w:spacing w:after="0"/>
              <w:rPr>
                <w:sz w:val="16"/>
                <w:szCs w:val="16"/>
                <w:color w:val="auto"/>
              </w:rPr>
            </w:pPr>
          </w:p>
        </w:tc>
      </w:tr>
      <w:tr>
        <w:trPr>
          <w:trHeight w:val="189"/>
        </w:trPr>
        <w:tc>
          <w:tcPr>
            <w:tcW w:w="156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Clawback policies tied to financial restatements or breaches</w:t>
            </w:r>
          </w:p>
        </w:tc>
        <w:tc>
          <w:tcPr>
            <w:tcW w:w="4740" w:type="dxa"/>
            <w:vAlign w:val="bottom"/>
            <w:tcBorders>
              <w:right w:val="single" w:sz="8" w:color="auto"/>
            </w:tcBorders>
          </w:tcPr>
          <w:p>
            <w:pPr>
              <w:spacing w:after="0"/>
              <w:rPr>
                <w:sz w:val="16"/>
                <w:szCs w:val="16"/>
                <w:color w:val="auto"/>
              </w:rPr>
            </w:pPr>
          </w:p>
        </w:tc>
      </w:tr>
      <w:tr>
        <w:trPr>
          <w:trHeight w:val="215"/>
        </w:trPr>
        <w:tc>
          <w:tcPr>
            <w:tcW w:w="156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of restrictive covenants.</w:t>
            </w:r>
          </w:p>
        </w:tc>
        <w:tc>
          <w:tcPr>
            <w:tcW w:w="4740" w:type="dxa"/>
            <w:vAlign w:val="bottom"/>
            <w:tcBorders>
              <w:right w:val="single" w:sz="8" w:color="auto"/>
            </w:tcBorders>
          </w:tcPr>
          <w:p>
            <w:pPr>
              <w:spacing w:after="0"/>
              <w:rPr>
                <w:sz w:val="18"/>
                <w:szCs w:val="18"/>
                <w:color w:val="auto"/>
              </w:rPr>
            </w:pPr>
          </w:p>
        </w:tc>
      </w:tr>
      <w:tr>
        <w:trPr>
          <w:trHeight w:val="56"/>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Determining 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26485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9"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MDCC’s compensation philosophy is to appropriately recognize and reward executives for both Company and individual performance. The MDCC generally believes that it is important to place more emphasis on pay that is performance-based and “at-risk,” and that pay mix should be more heavily weighted toward variable compensation. The MDCC is continuing to develop and refine its targeted philosophy, but in general, when reviewing target compensation relative to market for its NEOs, it considers experience, tenure and individual performance.</w:t>
      </w:r>
    </w:p>
    <w:p>
      <w:pPr>
        <w:spacing w:after="0" w:line="110"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Fortrea’s executive compensation program was designed to attract, motivate, and retain talented executives in a highly competitive environment, consistent with Fortrea’s general executive compensation philosophy to pay for performance by rewarding the achievement of specific short-term and long-term financial, operational, and strategic goals. Fortrea’s executive compensation program discourages unnecessary risk-taking and aligns the interests of Fortrea’s stockholders with the performance of Fortrea’s executives. The MDCC considers Fortrea’s financial and business performance, execution of Fortrea’s strategic plan, leadership, and operational performance in making compensation decisions. The MDCC believes that talent is the key to the daily operating and long-term success of Fortrea and adopted a compensation program to support a pay for performance culture based on:</w:t>
      </w:r>
    </w:p>
    <w:p>
      <w:pPr>
        <w:ind w:left="300" w:hanging="184"/>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attraction, retention, and motivation of top talent; (ii) pay differentiation based on individual, role, business unit, and total company level results;</w:t>
      </w:r>
    </w:p>
    <w:p>
      <w:pPr>
        <w:spacing w:after="0" w:line="5" w:lineRule="exact"/>
        <w:rPr>
          <w:rFonts w:ascii="Arial" w:cs="Arial" w:eastAsia="Arial" w:hAnsi="Arial"/>
          <w:sz w:val="16"/>
          <w:szCs w:val="16"/>
          <w:color w:val="auto"/>
        </w:rPr>
      </w:pPr>
    </w:p>
    <w:p>
      <w:pPr>
        <w:ind w:left="120" w:right="580" w:hanging="4"/>
        <w:spacing w:after="0" w:line="265" w:lineRule="auto"/>
        <w:tabs>
          <w:tab w:leader="none" w:pos="3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 packages that are market competitive; (iv) fair, equitable, and compliant pay practices that support internal equity; (v) motivating performance and rewarding results that lead to profitable growth over time; and (vi) support of stockholder interests and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30</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Management Development and Compensation Committee</w:t>
      </w:r>
    </w:p>
    <w:p>
      <w:pPr>
        <w:spacing w:after="0" w:line="66"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MDCC’s oversight responsibilities include Fortrea’s compensation and benefits as well as human capital management. The MDCC believes that a strong focus on an inclusive culture of excellence aligns with stockholder goals, and updates are provided at each regular meeting to monitor and discuss Fortrea’s efforts. With respect to Fortrea’s senior management, the MDCC establishes compensation and benefits plans, sets compensation targets and performance goals, and evaluates performance against those plans and goals. The MDCC meets throughout the year to review compensation trends, evaluate emerging best practices, and consider changes to the executive compensation programs that align pay with performance and provide Fortrea’s senior management with an incentive to achieve superior financial results for Fortrea. In determining whether changes to the executive compensation programs are needed, the MDCC considers the goals and strategic objectives of Fortrea, including changes to strategy that should be reflected in the incentive structure of the management team. The MDCC also will consider the results of prior advisory votes on compensation, direct stockholder input, and feedback from its independent compensation consultant, Pay Governance LLC (“Pay Governance”), in determining changes to the executive compensation program. The MDCC approves changes to each component of executive officer compensation, including increases in base salary, annual incentive awards, and long-term equity incentive awards.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MDCC meets throughout the year to discharge its duties. The MDCC charter is available on our website.</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our Management</w:t>
      </w:r>
    </w:p>
    <w:p>
      <w:pPr>
        <w:spacing w:after="0" w:line="66"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Annually, Fortrea’s CEO is invited to provide comments on the MDCC’s executive compensation decisions for executive officers other than the CEO, and for 2025, this includes input on the individual performance modifier under the Fortrea Bonus Plan for each Fortrea NEO subject to the approval of the MDCC. Our CEO’s input and compensation proposals for the other Fortrea NEOs will be based on his assessment of past and expected individual performance and contribution. In addition, Fortrea’s Chief Administrative Officer attends and participates in meetings of the MDCC and provides input on the design and implementation of Fortrea’s executive compensation program.</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our Independent Compensation Consultant</w:t>
      </w:r>
    </w:p>
    <w:p>
      <w:pPr>
        <w:spacing w:after="0" w:line="66"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Pursuant to its charter, the MDCC has the sole discretion to retain or obtain advice from compensation consultants. In 2025, the MDCC continued to utilize Pay Governance as its compensation consultant to assist in its evaluation of executive compensation in 2025.</w:t>
      </w:r>
    </w:p>
    <w:p>
      <w:pPr>
        <w:spacing w:after="0" w:line="88"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For 2025, Pay Governance reported directly to the MDCC, participated in meetings with the MDCC, communicated with the MDCC Chair between meetings as necessary and worked with management at the direction of the MDCC.</w:t>
      </w:r>
    </w:p>
    <w:p>
      <w:pPr>
        <w:spacing w:after="0" w:line="75"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MDCC reviewed Pay Governance’s independence and concluded that Pay Governance is an independent and conflict-free advisor to the Company pursuant to the standards of the Dodd-Frank Wall Street Reform and Consumer Protection Act and applicable rules of Nasdaq.</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Peer Group and Market Data</w:t>
      </w:r>
    </w:p>
    <w:p>
      <w:pPr>
        <w:spacing w:after="0" w:line="79"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The MDCC reviews Fortrea’s compensation peer group on an annual basis with input from Pay Governance. The compensation peer group is used for benchmarking executive and non-employee director compensation levels and other pay practices. In May 2024, the MDCC and Pay Governance considered competitors based on Fortrea’s projected size and business profile using objective screening criteria, including revenue and market capitalization of similar publicly traded organizations. Based on discussions with and recommendations from Pay Governance and after a full evaluation, the MDCC decided to exclude ICON plc, Syneos Health and Viatris Inc. from the 2024 peer group and to add Alkermes plc, Bausch + Lomb Corporation, DENTSPLY SIRONA Inc., and Integra LifeSciences. Syneos Health and Viatris Inc. were excluded due to M&amp;A activity. ICON plc was excluded due to having limited publicly available data that would be comparable from a compensation standpoint. Alkermes plc, Bausch + Lomb Corporation, DENTSPLY SIRONA Inc., and Integra LifeSciences were added to create a peer group that, in the determination of the MDCC, is a better representation of the Company’s size and market capitalization and more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72"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of companies in similar industries, lines of business and economic and business cycles. The 2024 peer group consisted of seventeen companies that were used as a reference to determine 2025 pay opportunity levels for the NEOs. The table below presents the 2024 peer group companies: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620" w:type="dxa"/>
            <w:vAlign w:val="bottom"/>
          </w:tcPr>
          <w:p>
            <w:pPr>
              <w:ind w:left="60"/>
              <w:spacing w:after="0"/>
              <w:rPr>
                <w:sz w:val="20"/>
                <w:szCs w:val="20"/>
                <w:color w:val="auto"/>
              </w:rPr>
            </w:pPr>
            <w:r>
              <w:rPr>
                <w:rFonts w:ascii="Arial" w:cs="Arial" w:eastAsia="Arial" w:hAnsi="Arial"/>
                <w:sz w:val="16"/>
                <w:szCs w:val="16"/>
                <w:color w:val="auto"/>
              </w:rPr>
              <w:t>Alkermes plc*</w:t>
            </w:r>
          </w:p>
        </w:tc>
        <w:tc>
          <w:tcPr>
            <w:tcW w:w="5400" w:type="dxa"/>
            <w:vAlign w:val="bottom"/>
          </w:tcPr>
          <w:p>
            <w:pPr>
              <w:ind w:left="120"/>
              <w:spacing w:after="0"/>
              <w:rPr>
                <w:sz w:val="20"/>
                <w:szCs w:val="20"/>
                <w:color w:val="auto"/>
              </w:rPr>
            </w:pPr>
            <w:r>
              <w:rPr>
                <w:rFonts w:ascii="Arial" w:cs="Arial" w:eastAsia="Arial" w:hAnsi="Arial"/>
                <w:sz w:val="16"/>
                <w:szCs w:val="16"/>
                <w:color w:val="auto"/>
              </w:rPr>
              <w:t>Integra LifeSciences*</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Bausch Health Companies Inc.</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IQVIA Holdings, Inc.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Bausch + Lomb Corporation*</w:t>
            </w:r>
          </w:p>
        </w:tc>
        <w:tc>
          <w:tcPr>
            <w:tcW w:w="5400" w:type="dxa"/>
            <w:vAlign w:val="bottom"/>
          </w:tcPr>
          <w:p>
            <w:pPr>
              <w:ind w:left="120"/>
              <w:spacing w:after="0"/>
              <w:rPr>
                <w:sz w:val="20"/>
                <w:szCs w:val="20"/>
                <w:color w:val="auto"/>
              </w:rPr>
            </w:pPr>
            <w:r>
              <w:rPr>
                <w:rFonts w:ascii="Arial" w:cs="Arial" w:eastAsia="Arial" w:hAnsi="Arial"/>
                <w:sz w:val="16"/>
                <w:szCs w:val="16"/>
                <w:color w:val="auto"/>
              </w:rPr>
              <w:t>Jazz Pharmaceuticals plc</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Bio-Rad Laboratories</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Medpace Holdings, Inc.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Bruker Corporation</w:t>
            </w:r>
          </w:p>
        </w:tc>
        <w:tc>
          <w:tcPr>
            <w:tcW w:w="5400" w:type="dxa"/>
            <w:vAlign w:val="bottom"/>
          </w:tcPr>
          <w:p>
            <w:pPr>
              <w:ind w:left="120"/>
              <w:spacing w:after="0"/>
              <w:rPr>
                <w:sz w:val="20"/>
                <w:szCs w:val="20"/>
                <w:color w:val="auto"/>
              </w:rPr>
            </w:pPr>
            <w:r>
              <w:rPr>
                <w:rFonts w:ascii="Arial" w:cs="Arial" w:eastAsia="Arial" w:hAnsi="Arial"/>
                <w:sz w:val="16"/>
                <w:szCs w:val="16"/>
                <w:color w:val="auto"/>
              </w:rPr>
              <w:t>Organon &amp; Co.</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Catalent, Inc.</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Perrigo Company plc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Charles River Laboratories International, Inc.</w:t>
            </w:r>
          </w:p>
        </w:tc>
        <w:tc>
          <w:tcPr>
            <w:tcW w:w="5400" w:type="dxa"/>
            <w:vAlign w:val="bottom"/>
          </w:tcPr>
          <w:p>
            <w:pPr>
              <w:ind w:left="120"/>
              <w:spacing w:after="0"/>
              <w:rPr>
                <w:sz w:val="20"/>
                <w:szCs w:val="20"/>
                <w:color w:val="auto"/>
              </w:rPr>
            </w:pPr>
            <w:r>
              <w:rPr>
                <w:rFonts w:ascii="Arial" w:cs="Arial" w:eastAsia="Arial" w:hAnsi="Arial"/>
                <w:sz w:val="16"/>
                <w:szCs w:val="16"/>
                <w:color w:val="auto"/>
              </w:rPr>
              <w:t>Teleflex Incorporated</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DENTSPLY SIRONA Inc.*</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Vir Biotechnology, Inc.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Exelixis, Inc.</w:t>
            </w:r>
          </w:p>
        </w:tc>
        <w:tc>
          <w:tcPr>
            <w:tcW w:w="5400" w:type="dxa"/>
            <w:vAlign w:val="bottom"/>
          </w:tcPr>
          <w:p>
            <w:pPr>
              <w:spacing w:after="0"/>
              <w:rPr>
                <w:sz w:val="23"/>
                <w:szCs w:val="23"/>
                <w:color w:val="auto"/>
              </w:rPr>
            </w:pPr>
          </w:p>
        </w:tc>
      </w:tr>
      <w:tr>
        <w:trPr>
          <w:trHeight w:val="392"/>
        </w:trPr>
        <w:tc>
          <w:tcPr>
            <w:tcW w:w="5620" w:type="dxa"/>
            <w:vAlign w:val="bottom"/>
          </w:tcPr>
          <w:p>
            <w:pPr>
              <w:spacing w:after="0"/>
              <w:rPr>
                <w:sz w:val="20"/>
                <w:szCs w:val="20"/>
                <w:color w:val="auto"/>
              </w:rPr>
            </w:pPr>
            <w:r>
              <w:rPr>
                <w:rFonts w:ascii="Arial" w:cs="Arial" w:eastAsia="Arial" w:hAnsi="Arial"/>
                <w:sz w:val="16"/>
                <w:szCs w:val="16"/>
                <w:color w:val="auto"/>
              </w:rPr>
              <w:t>* Addition to the 2024 peer group</w:t>
            </w:r>
          </w:p>
        </w:tc>
        <w:tc>
          <w:tcPr>
            <w:tcW w:w="5400" w:type="dxa"/>
            <w:vAlign w:val="bottom"/>
          </w:tcPr>
          <w:p>
            <w:pPr>
              <w:spacing w:after="0"/>
              <w:rPr>
                <w:sz w:val="24"/>
                <w:szCs w:val="24"/>
                <w:color w:val="auto"/>
              </w:rPr>
            </w:pPr>
          </w:p>
        </w:tc>
      </w:tr>
    </w:tbl>
    <w:p>
      <w:pPr>
        <w:spacing w:after="0" w:line="12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This peer group served as the primary market reference point and was supplemented with other market data, where appropriate. In order to set 2025 compensation opportunities, Pay Governance assisted the MDCC in evaluating the peer group’s current executive compensation and compensation mix (percent of base salary, short-term, and long-term incentive) relative to Fortrea’s current practices. Pay Governance provided recommendations for adjustments based on current practices and policies within the peer group and trends within the industry.</w:t>
      </w:r>
    </w:p>
    <w:p>
      <w:pPr>
        <w:spacing w:after="0" w:line="110"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August 2025, the MDCC again reviewed Fortrea’s peer group with input from Pay Governance. In considering revisions to the peer group, the MDCC and Pay Governance determined that changes to the peer group were necessary to reflect Fortrea’s current size and business profile, and to more closely align revenue and market capitalization to the median. After a full evaluation, the MDCC decided to exclude four companies (Bausch Health, Catalent, IQVIA, and Vir) and add five companies to the 2025 peer group (CONMED, Enovis, Haemonetics, Quidel Ortho and Sotera Health). Bausch Health, IQVIA and Vir were removed to better align Fortrea’s revenue and market capitalization with peer median. Catalent was removed following its acquisition by Novo Holdings in December 2024. CONMED, Enovis, Haemonetics, QuidelOrtho, and Sotera Health were added to create a peer group that, in the MDCC’s determination, more accurately reflects the Company’s size and includes organizations operating in similar industries, business lines, or economic and business environments. The 2025 peer group consists of eighteen companies, as noted below, that will be used to as a reference to determine 2026 pay opportunity levels for the NEOs.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620" w:type="dxa"/>
            <w:vAlign w:val="bottom"/>
          </w:tcPr>
          <w:p>
            <w:pPr>
              <w:ind w:left="60"/>
              <w:spacing w:after="0"/>
              <w:rPr>
                <w:sz w:val="20"/>
                <w:szCs w:val="20"/>
                <w:color w:val="auto"/>
              </w:rPr>
            </w:pPr>
            <w:r>
              <w:rPr>
                <w:rFonts w:ascii="Arial" w:cs="Arial" w:eastAsia="Arial" w:hAnsi="Arial"/>
                <w:sz w:val="16"/>
                <w:szCs w:val="16"/>
                <w:color w:val="auto"/>
              </w:rPr>
              <w:t>Alkermes plc</w:t>
            </w:r>
          </w:p>
        </w:tc>
        <w:tc>
          <w:tcPr>
            <w:tcW w:w="5400" w:type="dxa"/>
            <w:vAlign w:val="bottom"/>
          </w:tcPr>
          <w:p>
            <w:pPr>
              <w:ind w:left="120"/>
              <w:spacing w:after="0"/>
              <w:rPr>
                <w:sz w:val="20"/>
                <w:szCs w:val="20"/>
                <w:color w:val="auto"/>
              </w:rPr>
            </w:pPr>
            <w:r>
              <w:rPr>
                <w:rFonts w:ascii="Arial" w:cs="Arial" w:eastAsia="Arial" w:hAnsi="Arial"/>
                <w:sz w:val="16"/>
                <w:szCs w:val="16"/>
                <w:color w:val="auto"/>
              </w:rPr>
              <w:t>Haemonetics Corporation*</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Bausch + Lomb Corporation</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Integra LifeSciences</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Bio-Rad Laboratories</w:t>
            </w:r>
          </w:p>
        </w:tc>
        <w:tc>
          <w:tcPr>
            <w:tcW w:w="5400" w:type="dxa"/>
            <w:vAlign w:val="bottom"/>
          </w:tcPr>
          <w:p>
            <w:pPr>
              <w:ind w:left="120"/>
              <w:spacing w:after="0"/>
              <w:rPr>
                <w:sz w:val="20"/>
                <w:szCs w:val="20"/>
                <w:color w:val="auto"/>
              </w:rPr>
            </w:pPr>
            <w:r>
              <w:rPr>
                <w:rFonts w:ascii="Arial" w:cs="Arial" w:eastAsia="Arial" w:hAnsi="Arial"/>
                <w:sz w:val="16"/>
                <w:szCs w:val="16"/>
                <w:color w:val="auto"/>
              </w:rPr>
              <w:t>Jazz Pharmaceuticals plc</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Bruker Corporation</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Medpace Holdings, Inc.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Charles River Laboratories International, Inc.</w:t>
            </w:r>
          </w:p>
        </w:tc>
        <w:tc>
          <w:tcPr>
            <w:tcW w:w="5400" w:type="dxa"/>
            <w:vAlign w:val="bottom"/>
          </w:tcPr>
          <w:p>
            <w:pPr>
              <w:ind w:left="120"/>
              <w:spacing w:after="0"/>
              <w:rPr>
                <w:sz w:val="20"/>
                <w:szCs w:val="20"/>
                <w:color w:val="auto"/>
              </w:rPr>
            </w:pPr>
            <w:r>
              <w:rPr>
                <w:rFonts w:ascii="Arial" w:cs="Arial" w:eastAsia="Arial" w:hAnsi="Arial"/>
                <w:sz w:val="16"/>
                <w:szCs w:val="16"/>
                <w:color w:val="auto"/>
              </w:rPr>
              <w:t>Organon &amp; Co.</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CONMED Corporation*</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Perrigo Company plc</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DENTSPLY SIRONA Inc.</w:t>
            </w:r>
          </w:p>
        </w:tc>
        <w:tc>
          <w:tcPr>
            <w:tcW w:w="5400" w:type="dxa"/>
            <w:vAlign w:val="bottom"/>
          </w:tcPr>
          <w:p>
            <w:pPr>
              <w:ind w:left="120"/>
              <w:spacing w:after="0"/>
              <w:rPr>
                <w:sz w:val="20"/>
                <w:szCs w:val="20"/>
                <w:color w:val="auto"/>
              </w:rPr>
            </w:pPr>
            <w:r>
              <w:rPr>
                <w:rFonts w:ascii="Arial" w:cs="Arial" w:eastAsia="Arial" w:hAnsi="Arial"/>
                <w:sz w:val="16"/>
                <w:szCs w:val="16"/>
                <w:color w:val="auto"/>
              </w:rPr>
              <w:t>QuidelOrtho Corporation*</w:t>
            </w:r>
          </w:p>
        </w:tc>
      </w:tr>
      <w:tr>
        <w:trPr>
          <w:trHeight w:val="56"/>
        </w:trPr>
        <w:tc>
          <w:tcPr>
            <w:tcW w:w="5620" w:type="dxa"/>
            <w:vAlign w:val="bottom"/>
          </w:tcPr>
          <w:p>
            <w:pPr>
              <w:spacing w:after="0"/>
              <w:rPr>
                <w:sz w:val="4"/>
                <w:szCs w:val="4"/>
                <w:color w:val="auto"/>
              </w:rPr>
            </w:pPr>
          </w:p>
        </w:tc>
        <w:tc>
          <w:tcPr>
            <w:tcW w:w="5400" w:type="dxa"/>
            <w:vAlign w:val="bottom"/>
          </w:tcPr>
          <w:p>
            <w:pPr>
              <w:spacing w:after="0"/>
              <w:rPr>
                <w:sz w:val="4"/>
                <w:szCs w:val="4"/>
                <w:color w:val="auto"/>
              </w:rPr>
            </w:pPr>
          </w:p>
        </w:tc>
      </w:tr>
      <w:tr>
        <w:trPr>
          <w:trHeight w:val="304"/>
        </w:trPr>
        <w:tc>
          <w:tcPr>
            <w:tcW w:w="56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Enovis Corporation*</w:t>
            </w:r>
          </w:p>
        </w:tc>
        <w:tc>
          <w:tcPr>
            <w:tcW w:w="54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6"/>
                <w:szCs w:val="16"/>
                <w:color w:val="auto"/>
              </w:rPr>
              <w:t>Sotera Health Company*</w:t>
            </w:r>
          </w:p>
        </w:tc>
      </w:tr>
      <w:tr>
        <w:trPr>
          <w:trHeight w:val="268"/>
        </w:trPr>
        <w:tc>
          <w:tcPr>
            <w:tcW w:w="5620" w:type="dxa"/>
            <w:vAlign w:val="bottom"/>
          </w:tcPr>
          <w:p>
            <w:pPr>
              <w:ind w:left="60"/>
              <w:spacing w:after="0"/>
              <w:rPr>
                <w:sz w:val="20"/>
                <w:szCs w:val="20"/>
                <w:color w:val="auto"/>
              </w:rPr>
            </w:pPr>
            <w:r>
              <w:rPr>
                <w:rFonts w:ascii="Arial" w:cs="Arial" w:eastAsia="Arial" w:hAnsi="Arial"/>
                <w:sz w:val="16"/>
                <w:szCs w:val="16"/>
                <w:color w:val="auto"/>
              </w:rPr>
              <w:t>Exelixis, Inc.</w:t>
            </w:r>
          </w:p>
        </w:tc>
        <w:tc>
          <w:tcPr>
            <w:tcW w:w="5400" w:type="dxa"/>
            <w:vAlign w:val="bottom"/>
          </w:tcPr>
          <w:p>
            <w:pPr>
              <w:ind w:left="120"/>
              <w:spacing w:after="0"/>
              <w:rPr>
                <w:sz w:val="20"/>
                <w:szCs w:val="20"/>
                <w:color w:val="auto"/>
              </w:rPr>
            </w:pPr>
            <w:r>
              <w:rPr>
                <w:rFonts w:ascii="Arial" w:cs="Arial" w:eastAsia="Arial" w:hAnsi="Arial"/>
                <w:sz w:val="16"/>
                <w:szCs w:val="16"/>
                <w:color w:val="auto"/>
              </w:rPr>
              <w:t>Teleflex Incorporated</w:t>
            </w:r>
          </w:p>
        </w:tc>
      </w:tr>
      <w:tr>
        <w:trPr>
          <w:trHeight w:val="392"/>
        </w:trPr>
        <w:tc>
          <w:tcPr>
            <w:tcW w:w="5620" w:type="dxa"/>
            <w:vAlign w:val="bottom"/>
          </w:tcPr>
          <w:p>
            <w:pPr>
              <w:spacing w:after="0"/>
              <w:rPr>
                <w:sz w:val="20"/>
                <w:szCs w:val="20"/>
                <w:color w:val="auto"/>
              </w:rPr>
            </w:pPr>
            <w:r>
              <w:rPr>
                <w:rFonts w:ascii="Arial" w:cs="Arial" w:eastAsia="Arial" w:hAnsi="Arial"/>
                <w:sz w:val="16"/>
                <w:szCs w:val="16"/>
                <w:color w:val="auto"/>
              </w:rPr>
              <w:t>* Addition to the 2025 peer group</w:t>
            </w:r>
          </w:p>
        </w:tc>
        <w:tc>
          <w:tcPr>
            <w:tcW w:w="5400" w:type="dxa"/>
            <w:vAlign w:val="bottom"/>
          </w:tcPr>
          <w:p>
            <w:pPr>
              <w:spacing w:after="0"/>
              <w:rPr>
                <w:sz w:val="24"/>
                <w:szCs w:val="24"/>
                <w:color w:val="auto"/>
              </w:rPr>
            </w:pPr>
          </w:p>
        </w:tc>
      </w:tr>
      <w:tr>
        <w:trPr>
          <w:trHeight w:val="150"/>
        </w:trPr>
        <w:tc>
          <w:tcPr>
            <w:tcW w:w="5620" w:type="dxa"/>
            <w:vAlign w:val="bottom"/>
            <w:tcBorders>
              <w:bottom w:val="single" w:sz="8" w:color="0BC11C"/>
            </w:tcBorders>
          </w:tcPr>
          <w:p>
            <w:pPr>
              <w:spacing w:after="0"/>
              <w:rPr>
                <w:sz w:val="13"/>
                <w:szCs w:val="13"/>
                <w:color w:val="auto"/>
              </w:rPr>
            </w:pPr>
          </w:p>
        </w:tc>
        <w:tc>
          <w:tcPr>
            <w:tcW w:w="5400" w:type="dxa"/>
            <w:vAlign w:val="bottom"/>
            <w:tcBorders>
              <w:bottom w:val="single" w:sz="8" w:color="0BC11C"/>
            </w:tcBorders>
          </w:tcPr>
          <w:p>
            <w:pPr>
              <w:spacing w:after="0"/>
              <w:rPr>
                <w:sz w:val="13"/>
                <w:szCs w:val="13"/>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4"/>
                <w:szCs w:val="14"/>
                <w:b w:val="1"/>
                <w:bCs w:val="1"/>
                <w:color w:val="0BC11C"/>
              </w:rPr>
              <w:t>32</w:t>
            </w:r>
            <w:r>
              <w:rPr>
                <w:rFonts w:ascii="Arial" w:cs="Arial" w:eastAsia="Arial" w:hAnsi="Arial"/>
                <w:sz w:val="12"/>
                <w:szCs w:val="12"/>
                <w:color w:val="000000"/>
              </w:rPr>
              <w:t xml:space="preserve">   2026 Proxy Statement  •  FORTREA</w:t>
            </w:r>
          </w:p>
        </w:tc>
        <w:tc>
          <w:tcPr>
            <w:tcW w:w="5400" w:type="dxa"/>
            <w:vAlign w:val="bottom"/>
          </w:tcPr>
          <w:p>
            <w:pPr>
              <w:spacing w:after="0"/>
              <w:rPr>
                <w:sz w:val="19"/>
                <w:szCs w:val="19"/>
                <w:color w:val="auto"/>
              </w:rPr>
            </w:pP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Principal Elements of Executive Compensation</w:t>
      </w:r>
    </w:p>
    <w:p>
      <w:pPr>
        <w:spacing w:after="0" w:line="66"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color w:val="auto"/>
        </w:rPr>
        <w:t>Our executive compensation program for 2025 consisted of a mix of fixed and variable pay elements, with the latter tied to both short- and long-term Company success. Performance-based pay elements are linked to goals that we believe will deliver both year-to-year and long-term increases in stockholder value. The elements of total direct executive compensation include:</w:t>
      </w:r>
    </w:p>
    <w:p>
      <w:pPr>
        <w:spacing w:after="0" w:line="192" w:lineRule="exact"/>
        <w:rPr>
          <w:sz w:val="20"/>
          <w:szCs w:val="20"/>
          <w:color w:val="auto"/>
        </w:rPr>
      </w:pPr>
    </w:p>
    <w:tbl>
      <w:tblPr>
        <w:tblLayout w:type="fixed"/>
        <w:tblInd w:w="130" w:type="dxa"/>
        <w:tblCellMar>
          <w:top w:w="0" w:type="dxa"/>
          <w:left w:w="0" w:type="dxa"/>
          <w:bottom w:w="0" w:type="dxa"/>
          <w:right w:w="0" w:type="dxa"/>
        </w:tblCellMar>
      </w:tblPr>
      <w:tr>
        <w:trPr>
          <w:trHeight w:val="261"/>
        </w:trPr>
        <w:tc>
          <w:tcPr>
            <w:tcW w:w="1100" w:type="dxa"/>
            <w:vAlign w:val="bottom"/>
            <w:tcBorders>
              <w:top w:val="single" w:sz="8" w:color="auto"/>
              <w:left w:val="single" w:sz="8" w:color="auto"/>
              <w:right w:val="single" w:sz="8" w:color="auto"/>
            </w:tcBorders>
            <w:shd w:val="clear" w:color="auto" w:fill="0BC11C"/>
          </w:tcPr>
          <w:p>
            <w:pPr>
              <w:spacing w:after="0"/>
              <w:rPr>
                <w:sz w:val="22"/>
                <w:szCs w:val="22"/>
                <w:color w:val="auto"/>
              </w:rPr>
            </w:pPr>
          </w:p>
        </w:tc>
        <w:tc>
          <w:tcPr>
            <w:tcW w:w="880" w:type="dxa"/>
            <w:vAlign w:val="bottom"/>
            <w:tcBorders>
              <w:top w:val="single" w:sz="8" w:color="auto"/>
              <w:right w:val="single" w:sz="8" w:color="auto"/>
            </w:tcBorders>
            <w:shd w:val="clear" w:color="auto" w:fill="0BC11C"/>
          </w:tcPr>
          <w:p>
            <w:pPr>
              <w:ind w:left="100"/>
              <w:spacing w:after="0"/>
              <w:rPr>
                <w:sz w:val="20"/>
                <w:szCs w:val="20"/>
                <w:color w:val="auto"/>
              </w:rPr>
            </w:pPr>
            <w:r>
              <w:rPr>
                <w:rFonts w:ascii="Arial" w:cs="Arial" w:eastAsia="Arial" w:hAnsi="Arial"/>
                <w:sz w:val="14"/>
                <w:szCs w:val="14"/>
                <w:b w:val="1"/>
                <w:bCs w:val="1"/>
                <w:color w:val="FFFFFF"/>
              </w:rPr>
              <w:t>Form of</w:t>
            </w:r>
          </w:p>
        </w:tc>
        <w:tc>
          <w:tcPr>
            <w:tcW w:w="4520" w:type="dxa"/>
            <w:vAlign w:val="bottom"/>
            <w:tcBorders>
              <w:top w:val="single" w:sz="8" w:color="auto"/>
              <w:right w:val="single" w:sz="8" w:color="auto"/>
            </w:tcBorders>
            <w:shd w:val="clear" w:color="auto" w:fill="0BC11C"/>
          </w:tcPr>
          <w:p>
            <w:pPr>
              <w:spacing w:after="0"/>
              <w:rPr>
                <w:sz w:val="22"/>
                <w:szCs w:val="22"/>
                <w:color w:val="auto"/>
              </w:rPr>
            </w:pPr>
          </w:p>
        </w:tc>
        <w:tc>
          <w:tcPr>
            <w:tcW w:w="4540" w:type="dxa"/>
            <w:vAlign w:val="bottom"/>
            <w:tcBorders>
              <w:top w:val="single" w:sz="8" w:color="auto"/>
              <w:right w:val="single" w:sz="8" w:color="auto"/>
            </w:tcBorders>
            <w:shd w:val="clear" w:color="auto" w:fill="0BC11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right w:val="single" w:sz="8" w:color="auto"/>
            </w:tcBorders>
            <w:shd w:val="clear" w:color="auto" w:fill="0BC11C"/>
          </w:tcPr>
          <w:p>
            <w:pPr>
              <w:ind w:left="220"/>
              <w:spacing w:after="0"/>
              <w:rPr>
                <w:sz w:val="20"/>
                <w:szCs w:val="20"/>
                <w:color w:val="auto"/>
              </w:rPr>
            </w:pPr>
            <w:r>
              <w:rPr>
                <w:rFonts w:ascii="Arial" w:cs="Arial" w:eastAsia="Arial" w:hAnsi="Arial"/>
                <w:sz w:val="14"/>
                <w:szCs w:val="14"/>
                <w:b w:val="1"/>
                <w:bCs w:val="1"/>
                <w:color w:val="FFFFFF"/>
              </w:rPr>
              <w:t>Element</w:t>
            </w:r>
          </w:p>
        </w:tc>
        <w:tc>
          <w:tcPr>
            <w:tcW w:w="880" w:type="dxa"/>
            <w:vAlign w:val="bottom"/>
            <w:tcBorders>
              <w:right w:val="single" w:sz="8" w:color="auto"/>
            </w:tcBorders>
            <w:shd w:val="clear" w:color="auto" w:fill="0BC11C"/>
          </w:tcPr>
          <w:p>
            <w:pPr>
              <w:ind w:left="100"/>
              <w:spacing w:after="0"/>
              <w:rPr>
                <w:sz w:val="20"/>
                <w:szCs w:val="20"/>
                <w:color w:val="auto"/>
              </w:rPr>
            </w:pPr>
            <w:r>
              <w:rPr>
                <w:rFonts w:ascii="Arial" w:cs="Arial" w:eastAsia="Arial" w:hAnsi="Arial"/>
                <w:sz w:val="14"/>
                <w:szCs w:val="14"/>
                <w:b w:val="1"/>
                <w:bCs w:val="1"/>
                <w:color w:val="FFFFFF"/>
              </w:rPr>
              <w:t>Payment</w:t>
            </w:r>
          </w:p>
        </w:tc>
        <w:tc>
          <w:tcPr>
            <w:tcW w:w="4520" w:type="dxa"/>
            <w:vAlign w:val="bottom"/>
            <w:tcBorders>
              <w:right w:val="single" w:sz="8" w:color="auto"/>
            </w:tcBorders>
            <w:shd w:val="clear" w:color="auto" w:fill="0BC11C"/>
          </w:tcPr>
          <w:p>
            <w:pPr>
              <w:ind w:left="100"/>
              <w:spacing w:after="0"/>
              <w:rPr>
                <w:sz w:val="20"/>
                <w:szCs w:val="20"/>
                <w:color w:val="auto"/>
              </w:rPr>
            </w:pPr>
            <w:r>
              <w:rPr>
                <w:rFonts w:ascii="Arial" w:cs="Arial" w:eastAsia="Arial" w:hAnsi="Arial"/>
                <w:sz w:val="14"/>
                <w:szCs w:val="14"/>
                <w:b w:val="1"/>
                <w:bCs w:val="1"/>
                <w:color w:val="FFFFFF"/>
              </w:rPr>
              <w:t>Description</w:t>
            </w:r>
          </w:p>
        </w:tc>
        <w:tc>
          <w:tcPr>
            <w:tcW w:w="4540" w:type="dxa"/>
            <w:vAlign w:val="bottom"/>
            <w:tcBorders>
              <w:right w:val="single" w:sz="8" w:color="auto"/>
            </w:tcBorders>
            <w:shd w:val="clear" w:color="auto" w:fill="0BC11C"/>
          </w:tcPr>
          <w:p>
            <w:pPr>
              <w:ind w:left="120"/>
              <w:spacing w:after="0"/>
              <w:rPr>
                <w:sz w:val="20"/>
                <w:szCs w:val="20"/>
                <w:color w:val="auto"/>
              </w:rPr>
            </w:pPr>
            <w:r>
              <w:rPr>
                <w:rFonts w:ascii="Arial" w:cs="Arial" w:eastAsia="Arial" w:hAnsi="Arial"/>
                <w:sz w:val="14"/>
                <w:szCs w:val="14"/>
                <w:b w:val="1"/>
                <w:bCs w:val="1"/>
                <w:color w:val="FFFFFF"/>
              </w:rPr>
              <w:t>Key Considerations</w:t>
            </w:r>
          </w:p>
        </w:tc>
        <w:tc>
          <w:tcPr>
            <w:tcW w:w="0" w:type="dxa"/>
            <w:vAlign w:val="bottom"/>
          </w:tcPr>
          <w:p>
            <w:pPr>
              <w:spacing w:after="0"/>
              <w:rPr>
                <w:sz w:val="1"/>
                <w:szCs w:val="1"/>
                <w:color w:val="auto"/>
              </w:rPr>
            </w:pPr>
          </w:p>
        </w:tc>
      </w:tr>
      <w:tr>
        <w:trPr>
          <w:trHeight w:val="83"/>
        </w:trPr>
        <w:tc>
          <w:tcPr>
            <w:tcW w:w="1100" w:type="dxa"/>
            <w:vAlign w:val="bottom"/>
            <w:tcBorders>
              <w:left w:val="single" w:sz="8" w:color="auto"/>
              <w:bottom w:val="single" w:sz="8" w:color="auto"/>
              <w:right w:val="single" w:sz="8" w:color="auto"/>
            </w:tcBorders>
            <w:shd w:val="clear" w:color="auto" w:fill="0BC11C"/>
          </w:tcPr>
          <w:p>
            <w:pPr>
              <w:spacing w:after="0"/>
              <w:rPr>
                <w:sz w:val="7"/>
                <w:szCs w:val="7"/>
                <w:color w:val="auto"/>
              </w:rPr>
            </w:pPr>
          </w:p>
        </w:tc>
        <w:tc>
          <w:tcPr>
            <w:tcW w:w="880" w:type="dxa"/>
            <w:vAlign w:val="bottom"/>
            <w:tcBorders>
              <w:bottom w:val="single" w:sz="8" w:color="auto"/>
              <w:right w:val="single" w:sz="8" w:color="auto"/>
            </w:tcBorders>
            <w:shd w:val="clear" w:color="auto" w:fill="0BC11C"/>
          </w:tcPr>
          <w:p>
            <w:pPr>
              <w:spacing w:after="0"/>
              <w:rPr>
                <w:sz w:val="7"/>
                <w:szCs w:val="7"/>
                <w:color w:val="auto"/>
              </w:rPr>
            </w:pPr>
          </w:p>
        </w:tc>
        <w:tc>
          <w:tcPr>
            <w:tcW w:w="4520" w:type="dxa"/>
            <w:vAlign w:val="bottom"/>
            <w:tcBorders>
              <w:bottom w:val="single" w:sz="8" w:color="auto"/>
              <w:right w:val="single" w:sz="8" w:color="auto"/>
            </w:tcBorders>
            <w:shd w:val="clear" w:color="auto" w:fill="0BC11C"/>
          </w:tcPr>
          <w:p>
            <w:pPr>
              <w:spacing w:after="0"/>
              <w:rPr>
                <w:sz w:val="7"/>
                <w:szCs w:val="7"/>
                <w:color w:val="auto"/>
              </w:rPr>
            </w:pPr>
          </w:p>
        </w:tc>
        <w:tc>
          <w:tcPr>
            <w:tcW w:w="4540" w:type="dxa"/>
            <w:vAlign w:val="bottom"/>
            <w:tcBorders>
              <w:bottom w:val="single" w:sz="8" w:color="auto"/>
              <w:right w:val="single" w:sz="8" w:color="auto"/>
            </w:tcBorders>
            <w:shd w:val="clear" w:color="auto" w:fill="0BC11C"/>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 competitive fixed pay that is tied to the market and</w:t>
            </w:r>
          </w:p>
        </w:tc>
        <w:tc>
          <w:tcPr>
            <w:tcW w:w="45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Reflects individual skills, experience, responsibilities and</w:t>
            </w:r>
          </w:p>
        </w:tc>
        <w:tc>
          <w:tcPr>
            <w:tcW w:w="0" w:type="dxa"/>
            <w:vAlign w:val="bottom"/>
          </w:tcPr>
          <w:p>
            <w:pPr>
              <w:spacing w:after="0"/>
              <w:rPr>
                <w:sz w:val="1"/>
                <w:szCs w:val="1"/>
                <w:color w:val="auto"/>
              </w:rPr>
            </w:pPr>
          </w:p>
        </w:tc>
      </w:tr>
      <w:tr>
        <w:trPr>
          <w:trHeight w:val="94"/>
        </w:trPr>
        <w:tc>
          <w:tcPr>
            <w:tcW w:w="11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Base Salary</w:t>
            </w:r>
          </w:p>
        </w:tc>
        <w:tc>
          <w:tcPr>
            <w:tcW w:w="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Cash</w:t>
            </w:r>
          </w:p>
        </w:tc>
        <w:tc>
          <w:tcPr>
            <w:tcW w:w="4520" w:type="dxa"/>
            <w:vAlign w:val="bottom"/>
            <w:tcBorders>
              <w:right w:val="single" w:sz="8" w:color="auto"/>
            </w:tcBorders>
            <w:vMerge w:val="continue"/>
          </w:tcPr>
          <w:p>
            <w:pPr>
              <w:spacing w:after="0"/>
              <w:rPr>
                <w:sz w:val="8"/>
                <w:szCs w:val="8"/>
                <w:color w:val="auto"/>
              </w:rPr>
            </w:pPr>
          </w:p>
        </w:tc>
        <w:tc>
          <w:tcPr>
            <w:tcW w:w="4540" w:type="dxa"/>
            <w:vAlign w:val="bottom"/>
            <w:tcBorders>
              <w:right w:val="single" w:sz="8" w:color="auto"/>
            </w:tcBorders>
            <w:vMerge w:val="restart"/>
          </w:tcPr>
          <w:p>
            <w:pPr>
              <w:ind w:left="280"/>
              <w:spacing w:after="0"/>
              <w:rPr>
                <w:sz w:val="20"/>
                <w:szCs w:val="20"/>
                <w:color w:val="auto"/>
              </w:rPr>
            </w:pPr>
            <w:r>
              <w:rPr>
                <w:rFonts w:ascii="Arial" w:cs="Arial" w:eastAsia="Arial" w:hAnsi="Arial"/>
                <w:sz w:val="16"/>
                <w:szCs w:val="16"/>
                <w:color w:val="auto"/>
              </w:rPr>
              <w:t>performance over time</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allows us to attract, retain and motivate executives</w:t>
            </w:r>
          </w:p>
        </w:tc>
        <w:tc>
          <w:tcPr>
            <w:tcW w:w="4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0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  Key input to annual bonus opportunity</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4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5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Motivate and reward executives to be focused on key</w:t>
            </w:r>
          </w:p>
        </w:tc>
        <w:tc>
          <w:tcPr>
            <w:tcW w:w="45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Performance-based payments tied to achievement of</w:t>
            </w:r>
          </w:p>
        </w:tc>
        <w:tc>
          <w:tcPr>
            <w:tcW w:w="0" w:type="dxa"/>
            <w:vAlign w:val="bottom"/>
          </w:tcPr>
          <w:p>
            <w:pPr>
              <w:spacing w:after="0"/>
              <w:rPr>
                <w:sz w:val="1"/>
                <w:szCs w:val="1"/>
                <w:color w:val="auto"/>
              </w:rPr>
            </w:pPr>
          </w:p>
        </w:tc>
      </w:tr>
      <w:tr>
        <w:trPr>
          <w:trHeight w:val="94"/>
        </w:trPr>
        <w:tc>
          <w:tcPr>
            <w:tcW w:w="11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Annual</w:t>
            </w:r>
          </w:p>
        </w:tc>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4540" w:type="dxa"/>
            <w:vAlign w:val="bottom"/>
            <w:tcBorders>
              <w:right w:val="single" w:sz="8" w:color="auto"/>
            </w:tcBorders>
            <w:vMerge w:val="restart"/>
          </w:tcPr>
          <w:p>
            <w:pPr>
              <w:ind w:left="280"/>
              <w:spacing w:after="0" w:line="181" w:lineRule="exact"/>
              <w:rPr>
                <w:sz w:val="20"/>
                <w:szCs w:val="20"/>
                <w:color w:val="auto"/>
              </w:rPr>
            </w:pPr>
            <w:r>
              <w:rPr>
                <w:rFonts w:ascii="Arial" w:cs="Arial" w:eastAsia="Arial" w:hAnsi="Arial"/>
                <w:sz w:val="16"/>
                <w:szCs w:val="16"/>
                <w:color w:val="auto"/>
              </w:rPr>
              <w:t>short-term corporate and individual performance goals</w:t>
            </w:r>
          </w:p>
        </w:tc>
        <w:tc>
          <w:tcPr>
            <w:tcW w:w="0" w:type="dxa"/>
            <w:vAlign w:val="bottom"/>
          </w:tcPr>
          <w:p>
            <w:pPr>
              <w:spacing w:after="0"/>
              <w:rPr>
                <w:sz w:val="1"/>
                <w:szCs w:val="1"/>
                <w:color w:val="auto"/>
              </w:rPr>
            </w:pPr>
          </w:p>
        </w:tc>
      </w:tr>
      <w:tr>
        <w:trPr>
          <w:trHeight w:val="86"/>
        </w:trPr>
        <w:tc>
          <w:tcPr>
            <w:tcW w:w="1100" w:type="dxa"/>
            <w:vAlign w:val="bottom"/>
            <w:tcBorders>
              <w:left w:val="single" w:sz="8" w:color="auto"/>
              <w:right w:val="single" w:sz="8" w:color="auto"/>
            </w:tcBorders>
            <w:vMerge w:val="continue"/>
          </w:tcPr>
          <w:p>
            <w:pPr>
              <w:spacing w:after="0"/>
              <w:rPr>
                <w:sz w:val="7"/>
                <w:szCs w:val="7"/>
                <w:color w:val="auto"/>
              </w:rPr>
            </w:pPr>
          </w:p>
        </w:tc>
        <w:tc>
          <w:tcPr>
            <w:tcW w:w="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Cash</w:t>
            </w: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business and individual goals by using at-risk variable</w:t>
            </w:r>
          </w:p>
        </w:tc>
        <w:tc>
          <w:tcPr>
            <w:tcW w:w="4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Bonus</w:t>
            </w:r>
          </w:p>
        </w:tc>
        <w:tc>
          <w:tcPr>
            <w:tcW w:w="880" w:type="dxa"/>
            <w:vAlign w:val="bottom"/>
            <w:tcBorders>
              <w:right w:val="single" w:sz="8" w:color="auto"/>
            </w:tcBorders>
            <w:vMerge w:val="continue"/>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4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  Pays only if threshold performance (or above) is met</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vMerge w:val="continue"/>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compensation</w:t>
            </w:r>
          </w:p>
        </w:tc>
        <w:tc>
          <w:tcPr>
            <w:tcW w:w="4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0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  Range of potential payout: 0% - 200% of target</w:t>
            </w:r>
          </w:p>
        </w:tc>
        <w:tc>
          <w:tcPr>
            <w:tcW w:w="0" w:type="dxa"/>
            <w:vAlign w:val="bottom"/>
          </w:tcPr>
          <w:p>
            <w:pPr>
              <w:spacing w:after="0"/>
              <w:rPr>
                <w:sz w:val="1"/>
                <w:szCs w:val="1"/>
                <w:color w:val="auto"/>
              </w:rPr>
            </w:pPr>
          </w:p>
        </w:tc>
      </w:tr>
      <w:tr>
        <w:trPr>
          <w:trHeight w:val="94"/>
        </w:trPr>
        <w:tc>
          <w:tcPr>
            <w:tcW w:w="1100" w:type="dxa"/>
            <w:vAlign w:val="bottom"/>
            <w:tcBorders>
              <w:left w:val="single" w:sz="8" w:color="auto"/>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tcPr>
          <w:p>
            <w:pPr>
              <w:spacing w:after="0"/>
              <w:rPr>
                <w:sz w:val="8"/>
                <w:szCs w:val="8"/>
                <w:color w:val="auto"/>
              </w:rPr>
            </w:pPr>
          </w:p>
        </w:tc>
        <w:tc>
          <w:tcPr>
            <w:tcW w:w="4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5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Reward performance that enhances stockholder value using</w:t>
            </w:r>
          </w:p>
        </w:tc>
        <w:tc>
          <w:tcPr>
            <w:tcW w:w="45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Links value to stock price and performance</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equity-based awards that link compensation to the value of</w:t>
            </w:r>
          </w:p>
        </w:tc>
        <w:tc>
          <w:tcPr>
            <w:tcW w:w="45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Range of potential payout for performance-based equity</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Long-Term</w:t>
            </w:r>
          </w:p>
        </w:tc>
        <w:tc>
          <w:tcPr>
            <w:tcW w:w="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Equity</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Fortrea Common Stock and the achievement of performance</w:t>
            </w:r>
          </w:p>
        </w:tc>
        <w:tc>
          <w:tcPr>
            <w:tcW w:w="45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awards: 0% - 200% of target</w:t>
            </w:r>
          </w:p>
        </w:tc>
        <w:tc>
          <w:tcPr>
            <w:tcW w:w="0" w:type="dxa"/>
            <w:vAlign w:val="bottom"/>
          </w:tcPr>
          <w:p>
            <w:pPr>
              <w:spacing w:after="0"/>
              <w:rPr>
                <w:sz w:val="1"/>
                <w:szCs w:val="1"/>
                <w:color w:val="auto"/>
              </w:rPr>
            </w:pPr>
          </w:p>
        </w:tc>
      </w:tr>
      <w:tr>
        <w:trPr>
          <w:trHeight w:val="120"/>
        </w:trPr>
        <w:tc>
          <w:tcPr>
            <w:tcW w:w="110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Incentives</w:t>
            </w:r>
          </w:p>
        </w:tc>
        <w:tc>
          <w:tcPr>
            <w:tcW w:w="880" w:type="dxa"/>
            <w:vAlign w:val="bottom"/>
            <w:tcBorders>
              <w:right w:val="single" w:sz="8" w:color="auto"/>
            </w:tcBorders>
            <w:vMerge w:val="continue"/>
          </w:tcPr>
          <w:p>
            <w:pPr>
              <w:spacing w:after="0"/>
              <w:rPr>
                <w:sz w:val="10"/>
                <w:szCs w:val="10"/>
                <w:color w:val="auto"/>
              </w:rPr>
            </w:pPr>
          </w:p>
        </w:tc>
        <w:tc>
          <w:tcPr>
            <w:tcW w:w="4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goals, and strengthens the alignment of management and</w:t>
            </w:r>
          </w:p>
        </w:tc>
        <w:tc>
          <w:tcPr>
            <w:tcW w:w="4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520" w:type="dxa"/>
            <w:vAlign w:val="bottom"/>
            <w:tcBorders>
              <w:right w:val="single" w:sz="8" w:color="auto"/>
            </w:tcBorders>
            <w:vMerge w:val="continue"/>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stockholder interests by creating meaningful levels of</w:t>
            </w:r>
          </w:p>
        </w:tc>
        <w:tc>
          <w:tcPr>
            <w:tcW w:w="4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0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 stock ownership by management</w:t>
            </w:r>
          </w:p>
        </w:tc>
        <w:tc>
          <w:tcPr>
            <w:tcW w:w="4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5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Year 2025 Compensation Program in Detail</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Onboarding of New Chief Executive Officer</w:t>
      </w:r>
    </w:p>
    <w:p>
      <w:pPr>
        <w:spacing w:after="0" w:line="66"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In connection with his appointment as our CEO in August 2025 and based on an analysis of competitive market data and negotiations with Mr. Thakral, Mr. Thakral received an Offer Letter which, among other things, provided that Mr. Thakral was entitled to (a) an annual base salary of $1,100,000, less applicable withholdings and other payroll deductions, and (b) a target annual bonus of 150% of the base salary, prorated for 2025, and earned based on the achievement of short-term corporate and individual performance goals established by the MDCC in accordance with our 2023 Omnibus Incentive Plan (the “Incentive Plan”).</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12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59"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In February 2025, the MDCC evaluated the base salaries of our NEOs in place at that time and made certain adjustments. The MDCC also evaluated the appropriate base salary for Mr. Thakral upon his hire in August 2025. The following factors were considered by the MDCC in evaluating base salary decisions:</w:t>
      </w:r>
    </w:p>
    <w:p>
      <w:pPr>
        <w:spacing w:after="0" w:line="36"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Individual attributes of each NEO – such as responsibilities, skills, leadership and experience.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Individual and overall Company performance.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NEO’s expected ongoing contributions to the Company.</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Overall market competitiveness of the executive officer’s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 xml:space="preserve">FORTREA  •  2026 Proxy Statement   </w:t>
      </w:r>
      <w:r>
        <w:rPr>
          <w:rFonts w:ascii="Arial" w:cs="Arial" w:eastAsia="Arial" w:hAnsi="Arial"/>
          <w:sz w:val="12"/>
          <w:szCs w:val="12"/>
          <w:b w:val="1"/>
          <w:bCs w:val="1"/>
          <w:color w:val="0BC11C"/>
        </w:rPr>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is the base salary for each NEO:</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4000" w:type="dxa"/>
            <w:vAlign w:val="bottom"/>
            <w:shd w:val="clear" w:color="auto" w:fill="0BC11C"/>
          </w:tcPr>
          <w:p>
            <w:pPr>
              <w:spacing w:after="0"/>
              <w:rPr>
                <w:sz w:val="22"/>
                <w:szCs w:val="22"/>
                <w:color w:val="auto"/>
              </w:rPr>
            </w:pPr>
          </w:p>
        </w:tc>
        <w:tc>
          <w:tcPr>
            <w:tcW w:w="3300" w:type="dxa"/>
            <w:vAlign w:val="bottom"/>
            <w:gridSpan w:val="2"/>
            <w:shd w:val="clear" w:color="auto" w:fill="0BC11C"/>
          </w:tcPr>
          <w:p>
            <w:pPr>
              <w:jc w:val="center"/>
              <w:ind w:left="443"/>
              <w:spacing w:after="0"/>
              <w:rPr>
                <w:sz w:val="20"/>
                <w:szCs w:val="20"/>
                <w:color w:val="auto"/>
              </w:rPr>
            </w:pPr>
            <w:r>
              <w:rPr>
                <w:rFonts w:ascii="Arial" w:cs="Arial" w:eastAsia="Arial" w:hAnsi="Arial"/>
                <w:sz w:val="14"/>
                <w:szCs w:val="14"/>
                <w:b w:val="1"/>
                <w:bCs w:val="1"/>
                <w:color w:val="FFFFFF"/>
              </w:rPr>
              <w:t>Annual Base Salary</w:t>
            </w:r>
          </w:p>
        </w:tc>
        <w:tc>
          <w:tcPr>
            <w:tcW w:w="2580" w:type="dxa"/>
            <w:vAlign w:val="bottom"/>
            <w:gridSpan w:val="2"/>
            <w:shd w:val="clear" w:color="auto" w:fill="0BC11C"/>
          </w:tcPr>
          <w:p>
            <w:pPr>
              <w:jc w:val="center"/>
              <w:ind w:left="124"/>
              <w:spacing w:after="0"/>
              <w:rPr>
                <w:sz w:val="20"/>
                <w:szCs w:val="20"/>
                <w:color w:val="auto"/>
              </w:rPr>
            </w:pPr>
            <w:r>
              <w:rPr>
                <w:rFonts w:ascii="Arial" w:cs="Arial" w:eastAsia="Arial" w:hAnsi="Arial"/>
                <w:sz w:val="14"/>
                <w:szCs w:val="14"/>
                <w:b w:val="1"/>
                <w:bCs w:val="1"/>
                <w:color w:val="FFFFFF"/>
              </w:rPr>
              <w:t>Annual Base Salary</w:t>
            </w:r>
          </w:p>
        </w:tc>
        <w:tc>
          <w:tcPr>
            <w:tcW w:w="1140" w:type="dxa"/>
            <w:vAlign w:val="bottom"/>
            <w:shd w:val="clear" w:color="auto" w:fill="0BC11C"/>
          </w:tcPr>
          <w:p>
            <w:pPr>
              <w:spacing w:after="0"/>
              <w:rPr>
                <w:sz w:val="22"/>
                <w:szCs w:val="22"/>
                <w:color w:val="auto"/>
              </w:rPr>
            </w:pPr>
          </w:p>
        </w:tc>
      </w:tr>
      <w:tr>
        <w:trPr>
          <w:trHeight w:val="162"/>
        </w:trPr>
        <w:tc>
          <w:tcPr>
            <w:tcW w:w="4000" w:type="dxa"/>
            <w:vAlign w:val="bottom"/>
            <w:shd w:val="clear" w:color="auto" w:fill="0BC11C"/>
          </w:tcPr>
          <w:p>
            <w:pPr>
              <w:spacing w:after="0"/>
              <w:rPr>
                <w:sz w:val="14"/>
                <w:szCs w:val="14"/>
                <w:color w:val="auto"/>
              </w:rPr>
            </w:pPr>
          </w:p>
        </w:tc>
        <w:tc>
          <w:tcPr>
            <w:tcW w:w="3300" w:type="dxa"/>
            <w:vAlign w:val="bottom"/>
            <w:gridSpan w:val="2"/>
            <w:shd w:val="clear" w:color="auto" w:fill="0BC11C"/>
          </w:tcPr>
          <w:p>
            <w:pPr>
              <w:jc w:val="center"/>
              <w:ind w:left="423"/>
              <w:spacing w:after="0"/>
              <w:rPr>
                <w:sz w:val="20"/>
                <w:szCs w:val="20"/>
                <w:color w:val="auto"/>
              </w:rPr>
            </w:pPr>
            <w:r>
              <w:rPr>
                <w:rFonts w:ascii="Arial" w:cs="Arial" w:eastAsia="Arial" w:hAnsi="Arial"/>
                <w:sz w:val="14"/>
                <w:szCs w:val="14"/>
                <w:b w:val="1"/>
                <w:bCs w:val="1"/>
                <w:color w:val="FFFFFF"/>
              </w:rPr>
              <w:t>effective from January</w:t>
            </w:r>
          </w:p>
        </w:tc>
        <w:tc>
          <w:tcPr>
            <w:tcW w:w="2580" w:type="dxa"/>
            <w:vAlign w:val="bottom"/>
            <w:gridSpan w:val="2"/>
            <w:shd w:val="clear" w:color="auto" w:fill="0BC11C"/>
          </w:tcPr>
          <w:p>
            <w:pPr>
              <w:jc w:val="center"/>
              <w:ind w:left="124"/>
              <w:spacing w:after="0"/>
              <w:rPr>
                <w:sz w:val="20"/>
                <w:szCs w:val="20"/>
                <w:color w:val="auto"/>
              </w:rPr>
            </w:pPr>
            <w:r>
              <w:rPr>
                <w:rFonts w:ascii="Arial" w:cs="Arial" w:eastAsia="Arial" w:hAnsi="Arial"/>
                <w:sz w:val="14"/>
                <w:szCs w:val="14"/>
                <w:b w:val="1"/>
                <w:bCs w:val="1"/>
                <w:color w:val="FFFFFF"/>
              </w:rPr>
              <w:t>effective from January</w:t>
            </w:r>
          </w:p>
        </w:tc>
        <w:tc>
          <w:tcPr>
            <w:tcW w:w="1140" w:type="dxa"/>
            <w:vAlign w:val="bottom"/>
            <w:shd w:val="clear" w:color="auto" w:fill="0BC11C"/>
          </w:tcPr>
          <w:p>
            <w:pPr>
              <w:spacing w:after="0"/>
              <w:rPr>
                <w:sz w:val="14"/>
                <w:szCs w:val="14"/>
                <w:color w:val="auto"/>
              </w:rPr>
            </w:pPr>
          </w:p>
        </w:tc>
      </w:tr>
      <w:tr>
        <w:trPr>
          <w:trHeight w:val="162"/>
        </w:trPr>
        <w:tc>
          <w:tcPr>
            <w:tcW w:w="4000" w:type="dxa"/>
            <w:vAlign w:val="bottom"/>
            <w:shd w:val="clear" w:color="auto" w:fill="0BC11C"/>
          </w:tcPr>
          <w:p>
            <w:pPr>
              <w:spacing w:after="0"/>
              <w:rPr>
                <w:sz w:val="14"/>
                <w:szCs w:val="14"/>
                <w:color w:val="auto"/>
              </w:rPr>
            </w:pPr>
          </w:p>
        </w:tc>
        <w:tc>
          <w:tcPr>
            <w:tcW w:w="3300" w:type="dxa"/>
            <w:vAlign w:val="bottom"/>
            <w:gridSpan w:val="2"/>
            <w:shd w:val="clear" w:color="auto" w:fill="0BC11C"/>
          </w:tcPr>
          <w:p>
            <w:pPr>
              <w:jc w:val="center"/>
              <w:ind w:left="423"/>
              <w:spacing w:after="0"/>
              <w:rPr>
                <w:sz w:val="20"/>
                <w:szCs w:val="20"/>
                <w:color w:val="auto"/>
              </w:rPr>
            </w:pPr>
            <w:r>
              <w:rPr>
                <w:rFonts w:ascii="Arial" w:cs="Arial" w:eastAsia="Arial" w:hAnsi="Arial"/>
                <w:sz w:val="14"/>
                <w:szCs w:val="14"/>
                <w:b w:val="1"/>
                <w:bCs w:val="1"/>
                <w:color w:val="FFFFFF"/>
              </w:rPr>
              <w:t>1, 2025 to December 31,</w:t>
            </w:r>
          </w:p>
        </w:tc>
        <w:tc>
          <w:tcPr>
            <w:tcW w:w="2580" w:type="dxa"/>
            <w:vAlign w:val="bottom"/>
            <w:gridSpan w:val="2"/>
            <w:shd w:val="clear" w:color="auto" w:fill="0BC11C"/>
          </w:tcPr>
          <w:p>
            <w:pPr>
              <w:jc w:val="center"/>
              <w:ind w:left="104"/>
              <w:spacing w:after="0"/>
              <w:rPr>
                <w:sz w:val="20"/>
                <w:szCs w:val="20"/>
                <w:color w:val="auto"/>
              </w:rPr>
            </w:pPr>
            <w:r>
              <w:rPr>
                <w:rFonts w:ascii="Arial" w:cs="Arial" w:eastAsia="Arial" w:hAnsi="Arial"/>
                <w:sz w:val="14"/>
                <w:szCs w:val="14"/>
                <w:b w:val="1"/>
                <w:bCs w:val="1"/>
                <w:color w:val="FFFFFF"/>
              </w:rPr>
              <w:t>1, 2024 to December 31,</w:t>
            </w:r>
          </w:p>
        </w:tc>
        <w:tc>
          <w:tcPr>
            <w:tcW w:w="1140" w:type="dxa"/>
            <w:vAlign w:val="bottom"/>
            <w:shd w:val="clear" w:color="auto" w:fill="0BC11C"/>
          </w:tcPr>
          <w:p>
            <w:pPr>
              <w:jc w:val="right"/>
              <w:ind w:right="42"/>
              <w:spacing w:after="0"/>
              <w:rPr>
                <w:sz w:val="20"/>
                <w:szCs w:val="20"/>
                <w:color w:val="auto"/>
              </w:rPr>
            </w:pPr>
            <w:r>
              <w:rPr>
                <w:rFonts w:ascii="Arial" w:cs="Arial" w:eastAsia="Arial" w:hAnsi="Arial"/>
                <w:sz w:val="14"/>
                <w:szCs w:val="14"/>
                <w:b w:val="1"/>
                <w:bCs w:val="1"/>
                <w:color w:val="FFFFFF"/>
              </w:rPr>
              <w:t>Percent</w:t>
            </w:r>
          </w:p>
        </w:tc>
      </w:tr>
      <w:tr>
        <w:trPr>
          <w:trHeight w:val="210"/>
        </w:trPr>
        <w:tc>
          <w:tcPr>
            <w:tcW w:w="400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Executive</w:t>
            </w:r>
          </w:p>
        </w:tc>
        <w:tc>
          <w:tcPr>
            <w:tcW w:w="1580" w:type="dxa"/>
            <w:vAlign w:val="bottom"/>
            <w:shd w:val="clear" w:color="auto" w:fill="0BC11C"/>
          </w:tcPr>
          <w:p>
            <w:pPr>
              <w:spacing w:after="0"/>
              <w:rPr>
                <w:sz w:val="18"/>
                <w:szCs w:val="18"/>
                <w:color w:val="auto"/>
              </w:rPr>
            </w:pPr>
          </w:p>
        </w:tc>
        <w:tc>
          <w:tcPr>
            <w:tcW w:w="1720" w:type="dxa"/>
            <w:vAlign w:val="bottom"/>
            <w:shd w:val="clear" w:color="auto" w:fill="0BC11C"/>
          </w:tcPr>
          <w:p>
            <w:pPr>
              <w:jc w:val="center"/>
              <w:ind w:right="1001"/>
              <w:spacing w:after="0"/>
              <w:rPr>
                <w:sz w:val="20"/>
                <w:szCs w:val="20"/>
                <w:color w:val="auto"/>
              </w:rPr>
            </w:pPr>
            <w:r>
              <w:rPr>
                <w:rFonts w:ascii="Arial" w:cs="Arial" w:eastAsia="Arial" w:hAnsi="Arial"/>
                <w:sz w:val="14"/>
                <w:szCs w:val="14"/>
                <w:b w:val="1"/>
                <w:bCs w:val="1"/>
                <w:color w:val="FFFFFF"/>
              </w:rPr>
              <w:t>2025</w:t>
            </w:r>
          </w:p>
        </w:tc>
        <w:tc>
          <w:tcPr>
            <w:tcW w:w="2580" w:type="dxa"/>
            <w:vAlign w:val="bottom"/>
            <w:gridSpan w:val="2"/>
            <w:shd w:val="clear" w:color="auto" w:fill="0BC11C"/>
          </w:tcPr>
          <w:p>
            <w:pPr>
              <w:ind w:left="1220"/>
              <w:spacing w:after="0"/>
              <w:rPr>
                <w:sz w:val="20"/>
                <w:szCs w:val="20"/>
                <w:color w:val="auto"/>
              </w:rPr>
            </w:pPr>
            <w:r>
              <w:rPr>
                <w:rFonts w:ascii="Arial" w:cs="Arial" w:eastAsia="Arial" w:hAnsi="Arial"/>
                <w:sz w:val="14"/>
                <w:szCs w:val="14"/>
                <w:b w:val="1"/>
                <w:bCs w:val="1"/>
                <w:color w:val="FFFFFF"/>
              </w:rPr>
              <w:t>2024</w:t>
            </w:r>
          </w:p>
        </w:tc>
        <w:tc>
          <w:tcPr>
            <w:tcW w:w="1140" w:type="dxa"/>
            <w:vAlign w:val="bottom"/>
            <w:shd w:val="clear" w:color="auto" w:fill="0BC11C"/>
          </w:tcPr>
          <w:p>
            <w:pPr>
              <w:jc w:val="right"/>
              <w:spacing w:after="0"/>
              <w:rPr>
                <w:sz w:val="20"/>
                <w:szCs w:val="20"/>
                <w:color w:val="auto"/>
              </w:rPr>
            </w:pPr>
            <w:r>
              <w:rPr>
                <w:rFonts w:ascii="Arial" w:cs="Arial" w:eastAsia="Arial" w:hAnsi="Arial"/>
                <w:sz w:val="14"/>
                <w:szCs w:val="14"/>
                <w:b w:val="1"/>
                <w:bCs w:val="1"/>
                <w:color w:val="FFFFFF"/>
              </w:rPr>
              <w:t xml:space="preserve">   Change   </w:t>
            </w:r>
          </w:p>
        </w:tc>
      </w:tr>
      <w:tr>
        <w:trPr>
          <w:trHeight w:val="83"/>
        </w:trPr>
        <w:tc>
          <w:tcPr>
            <w:tcW w:w="4000" w:type="dxa"/>
            <w:vAlign w:val="bottom"/>
            <w:shd w:val="clear" w:color="auto" w:fill="0BC11C"/>
          </w:tcPr>
          <w:p>
            <w:pPr>
              <w:spacing w:after="0"/>
              <w:rPr>
                <w:sz w:val="7"/>
                <w:szCs w:val="7"/>
                <w:color w:val="auto"/>
              </w:rPr>
            </w:pPr>
          </w:p>
        </w:tc>
        <w:tc>
          <w:tcPr>
            <w:tcW w:w="1580" w:type="dxa"/>
            <w:vAlign w:val="bottom"/>
            <w:shd w:val="clear" w:color="auto" w:fill="0BC11C"/>
          </w:tcPr>
          <w:p>
            <w:pPr>
              <w:spacing w:after="0"/>
              <w:rPr>
                <w:sz w:val="7"/>
                <w:szCs w:val="7"/>
                <w:color w:val="auto"/>
              </w:rPr>
            </w:pPr>
          </w:p>
        </w:tc>
        <w:tc>
          <w:tcPr>
            <w:tcW w:w="1720" w:type="dxa"/>
            <w:vAlign w:val="bottom"/>
            <w:shd w:val="clear" w:color="auto" w:fill="0BC11C"/>
          </w:tcPr>
          <w:p>
            <w:pPr>
              <w:spacing w:after="0"/>
              <w:rPr>
                <w:sz w:val="7"/>
                <w:szCs w:val="7"/>
                <w:color w:val="auto"/>
              </w:rPr>
            </w:pPr>
          </w:p>
        </w:tc>
        <w:tc>
          <w:tcPr>
            <w:tcW w:w="1320" w:type="dxa"/>
            <w:vAlign w:val="bottom"/>
            <w:shd w:val="clear" w:color="auto" w:fill="0BC11C"/>
          </w:tcPr>
          <w:p>
            <w:pPr>
              <w:spacing w:after="0"/>
              <w:rPr>
                <w:sz w:val="7"/>
                <w:szCs w:val="7"/>
                <w:color w:val="auto"/>
              </w:rPr>
            </w:pPr>
          </w:p>
        </w:tc>
        <w:tc>
          <w:tcPr>
            <w:tcW w:w="1260" w:type="dxa"/>
            <w:vAlign w:val="bottom"/>
            <w:shd w:val="clear" w:color="auto" w:fill="0BC11C"/>
          </w:tcPr>
          <w:p>
            <w:pPr>
              <w:spacing w:after="0"/>
              <w:rPr>
                <w:sz w:val="7"/>
                <w:szCs w:val="7"/>
                <w:color w:val="auto"/>
              </w:rPr>
            </w:pPr>
          </w:p>
        </w:tc>
        <w:tc>
          <w:tcPr>
            <w:tcW w:w="1140" w:type="dxa"/>
            <w:vAlign w:val="bottom"/>
            <w:shd w:val="clear" w:color="auto" w:fill="0BC11C"/>
          </w:tcPr>
          <w:p>
            <w:pPr>
              <w:spacing w:after="0"/>
              <w:rPr>
                <w:sz w:val="7"/>
                <w:szCs w:val="7"/>
                <w:color w:val="auto"/>
              </w:rPr>
            </w:pPr>
          </w:p>
        </w:tc>
      </w:tr>
      <w:tr>
        <w:trPr>
          <w:trHeight w:val="297"/>
        </w:trPr>
        <w:tc>
          <w:tcPr>
            <w:tcW w:w="4000" w:type="dxa"/>
            <w:vAlign w:val="bottom"/>
          </w:tcPr>
          <w:p>
            <w:pPr>
              <w:ind w:left="60"/>
              <w:spacing w:after="0"/>
              <w:rPr>
                <w:sz w:val="20"/>
                <w:szCs w:val="20"/>
                <w:color w:val="auto"/>
              </w:rPr>
            </w:pPr>
            <w:r>
              <w:rPr>
                <w:rFonts w:ascii="Arial" w:cs="Arial" w:eastAsia="Arial" w:hAnsi="Arial"/>
                <w:sz w:val="16"/>
                <w:szCs w:val="16"/>
                <w:color w:val="auto"/>
              </w:rPr>
              <w:t>Anshul Thakral</w:t>
            </w:r>
            <w:r>
              <w:rPr>
                <w:rFonts w:ascii="Arial" w:cs="Arial" w:eastAsia="Arial" w:hAnsi="Arial"/>
                <w:sz w:val="24"/>
                <w:szCs w:val="24"/>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901"/>
              <w:spacing w:after="0"/>
              <w:rPr>
                <w:sz w:val="20"/>
                <w:szCs w:val="20"/>
                <w:color w:val="auto"/>
              </w:rPr>
            </w:pPr>
            <w:r>
              <w:rPr>
                <w:rFonts w:ascii="Arial" w:cs="Arial" w:eastAsia="Arial" w:hAnsi="Arial"/>
                <w:sz w:val="16"/>
                <w:szCs w:val="16"/>
                <w:color w:val="auto"/>
              </w:rPr>
              <w:t>1,100,000</w:t>
            </w:r>
          </w:p>
        </w:tc>
        <w:tc>
          <w:tcPr>
            <w:tcW w:w="1320" w:type="dxa"/>
            <w:vAlign w:val="bottom"/>
          </w:tcPr>
          <w:p>
            <w:pPr>
              <w:spacing w:after="0"/>
              <w:rPr>
                <w:sz w:val="24"/>
                <w:szCs w:val="24"/>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277"/>
        </w:trPr>
        <w:tc>
          <w:tcPr>
            <w:tcW w:w="40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Jill McConnell</w:t>
            </w:r>
          </w:p>
        </w:tc>
        <w:tc>
          <w:tcPr>
            <w:tcW w:w="15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DEDED"/>
            </w:tcBorders>
            <w:shd w:val="clear" w:color="auto" w:fill="EDEDED"/>
          </w:tcPr>
          <w:p>
            <w:pPr>
              <w:jc w:val="right"/>
              <w:ind w:right="901"/>
              <w:spacing w:after="0"/>
              <w:rPr>
                <w:sz w:val="20"/>
                <w:szCs w:val="20"/>
                <w:color w:val="auto"/>
              </w:rPr>
            </w:pPr>
            <w:r>
              <w:rPr>
                <w:rFonts w:ascii="Arial" w:cs="Arial" w:eastAsia="Arial" w:hAnsi="Arial"/>
                <w:sz w:val="16"/>
                <w:szCs w:val="16"/>
                <w:color w:val="auto"/>
              </w:rPr>
              <w:t>509,000</w:t>
            </w:r>
          </w:p>
        </w:tc>
        <w:tc>
          <w:tcPr>
            <w:tcW w:w="1320" w:type="dxa"/>
            <w:vAlign w:val="bottom"/>
            <w:tcBorders>
              <w:bottom w:val="single" w:sz="8" w:color="EDEDED"/>
            </w:tcBorders>
            <w:shd w:val="clear" w:color="auto" w:fill="EDEDED"/>
          </w:tcPr>
          <w:p>
            <w:pPr>
              <w:ind w:left="12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D"/>
            </w:tcBorders>
            <w:shd w:val="clear" w:color="auto" w:fill="EDEDED"/>
          </w:tcPr>
          <w:p>
            <w:pPr>
              <w:jc w:val="right"/>
              <w:ind w:right="439"/>
              <w:spacing w:after="0"/>
              <w:rPr>
                <w:sz w:val="20"/>
                <w:szCs w:val="20"/>
                <w:color w:val="auto"/>
              </w:rPr>
            </w:pPr>
            <w:r>
              <w:rPr>
                <w:rFonts w:ascii="Arial" w:cs="Arial" w:eastAsia="Arial" w:hAnsi="Arial"/>
                <w:sz w:val="16"/>
                <w:szCs w:val="16"/>
                <w:color w:val="auto"/>
              </w:rPr>
              <w:t>500,000</w:t>
            </w:r>
          </w:p>
        </w:tc>
        <w:tc>
          <w:tcPr>
            <w:tcW w:w="1140" w:type="dxa"/>
            <w:vAlign w:val="bottom"/>
            <w:tcBorders>
              <w:bottom w:val="single" w:sz="8" w:color="EDEDED"/>
            </w:tcBorders>
            <w:shd w:val="clear" w:color="auto" w:fill="EDEDED"/>
          </w:tcPr>
          <w:p>
            <w:pPr>
              <w:jc w:val="right"/>
              <w:ind w:right="22"/>
              <w:spacing w:after="0"/>
              <w:rPr>
                <w:sz w:val="20"/>
                <w:szCs w:val="20"/>
                <w:color w:val="auto"/>
              </w:rPr>
            </w:pPr>
            <w:r>
              <w:rPr>
                <w:rFonts w:ascii="Arial" w:cs="Arial" w:eastAsia="Arial" w:hAnsi="Arial"/>
                <w:sz w:val="16"/>
                <w:szCs w:val="16"/>
                <w:color w:val="auto"/>
              </w:rPr>
              <w:t>1.8%</w:t>
            </w:r>
          </w:p>
        </w:tc>
      </w:tr>
      <w:tr>
        <w:trPr>
          <w:trHeight w:val="254"/>
        </w:trPr>
        <w:tc>
          <w:tcPr>
            <w:tcW w:w="4000" w:type="dxa"/>
            <w:vAlign w:val="bottom"/>
          </w:tcPr>
          <w:p>
            <w:pPr>
              <w:ind w:left="60"/>
              <w:spacing w:after="0"/>
              <w:rPr>
                <w:sz w:val="20"/>
                <w:szCs w:val="20"/>
                <w:color w:val="auto"/>
              </w:rPr>
            </w:pPr>
            <w:r>
              <w:rPr>
                <w:rFonts w:ascii="Arial" w:cs="Arial" w:eastAsia="Arial" w:hAnsi="Arial"/>
                <w:sz w:val="16"/>
                <w:szCs w:val="16"/>
                <w:color w:val="auto"/>
              </w:rPr>
              <w:t>Mark Morais</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901"/>
              <w:spacing w:after="0"/>
              <w:rPr>
                <w:sz w:val="20"/>
                <w:szCs w:val="20"/>
                <w:color w:val="auto"/>
              </w:rPr>
            </w:pPr>
            <w:r>
              <w:rPr>
                <w:rFonts w:ascii="Arial" w:cs="Arial" w:eastAsia="Arial" w:hAnsi="Arial"/>
                <w:sz w:val="16"/>
                <w:szCs w:val="16"/>
                <w:color w:val="auto"/>
              </w:rPr>
              <w:t>509,000</w:t>
            </w:r>
          </w:p>
        </w:tc>
        <w:tc>
          <w:tcPr>
            <w:tcW w:w="1320" w:type="dxa"/>
            <w:vAlign w:val="bottom"/>
          </w:tcPr>
          <w:p>
            <w:pPr>
              <w:ind w:left="12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500,000</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1.8%</w:t>
            </w:r>
          </w:p>
        </w:tc>
      </w:tr>
      <w:tr>
        <w:trPr>
          <w:trHeight w:val="43"/>
        </w:trPr>
        <w:tc>
          <w:tcPr>
            <w:tcW w:w="4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40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Thomas Pike</w:t>
            </w:r>
          </w:p>
        </w:tc>
        <w:tc>
          <w:tcPr>
            <w:tcW w:w="15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DEDED"/>
            </w:tcBorders>
            <w:shd w:val="clear" w:color="auto" w:fill="EDEDED"/>
          </w:tcPr>
          <w:p>
            <w:pPr>
              <w:jc w:val="right"/>
              <w:ind w:right="901"/>
              <w:spacing w:after="0"/>
              <w:rPr>
                <w:sz w:val="20"/>
                <w:szCs w:val="20"/>
                <w:color w:val="auto"/>
              </w:rPr>
            </w:pPr>
            <w:r>
              <w:rPr>
                <w:rFonts w:ascii="Arial" w:cs="Arial" w:eastAsia="Arial" w:hAnsi="Arial"/>
                <w:sz w:val="16"/>
                <w:szCs w:val="16"/>
                <w:color w:val="auto"/>
              </w:rPr>
              <w:t>1,100,000</w:t>
            </w:r>
          </w:p>
        </w:tc>
        <w:tc>
          <w:tcPr>
            <w:tcW w:w="1320" w:type="dxa"/>
            <w:vAlign w:val="bottom"/>
            <w:tcBorders>
              <w:bottom w:val="single" w:sz="8" w:color="EDEDED"/>
            </w:tcBorders>
            <w:shd w:val="clear" w:color="auto" w:fill="EDEDED"/>
          </w:tcPr>
          <w:p>
            <w:pPr>
              <w:ind w:left="12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D"/>
            </w:tcBorders>
            <w:shd w:val="clear" w:color="auto" w:fill="EDEDED"/>
          </w:tcPr>
          <w:p>
            <w:pPr>
              <w:jc w:val="right"/>
              <w:ind w:right="439"/>
              <w:spacing w:after="0"/>
              <w:rPr>
                <w:sz w:val="20"/>
                <w:szCs w:val="20"/>
                <w:color w:val="auto"/>
              </w:rPr>
            </w:pPr>
            <w:r>
              <w:rPr>
                <w:rFonts w:ascii="Arial" w:cs="Arial" w:eastAsia="Arial" w:hAnsi="Arial"/>
                <w:sz w:val="16"/>
                <w:szCs w:val="16"/>
                <w:color w:val="auto"/>
              </w:rPr>
              <w:t>1,100,000</w:t>
            </w:r>
          </w:p>
        </w:tc>
        <w:tc>
          <w:tcPr>
            <w:tcW w:w="1140" w:type="dxa"/>
            <w:vAlign w:val="bottom"/>
            <w:tcBorders>
              <w:bottom w:val="single" w:sz="8" w:color="EDEDED"/>
            </w:tcBorders>
            <w:shd w:val="clear" w:color="auto" w:fill="EDEDED"/>
          </w:tcPr>
          <w:p>
            <w:pPr>
              <w:jc w:val="right"/>
              <w:ind w:right="22"/>
              <w:spacing w:after="0"/>
              <w:rPr>
                <w:sz w:val="20"/>
                <w:szCs w:val="20"/>
                <w:color w:val="auto"/>
              </w:rPr>
            </w:pPr>
            <w:r>
              <w:rPr>
                <w:rFonts w:ascii="Arial" w:cs="Arial" w:eastAsia="Arial" w:hAnsi="Arial"/>
                <w:sz w:val="16"/>
                <w:szCs w:val="16"/>
                <w:color w:val="auto"/>
              </w:rPr>
              <w:t>0%</w:t>
            </w:r>
          </w:p>
        </w:tc>
      </w:tr>
      <w:tr>
        <w:trPr>
          <w:trHeight w:val="365"/>
        </w:trPr>
        <w:tc>
          <w:tcPr>
            <w:tcW w:w="4000" w:type="dxa"/>
            <w:vAlign w:val="bottom"/>
          </w:tcPr>
          <w:p>
            <w:pPr>
              <w:ind w:left="60"/>
              <w:spacing w:after="0"/>
              <w:rPr>
                <w:sz w:val="20"/>
                <w:szCs w:val="20"/>
                <w:color w:val="auto"/>
              </w:rPr>
            </w:pPr>
            <w:r>
              <w:rPr>
                <w:rFonts w:ascii="Arial" w:cs="Arial" w:eastAsia="Arial" w:hAnsi="Arial"/>
                <w:sz w:val="16"/>
                <w:szCs w:val="16"/>
                <w:color w:val="auto"/>
              </w:rPr>
              <w:t>Peter M. Neupert</w:t>
            </w:r>
            <w:r>
              <w:rPr>
                <w:rFonts w:ascii="Arial" w:cs="Arial" w:eastAsia="Arial" w:hAnsi="Arial"/>
                <w:sz w:val="24"/>
                <w:szCs w:val="24"/>
                <w:color w:val="auto"/>
                <w:vertAlign w:val="superscript"/>
              </w:rPr>
              <w:t>(2)</w:t>
            </w:r>
          </w:p>
        </w:tc>
        <w:tc>
          <w:tcPr>
            <w:tcW w:w="1580" w:type="dxa"/>
            <w:vAlign w:val="bottom"/>
          </w:tcPr>
          <w:p>
            <w:pPr>
              <w:spacing w:after="0"/>
              <w:rPr>
                <w:sz w:val="24"/>
                <w:szCs w:val="24"/>
                <w:color w:val="auto"/>
              </w:rPr>
            </w:pPr>
          </w:p>
        </w:tc>
        <w:tc>
          <w:tcPr>
            <w:tcW w:w="172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w:t>
            </w:r>
          </w:p>
        </w:tc>
      </w:tr>
    </w:tbl>
    <w:p>
      <w:pPr>
        <w:spacing w:after="0" w:line="63"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Thakral joined the company on August 4, 2025.</w:t>
      </w:r>
    </w:p>
    <w:p>
      <w:pPr>
        <w:spacing w:after="0" w:line="66" w:lineRule="exact"/>
        <w:rPr>
          <w:rFonts w:ascii="Arial" w:cs="Arial" w:eastAsia="Arial" w:hAnsi="Arial"/>
          <w:sz w:val="13"/>
          <w:szCs w:val="13"/>
          <w:color w:val="auto"/>
        </w:rPr>
      </w:pPr>
    </w:p>
    <w:p>
      <w:pPr>
        <w:ind w:left="440" w:right="260" w:hanging="324"/>
        <w:spacing w:after="0" w:line="243" w:lineRule="auto"/>
        <w:tabs>
          <w:tab w:leader="none" w:pos="440" w:val="left"/>
        </w:tabs>
        <w:numPr>
          <w:ilvl w:val="0"/>
          <w:numId w:val="27"/>
        </w:numPr>
        <w:rPr>
          <w:rFonts w:ascii="Arial" w:cs="Arial" w:eastAsia="Arial" w:hAnsi="Arial"/>
          <w:sz w:val="13"/>
          <w:szCs w:val="13"/>
          <w:i w:val="1"/>
          <w:iCs w:val="1"/>
          <w:color w:val="auto"/>
        </w:rPr>
      </w:pPr>
      <w:r>
        <w:rPr>
          <w:rFonts w:ascii="Arial" w:cs="Arial" w:eastAsia="Arial" w:hAnsi="Arial"/>
          <w:sz w:val="13"/>
          <w:szCs w:val="13"/>
          <w:color w:val="auto"/>
        </w:rPr>
        <w:t>In connection with Peter Neupert’s appointment as Interim Chief Executive Officer, we entered into an offer letter with Mr. Neupert, pursuant to which we paid Mr. Neupert a base salary at a rate of $100,000 per month. Mr. Neupert served in the Interim CEO role for approximately 3 months.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Fortrea 2025 Bonus Plan: Bonus Plan Design and Performance</w:t>
      </w:r>
    </w:p>
    <w:p>
      <w:pPr>
        <w:spacing w:after="0" w:line="10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MDCC evaluated the bonus target, as a percentage of base salary, for Mr. Pike, Ms. McConnell and Mr. Morais and determined the bonus target for Mr. Pike, Ms. McConnell and Mr. Morais to be 150%, 85% and 85%, respectively, of their base salary, which remained unchanged from the prior year.</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his hire, Mr. Thakral’s bonus target was set at 150% of his base salary.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factors were considered by the MDCC in evaluating and determining the bonus target:</w:t>
      </w:r>
    </w:p>
    <w:p>
      <w:pPr>
        <w:spacing w:after="0" w:line="86"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Individual attributes of each NEO – such as responsibilities, skills, leadership and experience.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executive officer’s expected ongoing contributions to the Company.</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Overall market competitiveness of the executive officer’s target bonus.</w:t>
      </w:r>
    </w:p>
    <w:p>
      <w:pPr>
        <w:spacing w:after="0" w:line="140"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auto"/>
        </w:rPr>
        <w:t>In addition, the MDCC established the 2025 bonus plan under the Incentive Plan. The performance criteria for the 2025 bonus plan included financial performance objectives, which were: (i) Adjusted EBITDA, which aligns with the interests of stockholders, and (ii) net new business, which focuses on growth.</w:t>
      </w:r>
    </w:p>
    <w:p>
      <w:pPr>
        <w:spacing w:after="0" w:line="104"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As originally established by the MDCC in the first quarter of 2025 and calculated as of December 31, 2025, the Adjusted EBITDA and net new business were weighted at 60% and 40%, respectively. The Adjusted EBITDA and net new business criteria had base threshold values at $166.5 million and $3.168 billion respectively.</w:t>
      </w:r>
    </w:p>
    <w:p>
      <w:pPr>
        <w:spacing w:after="0" w:line="90"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The Adjusted EBITDA and net new business criteria were above the thresholds noted above but below target. Using these performance criteria, we achieved a Fortrea business performance factor of 68.5%.</w:t>
      </w:r>
    </w:p>
    <w:p>
      <w:pPr>
        <w:spacing w:after="0" w:line="8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Individual Performance Modifier in the Fortrea Bonus Plan is used as a multiplier and is based on performance compared to 2025 goals. The MDCC assessed each NEO’s performance against the identified individual performance objectives and approved individual performance modifiers of 100% for each person. Mr. Thakral’s cash bonus was pro-rated pursuant to the terms of his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34</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2025 Earned Annual Bonus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the performance achievements described below, the following annual bonuses were earned by our NEOs for 2025 performance: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08"/>
        </w:trPr>
        <w:tc>
          <w:tcPr>
            <w:tcW w:w="1800" w:type="dxa"/>
            <w:vAlign w:val="bottom"/>
            <w:shd w:val="clear" w:color="auto" w:fill="0BC11C"/>
          </w:tcPr>
          <w:p>
            <w:pPr>
              <w:spacing w:after="0"/>
              <w:rPr>
                <w:sz w:val="9"/>
                <w:szCs w:val="9"/>
                <w:color w:val="auto"/>
              </w:rPr>
            </w:pPr>
          </w:p>
        </w:tc>
        <w:tc>
          <w:tcPr>
            <w:tcW w:w="1920" w:type="dxa"/>
            <w:vAlign w:val="bottom"/>
            <w:shd w:val="clear" w:color="auto" w:fill="0BC11C"/>
          </w:tcPr>
          <w:p>
            <w:pPr>
              <w:spacing w:after="0"/>
              <w:rPr>
                <w:sz w:val="9"/>
                <w:szCs w:val="9"/>
                <w:color w:val="auto"/>
              </w:rPr>
            </w:pPr>
          </w:p>
        </w:tc>
        <w:tc>
          <w:tcPr>
            <w:tcW w:w="1160" w:type="dxa"/>
            <w:vAlign w:val="bottom"/>
            <w:shd w:val="clear" w:color="auto" w:fill="0BC11C"/>
          </w:tcPr>
          <w:p>
            <w:pPr>
              <w:spacing w:after="0"/>
              <w:rPr>
                <w:sz w:val="9"/>
                <w:szCs w:val="9"/>
                <w:color w:val="auto"/>
              </w:rPr>
            </w:pPr>
          </w:p>
        </w:tc>
        <w:tc>
          <w:tcPr>
            <w:tcW w:w="1340" w:type="dxa"/>
            <w:vAlign w:val="bottom"/>
            <w:shd w:val="clear" w:color="auto" w:fill="0BC11C"/>
          </w:tcPr>
          <w:p>
            <w:pPr>
              <w:spacing w:after="0"/>
              <w:rPr>
                <w:sz w:val="9"/>
                <w:szCs w:val="9"/>
                <w:color w:val="auto"/>
              </w:rPr>
            </w:pPr>
          </w:p>
        </w:tc>
        <w:tc>
          <w:tcPr>
            <w:tcW w:w="1780" w:type="dxa"/>
            <w:vAlign w:val="bottom"/>
            <w:shd w:val="clear" w:color="auto" w:fill="0BC11C"/>
          </w:tcPr>
          <w:p>
            <w:pPr>
              <w:spacing w:after="0"/>
              <w:rPr>
                <w:sz w:val="9"/>
                <w:szCs w:val="9"/>
                <w:color w:val="auto"/>
              </w:rPr>
            </w:pPr>
          </w:p>
        </w:tc>
        <w:tc>
          <w:tcPr>
            <w:tcW w:w="1800" w:type="dxa"/>
            <w:vAlign w:val="bottom"/>
            <w:shd w:val="clear" w:color="auto" w:fill="0BC11C"/>
          </w:tcPr>
          <w:p>
            <w:pPr>
              <w:spacing w:after="0"/>
              <w:rPr>
                <w:sz w:val="9"/>
                <w:szCs w:val="9"/>
                <w:color w:val="auto"/>
              </w:rPr>
            </w:pPr>
          </w:p>
        </w:tc>
        <w:tc>
          <w:tcPr>
            <w:tcW w:w="1220" w:type="dxa"/>
            <w:vAlign w:val="bottom"/>
            <w:shd w:val="clear" w:color="auto" w:fill="0BC11C"/>
          </w:tcPr>
          <w:p>
            <w:pPr>
              <w:spacing w:after="0"/>
              <w:rPr>
                <w:sz w:val="9"/>
                <w:szCs w:val="9"/>
                <w:color w:val="auto"/>
              </w:rPr>
            </w:pPr>
          </w:p>
        </w:tc>
        <w:tc>
          <w:tcPr>
            <w:tcW w:w="20" w:type="dxa"/>
            <w:vAlign w:val="bottom"/>
          </w:tcPr>
          <w:p>
            <w:pPr>
              <w:spacing w:after="0"/>
              <w:rPr>
                <w:sz w:val="9"/>
                <w:szCs w:val="9"/>
                <w:color w:val="auto"/>
              </w:rPr>
            </w:pPr>
          </w:p>
        </w:tc>
      </w:tr>
      <w:tr>
        <w:trPr>
          <w:trHeight w:val="153"/>
        </w:trPr>
        <w:tc>
          <w:tcPr>
            <w:tcW w:w="1800" w:type="dxa"/>
            <w:vAlign w:val="bottom"/>
            <w:shd w:val="clear" w:color="auto" w:fill="0BC11C"/>
          </w:tcPr>
          <w:p>
            <w:pPr>
              <w:spacing w:after="0"/>
              <w:rPr>
                <w:sz w:val="13"/>
                <w:szCs w:val="13"/>
                <w:color w:val="auto"/>
              </w:rPr>
            </w:pPr>
          </w:p>
        </w:tc>
        <w:tc>
          <w:tcPr>
            <w:tcW w:w="1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rPr>
              <w:t>Bonus Target</w:t>
            </w:r>
          </w:p>
        </w:tc>
        <w:tc>
          <w:tcPr>
            <w:tcW w:w="1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800" w:type="dxa"/>
            <w:vAlign w:val="bottom"/>
            <w:shd w:val="clear" w:color="auto" w:fill="0BC11C"/>
          </w:tcPr>
          <w:p>
            <w:pPr>
              <w:spacing w:after="0"/>
              <w:rPr>
                <w:sz w:val="14"/>
                <w:szCs w:val="14"/>
                <w:color w:val="auto"/>
              </w:rPr>
            </w:pPr>
          </w:p>
        </w:tc>
        <w:tc>
          <w:tcPr>
            <w:tcW w:w="1920" w:type="dxa"/>
            <w:vAlign w:val="bottom"/>
          </w:tcPr>
          <w:p>
            <w:pPr>
              <w:jc w:val="center"/>
              <w:ind w:left="203"/>
              <w:spacing w:after="0"/>
              <w:rPr>
                <w:sz w:val="20"/>
                <w:szCs w:val="20"/>
                <w:color w:val="auto"/>
              </w:rPr>
            </w:pPr>
            <w:r>
              <w:rPr>
                <w:rFonts w:ascii="Arial" w:cs="Arial" w:eastAsia="Arial" w:hAnsi="Arial"/>
                <w:sz w:val="14"/>
                <w:szCs w:val="14"/>
                <w:b w:val="1"/>
                <w:bCs w:val="1"/>
                <w:color w:val="FFFFFF"/>
              </w:rPr>
              <w:t>Applicable Bonus</w:t>
            </w:r>
          </w:p>
        </w:tc>
        <w:tc>
          <w:tcPr>
            <w:tcW w:w="1160" w:type="dxa"/>
            <w:vAlign w:val="bottom"/>
          </w:tcPr>
          <w:p>
            <w:pPr>
              <w:jc w:val="center"/>
              <w:ind w:right="23"/>
              <w:spacing w:after="0"/>
              <w:rPr>
                <w:sz w:val="20"/>
                <w:szCs w:val="20"/>
                <w:color w:val="auto"/>
              </w:rPr>
            </w:pPr>
            <w:r>
              <w:rPr>
                <w:rFonts w:ascii="Arial" w:cs="Arial" w:eastAsia="Arial" w:hAnsi="Arial"/>
                <w:sz w:val="14"/>
                <w:szCs w:val="14"/>
                <w:b w:val="1"/>
                <w:bCs w:val="1"/>
                <w:color w:val="FFFFFF"/>
              </w:rPr>
              <w:t>Base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FFFFFF"/>
              </w:rPr>
              <w:t>(% of Base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FFFFFF"/>
              </w:rPr>
              <w:t>Fortrea Business</w:t>
            </w:r>
          </w:p>
        </w:tc>
        <w:tc>
          <w:tcPr>
            <w:tcW w:w="1800" w:type="dxa"/>
            <w:vAlign w:val="bottom"/>
          </w:tcPr>
          <w:p>
            <w:pPr>
              <w:jc w:val="center"/>
              <w:ind w:left="23"/>
              <w:spacing w:after="0"/>
              <w:rPr>
                <w:sz w:val="20"/>
                <w:szCs w:val="20"/>
                <w:color w:val="auto"/>
              </w:rPr>
            </w:pPr>
            <w:r>
              <w:rPr>
                <w:rFonts w:ascii="Arial" w:cs="Arial" w:eastAsia="Arial" w:hAnsi="Arial"/>
                <w:sz w:val="14"/>
                <w:szCs w:val="14"/>
                <w:b w:val="1"/>
                <w:bCs w:val="1"/>
                <w:color w:val="FFFFFF"/>
              </w:rPr>
              <w:t>Individual</w:t>
            </w:r>
          </w:p>
        </w:tc>
        <w:tc>
          <w:tcPr>
            <w:tcW w:w="1240" w:type="dxa"/>
            <w:vAlign w:val="bottom"/>
            <w:gridSpan w:val="2"/>
          </w:tcPr>
          <w:p>
            <w:pPr>
              <w:jc w:val="center"/>
              <w:ind w:left="43"/>
              <w:spacing w:after="0"/>
              <w:rPr>
                <w:sz w:val="20"/>
                <w:szCs w:val="20"/>
                <w:color w:val="auto"/>
              </w:rPr>
            </w:pPr>
            <w:r>
              <w:rPr>
                <w:rFonts w:ascii="Arial" w:cs="Arial" w:eastAsia="Arial" w:hAnsi="Arial"/>
                <w:sz w:val="14"/>
                <w:szCs w:val="14"/>
                <w:b w:val="1"/>
                <w:bCs w:val="1"/>
                <w:color w:val="FFFFFF"/>
              </w:rPr>
              <w:t xml:space="preserve">   Actual Bonus   </w:t>
            </w:r>
          </w:p>
        </w:tc>
      </w:tr>
      <w:tr>
        <w:trPr>
          <w:trHeight w:val="210"/>
        </w:trPr>
        <w:tc>
          <w:tcPr>
            <w:tcW w:w="180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Executive(1)</w:t>
            </w:r>
          </w:p>
        </w:tc>
        <w:tc>
          <w:tcPr>
            <w:tcW w:w="1920" w:type="dxa"/>
            <w:vAlign w:val="bottom"/>
          </w:tcPr>
          <w:p>
            <w:pPr>
              <w:jc w:val="center"/>
              <w:ind w:left="203"/>
              <w:spacing w:after="0"/>
              <w:rPr>
                <w:sz w:val="20"/>
                <w:szCs w:val="20"/>
                <w:color w:val="auto"/>
              </w:rPr>
            </w:pPr>
            <w:r>
              <w:rPr>
                <w:rFonts w:ascii="Arial" w:cs="Arial" w:eastAsia="Arial" w:hAnsi="Arial"/>
                <w:sz w:val="14"/>
                <w:szCs w:val="14"/>
                <w:b w:val="1"/>
                <w:bCs w:val="1"/>
                <w:color w:val="FFFFFF"/>
              </w:rPr>
              <w:t>Plan</w:t>
            </w:r>
          </w:p>
        </w:tc>
        <w:tc>
          <w:tcPr>
            <w:tcW w:w="1160" w:type="dxa"/>
            <w:vAlign w:val="bottom"/>
          </w:tcPr>
          <w:p>
            <w:pPr>
              <w:jc w:val="center"/>
              <w:ind w:right="3"/>
              <w:spacing w:after="0"/>
              <w:rPr>
                <w:sz w:val="20"/>
                <w:szCs w:val="20"/>
                <w:color w:val="auto"/>
              </w:rPr>
            </w:pPr>
            <w:r>
              <w:rPr>
                <w:rFonts w:ascii="Arial" w:cs="Arial" w:eastAsia="Arial" w:hAnsi="Arial"/>
                <w:sz w:val="14"/>
                <w:szCs w:val="14"/>
                <w:b w:val="1"/>
                <w:bCs w:val="1"/>
                <w:color w:val="FFFFFF"/>
              </w:rPr>
              <w:t>Salary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FFFFFF"/>
              </w:rPr>
              <w:t>Salary)</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FFFFFF"/>
              </w:rPr>
              <w:t>Performance Factor</w:t>
            </w:r>
          </w:p>
        </w:tc>
        <w:tc>
          <w:tcPr>
            <w:tcW w:w="1800" w:type="dxa"/>
            <w:vAlign w:val="bottom"/>
          </w:tcPr>
          <w:p>
            <w:pPr>
              <w:jc w:val="center"/>
              <w:ind w:left="3"/>
              <w:spacing w:after="0"/>
              <w:rPr>
                <w:sz w:val="20"/>
                <w:szCs w:val="20"/>
                <w:color w:val="auto"/>
              </w:rPr>
            </w:pPr>
            <w:r>
              <w:rPr>
                <w:rFonts w:ascii="Arial" w:cs="Arial" w:eastAsia="Arial" w:hAnsi="Arial"/>
                <w:sz w:val="14"/>
                <w:szCs w:val="14"/>
                <w:b w:val="1"/>
                <w:bCs w:val="1"/>
                <w:color w:val="FFFFFF"/>
              </w:rPr>
              <w:t>Performance Modifier</w:t>
            </w:r>
          </w:p>
        </w:tc>
        <w:tc>
          <w:tcPr>
            <w:tcW w:w="1240" w:type="dxa"/>
            <w:vAlign w:val="bottom"/>
            <w:gridSpan w:val="2"/>
          </w:tcPr>
          <w:p>
            <w:pPr>
              <w:jc w:val="center"/>
              <w:ind w:left="3"/>
              <w:spacing w:after="0"/>
              <w:rPr>
                <w:sz w:val="20"/>
                <w:szCs w:val="20"/>
                <w:color w:val="auto"/>
              </w:rPr>
            </w:pPr>
            <w:r>
              <w:rPr>
                <w:rFonts w:ascii="Arial" w:cs="Arial" w:eastAsia="Arial" w:hAnsi="Arial"/>
                <w:sz w:val="14"/>
                <w:szCs w:val="14"/>
                <w:b w:val="1"/>
                <w:bCs w:val="1"/>
                <w:color w:val="FFFFFF"/>
              </w:rPr>
              <w:t>Payout</w:t>
            </w:r>
          </w:p>
        </w:tc>
      </w:tr>
      <w:tr>
        <w:trPr>
          <w:trHeight w:val="83"/>
        </w:trPr>
        <w:tc>
          <w:tcPr>
            <w:tcW w:w="1800" w:type="dxa"/>
            <w:vAlign w:val="bottom"/>
            <w:shd w:val="clear" w:color="auto" w:fill="0BC11C"/>
          </w:tcPr>
          <w:p>
            <w:pPr>
              <w:spacing w:after="0"/>
              <w:rPr>
                <w:sz w:val="7"/>
                <w:szCs w:val="7"/>
                <w:color w:val="auto"/>
              </w:rPr>
            </w:pPr>
          </w:p>
        </w:tc>
        <w:tc>
          <w:tcPr>
            <w:tcW w:w="1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77"/>
        </w:trPr>
        <w:tc>
          <w:tcPr>
            <w:tcW w:w="18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Anshul Thakral</w:t>
            </w:r>
          </w:p>
        </w:tc>
        <w:tc>
          <w:tcPr>
            <w:tcW w:w="1920" w:type="dxa"/>
            <w:vAlign w:val="bottom"/>
            <w:tcBorders>
              <w:bottom w:val="single" w:sz="8" w:color="EDEDED"/>
            </w:tcBorders>
            <w:shd w:val="clear" w:color="auto" w:fill="EDEDED"/>
          </w:tcPr>
          <w:p>
            <w:pPr>
              <w:jc w:val="center"/>
              <w:ind w:left="203"/>
              <w:spacing w:after="0"/>
              <w:rPr>
                <w:sz w:val="20"/>
                <w:szCs w:val="20"/>
                <w:color w:val="auto"/>
              </w:rPr>
            </w:pPr>
            <w:r>
              <w:rPr>
                <w:rFonts w:ascii="Arial" w:cs="Arial" w:eastAsia="Arial" w:hAnsi="Arial"/>
                <w:sz w:val="16"/>
                <w:szCs w:val="16"/>
                <w:color w:val="auto"/>
              </w:rPr>
              <w:t>Fortrea Bonus Plan</w:t>
            </w:r>
          </w:p>
        </w:tc>
        <w:tc>
          <w:tcPr>
            <w:tcW w:w="1160" w:type="dxa"/>
            <w:vAlign w:val="bottom"/>
            <w:tcBorders>
              <w:bottom w:val="single" w:sz="8" w:color="EDEDED"/>
            </w:tcBorders>
            <w:shd w:val="clear" w:color="auto" w:fill="EDEDED"/>
          </w:tcPr>
          <w:p>
            <w:pPr>
              <w:jc w:val="center"/>
              <w:ind w:right="23"/>
              <w:spacing w:after="0"/>
              <w:rPr>
                <w:sz w:val="20"/>
                <w:szCs w:val="20"/>
                <w:color w:val="auto"/>
              </w:rPr>
            </w:pPr>
            <w:r>
              <w:rPr>
                <w:rFonts w:ascii="Arial" w:cs="Arial" w:eastAsia="Arial" w:hAnsi="Arial"/>
                <w:sz w:val="16"/>
                <w:szCs w:val="16"/>
                <w:color w:val="auto"/>
              </w:rPr>
              <w:t>$1,100,000</w:t>
            </w:r>
          </w:p>
        </w:tc>
        <w:tc>
          <w:tcPr>
            <w:tcW w:w="13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150%</w:t>
            </w:r>
          </w:p>
        </w:tc>
        <w:tc>
          <w:tcPr>
            <w:tcW w:w="17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68.5%</w:t>
            </w:r>
          </w:p>
        </w:tc>
        <w:tc>
          <w:tcPr>
            <w:tcW w:w="1800" w:type="dxa"/>
            <w:vAlign w:val="bottom"/>
            <w:tcBorders>
              <w:bottom w:val="single" w:sz="8" w:color="EDEDED"/>
            </w:tcBorders>
            <w:shd w:val="clear" w:color="auto" w:fill="EDEDED"/>
          </w:tcPr>
          <w:p>
            <w:pPr>
              <w:jc w:val="center"/>
              <w:ind w:left="23"/>
              <w:spacing w:after="0"/>
              <w:rPr>
                <w:sz w:val="20"/>
                <w:szCs w:val="20"/>
                <w:color w:val="auto"/>
              </w:rPr>
            </w:pPr>
            <w:r>
              <w:rPr>
                <w:rFonts w:ascii="Arial" w:cs="Arial" w:eastAsia="Arial" w:hAnsi="Arial"/>
                <w:sz w:val="16"/>
                <w:szCs w:val="16"/>
                <w:color w:val="auto"/>
              </w:rPr>
              <w:t>100%</w:t>
            </w:r>
          </w:p>
        </w:tc>
        <w:tc>
          <w:tcPr>
            <w:tcW w:w="1220" w:type="dxa"/>
            <w:vAlign w:val="bottom"/>
            <w:tcBorders>
              <w:bottom w:val="single" w:sz="8" w:color="EDEDED"/>
            </w:tcBorders>
            <w:shd w:val="clear" w:color="auto" w:fill="EDEDED"/>
          </w:tcPr>
          <w:p>
            <w:pPr>
              <w:jc w:val="center"/>
              <w:ind w:left="23"/>
              <w:spacing w:after="0"/>
              <w:rPr>
                <w:sz w:val="20"/>
                <w:szCs w:val="20"/>
                <w:color w:val="auto"/>
              </w:rPr>
            </w:pPr>
            <w:r>
              <w:rPr>
                <w:rFonts w:ascii="Arial" w:cs="Arial" w:eastAsia="Arial" w:hAnsi="Arial"/>
                <w:sz w:val="16"/>
                <w:szCs w:val="16"/>
                <w:color w:val="auto"/>
              </w:rPr>
              <w:t>$687,500</w:t>
            </w:r>
          </w:p>
        </w:tc>
        <w:tc>
          <w:tcPr>
            <w:tcW w:w="20" w:type="dxa"/>
            <w:vAlign w:val="bottom"/>
          </w:tcPr>
          <w:p>
            <w:pPr>
              <w:spacing w:after="0"/>
              <w:rPr>
                <w:sz w:val="24"/>
                <w:szCs w:val="24"/>
                <w:color w:val="auto"/>
              </w:rPr>
            </w:pPr>
          </w:p>
        </w:tc>
      </w:tr>
      <w:tr>
        <w:trPr>
          <w:trHeight w:val="254"/>
        </w:trPr>
        <w:tc>
          <w:tcPr>
            <w:tcW w:w="1800" w:type="dxa"/>
            <w:vAlign w:val="bottom"/>
          </w:tcPr>
          <w:p>
            <w:pPr>
              <w:ind w:left="60"/>
              <w:spacing w:after="0"/>
              <w:rPr>
                <w:sz w:val="20"/>
                <w:szCs w:val="20"/>
                <w:color w:val="auto"/>
              </w:rPr>
            </w:pPr>
            <w:r>
              <w:rPr>
                <w:rFonts w:ascii="Arial" w:cs="Arial" w:eastAsia="Arial" w:hAnsi="Arial"/>
                <w:sz w:val="16"/>
                <w:szCs w:val="16"/>
                <w:color w:val="auto"/>
              </w:rPr>
              <w:t>Jill McConnell</w:t>
            </w:r>
          </w:p>
        </w:tc>
        <w:tc>
          <w:tcPr>
            <w:tcW w:w="1920" w:type="dxa"/>
            <w:vAlign w:val="bottom"/>
          </w:tcPr>
          <w:p>
            <w:pPr>
              <w:jc w:val="center"/>
              <w:ind w:left="203"/>
              <w:spacing w:after="0"/>
              <w:rPr>
                <w:sz w:val="20"/>
                <w:szCs w:val="20"/>
                <w:color w:val="auto"/>
              </w:rPr>
            </w:pPr>
            <w:r>
              <w:rPr>
                <w:rFonts w:ascii="Arial" w:cs="Arial" w:eastAsia="Arial" w:hAnsi="Arial"/>
                <w:sz w:val="16"/>
                <w:szCs w:val="16"/>
                <w:color w:val="auto"/>
              </w:rPr>
              <w:t>Fortrea Bonus Plan</w:t>
            </w:r>
          </w:p>
        </w:tc>
        <w:tc>
          <w:tcPr>
            <w:tcW w:w="1160" w:type="dxa"/>
            <w:vAlign w:val="bottom"/>
          </w:tcPr>
          <w:p>
            <w:pPr>
              <w:jc w:val="center"/>
              <w:ind w:right="3"/>
              <w:spacing w:after="0"/>
              <w:rPr>
                <w:sz w:val="20"/>
                <w:szCs w:val="20"/>
                <w:color w:val="auto"/>
              </w:rPr>
            </w:pPr>
            <w:r>
              <w:rPr>
                <w:rFonts w:ascii="Arial" w:cs="Arial" w:eastAsia="Arial" w:hAnsi="Arial"/>
                <w:sz w:val="16"/>
                <w:szCs w:val="16"/>
                <w:color w:val="auto"/>
              </w:rPr>
              <w:t>$509,000</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780" w:type="dxa"/>
            <w:vAlign w:val="bottom"/>
          </w:tcPr>
          <w:p>
            <w:pPr>
              <w:jc w:val="center"/>
              <w:spacing w:after="0"/>
              <w:rPr>
                <w:sz w:val="20"/>
                <w:szCs w:val="20"/>
                <w:color w:val="auto"/>
              </w:rPr>
            </w:pPr>
            <w:r>
              <w:rPr>
                <w:rFonts w:ascii="Arial" w:cs="Arial" w:eastAsia="Arial" w:hAnsi="Arial"/>
                <w:sz w:val="16"/>
                <w:szCs w:val="16"/>
                <w:color w:val="auto"/>
              </w:rPr>
              <w:t>68.5%</w:t>
            </w:r>
          </w:p>
        </w:tc>
        <w:tc>
          <w:tcPr>
            <w:tcW w:w="1800" w:type="dxa"/>
            <w:vAlign w:val="bottom"/>
          </w:tcPr>
          <w:p>
            <w:pPr>
              <w:jc w:val="center"/>
              <w:ind w:left="23"/>
              <w:spacing w:after="0"/>
              <w:rPr>
                <w:sz w:val="20"/>
                <w:szCs w:val="20"/>
                <w:color w:val="auto"/>
              </w:rPr>
            </w:pPr>
            <w:r>
              <w:rPr>
                <w:rFonts w:ascii="Arial" w:cs="Arial" w:eastAsia="Arial" w:hAnsi="Arial"/>
                <w:sz w:val="16"/>
                <w:szCs w:val="16"/>
                <w:color w:val="auto"/>
              </w:rPr>
              <w:t>100%</w:t>
            </w:r>
          </w:p>
        </w:tc>
        <w:tc>
          <w:tcPr>
            <w:tcW w:w="1220" w:type="dxa"/>
            <w:vAlign w:val="bottom"/>
          </w:tcPr>
          <w:p>
            <w:pPr>
              <w:jc w:val="center"/>
              <w:ind w:left="23"/>
              <w:spacing w:after="0"/>
              <w:rPr>
                <w:sz w:val="20"/>
                <w:szCs w:val="20"/>
                <w:color w:val="auto"/>
              </w:rPr>
            </w:pPr>
            <w:r>
              <w:rPr>
                <w:rFonts w:ascii="Arial" w:cs="Arial" w:eastAsia="Arial" w:hAnsi="Arial"/>
                <w:sz w:val="16"/>
                <w:szCs w:val="16"/>
                <w:color w:val="auto"/>
              </w:rPr>
              <w:t>$295,202</w:t>
            </w:r>
          </w:p>
        </w:tc>
        <w:tc>
          <w:tcPr>
            <w:tcW w:w="20" w:type="dxa"/>
            <w:vAlign w:val="bottom"/>
          </w:tcPr>
          <w:p>
            <w:pPr>
              <w:spacing w:after="0"/>
              <w:rPr>
                <w:sz w:val="22"/>
                <w:szCs w:val="22"/>
                <w:color w:val="auto"/>
              </w:rPr>
            </w:pPr>
          </w:p>
        </w:tc>
      </w:tr>
      <w:tr>
        <w:trPr>
          <w:trHeight w:val="43"/>
        </w:trPr>
        <w:tc>
          <w:tcPr>
            <w:tcW w:w="18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4"/>
        </w:trPr>
        <w:tc>
          <w:tcPr>
            <w:tcW w:w="1800" w:type="dxa"/>
            <w:vAlign w:val="bottom"/>
            <w:shd w:val="clear" w:color="auto" w:fill="EDEDED"/>
          </w:tcPr>
          <w:p>
            <w:pPr>
              <w:ind w:left="60"/>
              <w:spacing w:after="0"/>
              <w:rPr>
                <w:sz w:val="20"/>
                <w:szCs w:val="20"/>
                <w:color w:val="auto"/>
              </w:rPr>
            </w:pPr>
            <w:r>
              <w:rPr>
                <w:rFonts w:ascii="Arial" w:cs="Arial" w:eastAsia="Arial" w:hAnsi="Arial"/>
                <w:sz w:val="16"/>
                <w:szCs w:val="16"/>
                <w:color w:val="auto"/>
              </w:rPr>
              <w:t>Mark Morais</w:t>
            </w:r>
          </w:p>
        </w:tc>
        <w:tc>
          <w:tcPr>
            <w:tcW w:w="1920" w:type="dxa"/>
            <w:vAlign w:val="bottom"/>
            <w:shd w:val="clear" w:color="auto" w:fill="EDEDED"/>
          </w:tcPr>
          <w:p>
            <w:pPr>
              <w:jc w:val="center"/>
              <w:ind w:left="203"/>
              <w:spacing w:after="0"/>
              <w:rPr>
                <w:sz w:val="20"/>
                <w:szCs w:val="20"/>
                <w:color w:val="auto"/>
              </w:rPr>
            </w:pPr>
            <w:r>
              <w:rPr>
                <w:rFonts w:ascii="Arial" w:cs="Arial" w:eastAsia="Arial" w:hAnsi="Arial"/>
                <w:sz w:val="16"/>
                <w:szCs w:val="16"/>
                <w:color w:val="auto"/>
              </w:rPr>
              <w:t>Fortrea Bonus Plan</w:t>
            </w:r>
          </w:p>
        </w:tc>
        <w:tc>
          <w:tcPr>
            <w:tcW w:w="1160" w:type="dxa"/>
            <w:vAlign w:val="bottom"/>
            <w:shd w:val="clear" w:color="auto" w:fill="EDEDED"/>
          </w:tcPr>
          <w:p>
            <w:pPr>
              <w:jc w:val="center"/>
              <w:ind w:right="3"/>
              <w:spacing w:after="0"/>
              <w:rPr>
                <w:sz w:val="20"/>
                <w:szCs w:val="20"/>
                <w:color w:val="auto"/>
              </w:rPr>
            </w:pPr>
            <w:r>
              <w:rPr>
                <w:rFonts w:ascii="Arial" w:cs="Arial" w:eastAsia="Arial" w:hAnsi="Arial"/>
                <w:sz w:val="16"/>
                <w:szCs w:val="16"/>
                <w:color w:val="auto"/>
              </w:rPr>
              <w:t>$509,000</w:t>
            </w:r>
          </w:p>
        </w:tc>
        <w:tc>
          <w:tcPr>
            <w:tcW w:w="134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85%</w:t>
            </w:r>
          </w:p>
        </w:tc>
        <w:tc>
          <w:tcPr>
            <w:tcW w:w="17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68.5%</w:t>
            </w:r>
          </w:p>
        </w:tc>
        <w:tc>
          <w:tcPr>
            <w:tcW w:w="1800" w:type="dxa"/>
            <w:vAlign w:val="bottom"/>
            <w:shd w:val="clear" w:color="auto" w:fill="EDEDED"/>
          </w:tcPr>
          <w:p>
            <w:pPr>
              <w:jc w:val="center"/>
              <w:ind w:left="23"/>
              <w:spacing w:after="0"/>
              <w:rPr>
                <w:sz w:val="20"/>
                <w:szCs w:val="20"/>
                <w:color w:val="auto"/>
              </w:rPr>
            </w:pPr>
            <w:r>
              <w:rPr>
                <w:rFonts w:ascii="Arial" w:cs="Arial" w:eastAsia="Arial" w:hAnsi="Arial"/>
                <w:sz w:val="16"/>
                <w:szCs w:val="16"/>
                <w:color w:val="auto"/>
              </w:rPr>
              <w:t>100%</w:t>
            </w:r>
          </w:p>
        </w:tc>
        <w:tc>
          <w:tcPr>
            <w:tcW w:w="1220" w:type="dxa"/>
            <w:vAlign w:val="bottom"/>
            <w:shd w:val="clear" w:color="auto" w:fill="EDEDED"/>
          </w:tcPr>
          <w:p>
            <w:pPr>
              <w:jc w:val="center"/>
              <w:ind w:left="23"/>
              <w:spacing w:after="0"/>
              <w:rPr>
                <w:sz w:val="20"/>
                <w:szCs w:val="20"/>
                <w:color w:val="auto"/>
              </w:rPr>
            </w:pPr>
            <w:r>
              <w:rPr>
                <w:rFonts w:ascii="Arial" w:cs="Arial" w:eastAsia="Arial" w:hAnsi="Arial"/>
                <w:sz w:val="16"/>
                <w:szCs w:val="16"/>
                <w:color w:val="auto"/>
              </w:rPr>
              <w:t>$295,202</w:t>
            </w:r>
          </w:p>
        </w:tc>
        <w:tc>
          <w:tcPr>
            <w:tcW w:w="20" w:type="dxa"/>
            <w:vAlign w:val="bottom"/>
          </w:tcPr>
          <w:p>
            <w:pPr>
              <w:spacing w:after="0"/>
              <w:rPr>
                <w:sz w:val="22"/>
                <w:szCs w:val="22"/>
                <w:color w:val="auto"/>
              </w:rPr>
            </w:pPr>
          </w:p>
        </w:tc>
      </w:tr>
      <w:tr>
        <w:trPr>
          <w:trHeight w:val="43"/>
        </w:trPr>
        <w:tc>
          <w:tcPr>
            <w:tcW w:w="1800" w:type="dxa"/>
            <w:vAlign w:val="bottom"/>
            <w:shd w:val="clear" w:color="auto" w:fill="EDEDED"/>
          </w:tcPr>
          <w:p>
            <w:pPr>
              <w:spacing w:after="0"/>
              <w:rPr>
                <w:sz w:val="3"/>
                <w:szCs w:val="3"/>
                <w:color w:val="auto"/>
              </w:rPr>
            </w:pPr>
          </w:p>
        </w:tc>
        <w:tc>
          <w:tcPr>
            <w:tcW w:w="1920" w:type="dxa"/>
            <w:vAlign w:val="bottom"/>
            <w:shd w:val="clear" w:color="auto" w:fill="EDEDED"/>
          </w:tcPr>
          <w:p>
            <w:pPr>
              <w:spacing w:after="0"/>
              <w:rPr>
                <w:sz w:val="3"/>
                <w:szCs w:val="3"/>
                <w:color w:val="auto"/>
              </w:rPr>
            </w:pPr>
          </w:p>
        </w:tc>
        <w:tc>
          <w:tcPr>
            <w:tcW w:w="1160" w:type="dxa"/>
            <w:vAlign w:val="bottom"/>
            <w:shd w:val="clear" w:color="auto" w:fill="EDEDED"/>
          </w:tcPr>
          <w:p>
            <w:pPr>
              <w:spacing w:after="0"/>
              <w:rPr>
                <w:sz w:val="3"/>
                <w:szCs w:val="3"/>
                <w:color w:val="auto"/>
              </w:rPr>
            </w:pPr>
          </w:p>
        </w:tc>
        <w:tc>
          <w:tcPr>
            <w:tcW w:w="1340" w:type="dxa"/>
            <w:vAlign w:val="bottom"/>
            <w:shd w:val="clear" w:color="auto" w:fill="EDEDED"/>
          </w:tcPr>
          <w:p>
            <w:pPr>
              <w:spacing w:after="0"/>
              <w:rPr>
                <w:sz w:val="3"/>
                <w:szCs w:val="3"/>
                <w:color w:val="auto"/>
              </w:rPr>
            </w:pPr>
          </w:p>
        </w:tc>
        <w:tc>
          <w:tcPr>
            <w:tcW w:w="1780" w:type="dxa"/>
            <w:vAlign w:val="bottom"/>
            <w:shd w:val="clear" w:color="auto" w:fill="EDEDED"/>
          </w:tcPr>
          <w:p>
            <w:pPr>
              <w:spacing w:after="0"/>
              <w:rPr>
                <w:sz w:val="3"/>
                <w:szCs w:val="3"/>
                <w:color w:val="auto"/>
              </w:rPr>
            </w:pPr>
          </w:p>
        </w:tc>
        <w:tc>
          <w:tcPr>
            <w:tcW w:w="180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-950595</wp:posOffset>
            </wp:positionV>
            <wp:extent cx="5854700" cy="3854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54700" cy="385445"/>
                    </a:xfrm>
                    <a:prstGeom prst="rect">
                      <a:avLst/>
                    </a:prstGeom>
                    <a:noFill/>
                  </pic:spPr>
                </pic:pic>
              </a:graphicData>
            </a:graphic>
          </wp:anchor>
        </w:drawing>
      </w:r>
    </w:p>
    <w:p>
      <w:pPr>
        <w:spacing w:after="0" w:line="111" w:lineRule="exact"/>
        <w:rPr>
          <w:sz w:val="20"/>
          <w:szCs w:val="20"/>
          <w:color w:val="auto"/>
        </w:rPr>
      </w:pPr>
    </w:p>
    <w:p>
      <w:pPr>
        <w:ind w:left="440" w:right="60" w:hanging="324"/>
        <w:spacing w:after="0" w:line="233" w:lineRule="auto"/>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Thakral’s annual bonus was pro-rated from his hire date according to the terms of his offer letter. Mr. Neupert was not eligible for a bonus payment in connection with his service as an NEO in 2025. Mr. Pike received a cash severance, paid in equal installments, as a continuation of his salary and as a payment of his bonus. For more information, see “Pike Severance Payments and Consulting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Fortrea 2025 Long-Term Incentive Compensation – Performance Stock Units and Restricted Stock Units</w:t>
      </w:r>
    </w:p>
    <w:p>
      <w:pPr>
        <w:spacing w:after="0" w:line="149"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Our long-term incentive plan is intended to motivate the attainment of our long-term goals and provide direct alignment to the experience of stockholders through the link to key financial measures and stock price performance. In 2025, awards were granted as a combination of PSUs and RSUs, balancing complementary priorities of financial performance, stockholder value creation, alignment of interests and executive retention.</w:t>
      </w:r>
    </w:p>
    <w:p>
      <w:pPr>
        <w:spacing w:after="0" w:line="104"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We grant long-term incentives generally in the form of PSUs and RSUs under our Incentive Plan. We generally grant equity awards on an annual basis as part of our annual performance cycle. We award PSUs and RSUs to deliver long-term incentive compensation because they directly align executive compensation with the creation of stockholder value, and the ultimate value received from equity grants depends on stock price appreciation after the grant date. Equity grants also encourage retention through time-based vesting. Awards of PSUs and RSUs to employees in connection with our long-term incentive awards generally vest over three years with equal annual installments vesting on the first anniversary of the grant date and annually thereafter.</w:t>
      </w:r>
    </w:p>
    <w:p>
      <w:pPr>
        <w:spacing w:after="0" w:line="99"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In establishing annual long-term incentive award levels for our NEOs, other than our Chief Executive Officer, and in formulating a recommendation to the Board of Directors on the long-term incentive compensation for our Chief Executive Officer, the MDCC evaluates long-term incentives awarded to executives holding comparable positions at our peer companies. The MDCC and the Board also evaluate overall Company performance over the fiscal year prior to which the awards are granted, the successful achievement of our financial goals, and the development of our organizational capabilities.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MDCC Committee approved the following RSUs and PSUs for our Named Executive Officers under the Incentive Plan:</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4040" w:type="dxa"/>
            <w:vAlign w:val="bottom"/>
            <w:shd w:val="clear" w:color="auto" w:fill="0BC11C"/>
          </w:tcPr>
          <w:p>
            <w:pPr>
              <w:spacing w:after="0"/>
              <w:rPr>
                <w:sz w:val="22"/>
                <w:szCs w:val="22"/>
                <w:color w:val="auto"/>
              </w:rPr>
            </w:pPr>
          </w:p>
        </w:tc>
        <w:tc>
          <w:tcPr>
            <w:tcW w:w="2700" w:type="dxa"/>
            <w:vAlign w:val="bottom"/>
            <w:shd w:val="clear" w:color="auto" w:fill="0BC11C"/>
          </w:tcPr>
          <w:p>
            <w:pPr>
              <w:jc w:val="center"/>
              <w:ind w:left="264"/>
              <w:spacing w:after="0"/>
              <w:rPr>
                <w:sz w:val="20"/>
                <w:szCs w:val="20"/>
                <w:color w:val="auto"/>
              </w:rPr>
            </w:pPr>
            <w:r>
              <w:rPr>
                <w:rFonts w:ascii="Arial" w:cs="Arial" w:eastAsia="Arial" w:hAnsi="Arial"/>
                <w:sz w:val="14"/>
                <w:szCs w:val="14"/>
                <w:b w:val="1"/>
                <w:bCs w:val="1"/>
                <w:color w:val="FFFFFF"/>
              </w:rPr>
              <w:t>Performance Stock</w:t>
            </w:r>
          </w:p>
        </w:tc>
        <w:tc>
          <w:tcPr>
            <w:tcW w:w="2400" w:type="dxa"/>
            <w:vAlign w:val="bottom"/>
            <w:shd w:val="clear" w:color="auto" w:fill="0BC11C"/>
          </w:tcPr>
          <w:p>
            <w:pPr>
              <w:spacing w:after="0"/>
              <w:rPr>
                <w:sz w:val="22"/>
                <w:szCs w:val="22"/>
                <w:color w:val="auto"/>
              </w:rPr>
            </w:pPr>
          </w:p>
        </w:tc>
        <w:tc>
          <w:tcPr>
            <w:tcW w:w="1880" w:type="dxa"/>
            <w:vAlign w:val="bottom"/>
            <w:shd w:val="clear" w:color="auto" w:fill="0BC11C"/>
          </w:tcPr>
          <w:p>
            <w:pPr>
              <w:spacing w:after="0"/>
              <w:rPr>
                <w:sz w:val="22"/>
                <w:szCs w:val="22"/>
                <w:color w:val="auto"/>
              </w:rPr>
            </w:pPr>
          </w:p>
        </w:tc>
      </w:tr>
      <w:tr>
        <w:trPr>
          <w:trHeight w:val="162"/>
        </w:trPr>
        <w:tc>
          <w:tcPr>
            <w:tcW w:w="4040" w:type="dxa"/>
            <w:vAlign w:val="bottom"/>
            <w:shd w:val="clear" w:color="auto" w:fill="0BC11C"/>
          </w:tcPr>
          <w:p>
            <w:pPr>
              <w:spacing w:after="0"/>
              <w:rPr>
                <w:sz w:val="14"/>
                <w:szCs w:val="14"/>
                <w:color w:val="auto"/>
              </w:rPr>
            </w:pPr>
          </w:p>
        </w:tc>
        <w:tc>
          <w:tcPr>
            <w:tcW w:w="2700" w:type="dxa"/>
            <w:vAlign w:val="bottom"/>
            <w:shd w:val="clear" w:color="auto" w:fill="0BC11C"/>
          </w:tcPr>
          <w:p>
            <w:pPr>
              <w:jc w:val="center"/>
              <w:ind w:left="264"/>
              <w:spacing w:after="0"/>
              <w:rPr>
                <w:sz w:val="20"/>
                <w:szCs w:val="20"/>
                <w:color w:val="auto"/>
              </w:rPr>
            </w:pPr>
            <w:r>
              <w:rPr>
                <w:rFonts w:ascii="Arial" w:cs="Arial" w:eastAsia="Arial" w:hAnsi="Arial"/>
                <w:sz w:val="14"/>
                <w:szCs w:val="14"/>
                <w:b w:val="1"/>
                <w:bCs w:val="1"/>
                <w:color w:val="FFFFFF"/>
              </w:rPr>
              <w:t>Units (Target</w:t>
            </w:r>
          </w:p>
        </w:tc>
        <w:tc>
          <w:tcPr>
            <w:tcW w:w="2400" w:type="dxa"/>
            <w:vAlign w:val="bottom"/>
            <w:shd w:val="clear" w:color="auto" w:fill="0BC11C"/>
          </w:tcPr>
          <w:p>
            <w:pPr>
              <w:jc w:val="right"/>
              <w:ind w:right="363"/>
              <w:spacing w:after="0"/>
              <w:rPr>
                <w:sz w:val="20"/>
                <w:szCs w:val="20"/>
                <w:color w:val="auto"/>
              </w:rPr>
            </w:pPr>
            <w:r>
              <w:rPr>
                <w:rFonts w:ascii="Arial" w:cs="Arial" w:eastAsia="Arial" w:hAnsi="Arial"/>
                <w:sz w:val="14"/>
                <w:szCs w:val="14"/>
                <w:b w:val="1"/>
                <w:bCs w:val="1"/>
                <w:color w:val="FFFFFF"/>
              </w:rPr>
              <w:t>Restricted Stock Units</w:t>
            </w:r>
          </w:p>
        </w:tc>
        <w:tc>
          <w:tcPr>
            <w:tcW w:w="1880" w:type="dxa"/>
            <w:vAlign w:val="bottom"/>
            <w:shd w:val="clear" w:color="auto" w:fill="0BC11C"/>
          </w:tcPr>
          <w:p>
            <w:pPr>
              <w:jc w:val="right"/>
              <w:ind w:right="63"/>
              <w:spacing w:after="0"/>
              <w:rPr>
                <w:sz w:val="20"/>
                <w:szCs w:val="20"/>
                <w:color w:val="auto"/>
              </w:rPr>
            </w:pPr>
            <w:r>
              <w:rPr>
                <w:rFonts w:ascii="Arial" w:cs="Arial" w:eastAsia="Arial" w:hAnsi="Arial"/>
                <w:sz w:val="14"/>
                <w:szCs w:val="14"/>
                <w:b w:val="1"/>
                <w:bCs w:val="1"/>
                <w:color w:val="FFFFFF"/>
              </w:rPr>
              <w:t>Aggregate Target</w:t>
            </w:r>
          </w:p>
        </w:tc>
      </w:tr>
      <w:tr>
        <w:trPr>
          <w:trHeight w:val="196"/>
        </w:trPr>
        <w:tc>
          <w:tcPr>
            <w:tcW w:w="404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0BC11C"/>
          </w:tcPr>
          <w:p>
            <w:pPr>
              <w:jc w:val="center"/>
              <w:ind w:left="284"/>
              <w:spacing w:after="0"/>
              <w:rPr>
                <w:sz w:val="20"/>
                <w:szCs w:val="20"/>
                <w:color w:val="auto"/>
              </w:rPr>
            </w:pPr>
            <w:r>
              <w:rPr>
                <w:rFonts w:ascii="Arial" w:cs="Arial" w:eastAsia="Arial" w:hAnsi="Arial"/>
                <w:sz w:val="14"/>
                <w:szCs w:val="14"/>
                <w:b w:val="1"/>
                <w:bCs w:val="1"/>
                <w:color w:val="FFFFFF"/>
              </w:rPr>
              <w:t>Number of Shares)(1)</w:t>
            </w:r>
          </w:p>
        </w:tc>
        <w:tc>
          <w:tcPr>
            <w:tcW w:w="2400" w:type="dxa"/>
            <w:vAlign w:val="bottom"/>
            <w:shd w:val="clear" w:color="auto" w:fill="0BC11C"/>
          </w:tcPr>
          <w:p>
            <w:pPr>
              <w:jc w:val="right"/>
              <w:ind w:right="383"/>
              <w:spacing w:after="0"/>
              <w:rPr>
                <w:sz w:val="20"/>
                <w:szCs w:val="20"/>
                <w:color w:val="auto"/>
              </w:rPr>
            </w:pPr>
            <w:r>
              <w:rPr>
                <w:rFonts w:ascii="Arial" w:cs="Arial" w:eastAsia="Arial" w:hAnsi="Arial"/>
                <w:sz w:val="14"/>
                <w:szCs w:val="14"/>
                <w:b w:val="1"/>
                <w:bCs w:val="1"/>
                <w:color w:val="FFFFFF"/>
              </w:rPr>
              <w:t>(Number of Shares)(2)</w:t>
            </w:r>
          </w:p>
        </w:tc>
        <w:tc>
          <w:tcPr>
            <w:tcW w:w="1880" w:type="dxa"/>
            <w:vAlign w:val="bottom"/>
            <w:shd w:val="clear" w:color="auto" w:fill="0BC11C"/>
          </w:tcPr>
          <w:p>
            <w:pPr>
              <w:jc w:val="right"/>
              <w:spacing w:after="0"/>
              <w:rPr>
                <w:sz w:val="20"/>
                <w:szCs w:val="20"/>
                <w:color w:val="auto"/>
              </w:rPr>
            </w:pPr>
            <w:r>
              <w:rPr>
                <w:rFonts w:ascii="Arial" w:cs="Arial" w:eastAsia="Arial" w:hAnsi="Arial"/>
                <w:sz w:val="14"/>
                <w:szCs w:val="14"/>
                <w:b w:val="1"/>
                <w:bCs w:val="1"/>
                <w:color w:val="FFFFFF"/>
              </w:rPr>
              <w:t xml:space="preserve">   Award Value ($)(3)   </w:t>
            </w:r>
          </w:p>
        </w:tc>
      </w:tr>
      <w:tr>
        <w:trPr>
          <w:trHeight w:val="83"/>
        </w:trPr>
        <w:tc>
          <w:tcPr>
            <w:tcW w:w="4040" w:type="dxa"/>
            <w:vAlign w:val="bottom"/>
            <w:shd w:val="clear" w:color="auto" w:fill="0BC11C"/>
          </w:tcPr>
          <w:p>
            <w:pPr>
              <w:spacing w:after="0"/>
              <w:rPr>
                <w:sz w:val="7"/>
                <w:szCs w:val="7"/>
                <w:color w:val="auto"/>
              </w:rPr>
            </w:pPr>
          </w:p>
        </w:tc>
        <w:tc>
          <w:tcPr>
            <w:tcW w:w="2700" w:type="dxa"/>
            <w:vAlign w:val="bottom"/>
            <w:shd w:val="clear" w:color="auto" w:fill="0BC11C"/>
          </w:tcPr>
          <w:p>
            <w:pPr>
              <w:spacing w:after="0"/>
              <w:rPr>
                <w:sz w:val="7"/>
                <w:szCs w:val="7"/>
                <w:color w:val="auto"/>
              </w:rPr>
            </w:pPr>
          </w:p>
        </w:tc>
        <w:tc>
          <w:tcPr>
            <w:tcW w:w="2400" w:type="dxa"/>
            <w:vAlign w:val="bottom"/>
            <w:shd w:val="clear" w:color="auto" w:fill="0BC11C"/>
          </w:tcPr>
          <w:p>
            <w:pPr>
              <w:spacing w:after="0"/>
              <w:rPr>
                <w:sz w:val="7"/>
                <w:szCs w:val="7"/>
                <w:color w:val="auto"/>
              </w:rPr>
            </w:pPr>
          </w:p>
        </w:tc>
        <w:tc>
          <w:tcPr>
            <w:tcW w:w="1880" w:type="dxa"/>
            <w:vAlign w:val="bottom"/>
            <w:shd w:val="clear" w:color="auto" w:fill="0BC11C"/>
          </w:tcPr>
          <w:p>
            <w:pPr>
              <w:spacing w:after="0"/>
              <w:rPr>
                <w:sz w:val="7"/>
                <w:szCs w:val="7"/>
                <w:color w:val="auto"/>
              </w:rPr>
            </w:pPr>
          </w:p>
        </w:tc>
      </w:tr>
      <w:tr>
        <w:trPr>
          <w:trHeight w:val="255"/>
        </w:trPr>
        <w:tc>
          <w:tcPr>
            <w:tcW w:w="4040" w:type="dxa"/>
            <w:vAlign w:val="bottom"/>
          </w:tcPr>
          <w:p>
            <w:pPr>
              <w:ind w:left="60"/>
              <w:spacing w:after="0"/>
              <w:rPr>
                <w:sz w:val="20"/>
                <w:szCs w:val="20"/>
                <w:color w:val="auto"/>
              </w:rPr>
            </w:pPr>
            <w:r>
              <w:rPr>
                <w:rFonts w:ascii="Arial" w:cs="Arial" w:eastAsia="Arial" w:hAnsi="Arial"/>
                <w:sz w:val="16"/>
                <w:szCs w:val="16"/>
                <w:color w:val="auto"/>
              </w:rPr>
              <w:t>Jill McConnell</w:t>
            </w:r>
          </w:p>
        </w:tc>
        <w:tc>
          <w:tcPr>
            <w:tcW w:w="2700" w:type="dxa"/>
            <w:vAlign w:val="bottom"/>
          </w:tcPr>
          <w:p>
            <w:pPr>
              <w:jc w:val="right"/>
              <w:ind w:right="624"/>
              <w:spacing w:after="0"/>
              <w:rPr>
                <w:sz w:val="20"/>
                <w:szCs w:val="20"/>
                <w:color w:val="auto"/>
              </w:rPr>
            </w:pPr>
            <w:r>
              <w:rPr>
                <w:rFonts w:ascii="Arial" w:cs="Arial" w:eastAsia="Arial" w:hAnsi="Arial"/>
                <w:sz w:val="16"/>
                <w:szCs w:val="16"/>
                <w:color w:val="auto"/>
              </w:rPr>
              <w:t>71,341</w:t>
            </w:r>
          </w:p>
        </w:tc>
        <w:tc>
          <w:tcPr>
            <w:tcW w:w="2400" w:type="dxa"/>
            <w:vAlign w:val="bottom"/>
          </w:tcPr>
          <w:p>
            <w:pPr>
              <w:jc w:val="right"/>
              <w:ind w:right="703"/>
              <w:spacing w:after="0"/>
              <w:rPr>
                <w:sz w:val="20"/>
                <w:szCs w:val="20"/>
                <w:color w:val="auto"/>
              </w:rPr>
            </w:pPr>
            <w:r>
              <w:rPr>
                <w:rFonts w:ascii="Arial" w:cs="Arial" w:eastAsia="Arial" w:hAnsi="Arial"/>
                <w:sz w:val="16"/>
                <w:szCs w:val="16"/>
                <w:color w:val="auto"/>
              </w:rPr>
              <w:t>45,850</w:t>
            </w:r>
          </w:p>
        </w:tc>
        <w:tc>
          <w:tcPr>
            <w:tcW w:w="1880" w:type="dxa"/>
            <w:vAlign w:val="bottom"/>
          </w:tcPr>
          <w:p>
            <w:pPr>
              <w:jc w:val="right"/>
              <w:ind w:right="3"/>
              <w:spacing w:after="0"/>
              <w:rPr>
                <w:sz w:val="20"/>
                <w:szCs w:val="20"/>
                <w:color w:val="auto"/>
              </w:rPr>
            </w:pPr>
            <w:r>
              <w:rPr>
                <w:rFonts w:ascii="Arial" w:cs="Arial" w:eastAsia="Arial" w:hAnsi="Arial"/>
                <w:sz w:val="16"/>
                <w:szCs w:val="16"/>
                <w:color w:val="auto"/>
              </w:rPr>
              <w:t>$2,021,545</w:t>
            </w:r>
          </w:p>
        </w:tc>
      </w:tr>
      <w:tr>
        <w:trPr>
          <w:trHeight w:val="43"/>
        </w:trPr>
        <w:tc>
          <w:tcPr>
            <w:tcW w:w="40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77"/>
        </w:trPr>
        <w:tc>
          <w:tcPr>
            <w:tcW w:w="4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Mark Morais</w:t>
            </w:r>
          </w:p>
        </w:tc>
        <w:tc>
          <w:tcPr>
            <w:tcW w:w="2700" w:type="dxa"/>
            <w:vAlign w:val="bottom"/>
            <w:tcBorders>
              <w:bottom w:val="single" w:sz="8" w:color="EDEDED"/>
            </w:tcBorders>
            <w:shd w:val="clear" w:color="auto" w:fill="EDEDED"/>
          </w:tcPr>
          <w:p>
            <w:pPr>
              <w:jc w:val="right"/>
              <w:ind w:right="624"/>
              <w:spacing w:after="0"/>
              <w:rPr>
                <w:sz w:val="20"/>
                <w:szCs w:val="20"/>
                <w:color w:val="auto"/>
              </w:rPr>
            </w:pPr>
            <w:r>
              <w:rPr>
                <w:rFonts w:ascii="Arial" w:cs="Arial" w:eastAsia="Arial" w:hAnsi="Arial"/>
                <w:sz w:val="16"/>
                <w:szCs w:val="16"/>
                <w:color w:val="auto"/>
              </w:rPr>
              <w:t>65,191</w:t>
            </w:r>
          </w:p>
        </w:tc>
        <w:tc>
          <w:tcPr>
            <w:tcW w:w="2400" w:type="dxa"/>
            <w:vAlign w:val="bottom"/>
            <w:tcBorders>
              <w:bottom w:val="single" w:sz="8" w:color="EDEDED"/>
            </w:tcBorders>
            <w:shd w:val="clear" w:color="auto" w:fill="EDEDED"/>
          </w:tcPr>
          <w:p>
            <w:pPr>
              <w:jc w:val="right"/>
              <w:ind w:right="703"/>
              <w:spacing w:after="0"/>
              <w:rPr>
                <w:sz w:val="20"/>
                <w:szCs w:val="20"/>
                <w:color w:val="auto"/>
              </w:rPr>
            </w:pPr>
            <w:r>
              <w:rPr>
                <w:rFonts w:ascii="Arial" w:cs="Arial" w:eastAsia="Arial" w:hAnsi="Arial"/>
                <w:sz w:val="16"/>
                <w:szCs w:val="16"/>
                <w:color w:val="auto"/>
              </w:rPr>
              <w:t>41,898</w:t>
            </w:r>
          </w:p>
        </w:tc>
        <w:tc>
          <w:tcPr>
            <w:tcW w:w="1880" w:type="dxa"/>
            <w:vAlign w:val="bottom"/>
            <w:tcBorders>
              <w:bottom w:val="single" w:sz="8" w:color="EDEDED"/>
            </w:tcBorders>
            <w:shd w:val="clear" w:color="auto" w:fill="EDEDED"/>
          </w:tcPr>
          <w:p>
            <w:pPr>
              <w:jc w:val="right"/>
              <w:ind w:right="3"/>
              <w:spacing w:after="0"/>
              <w:rPr>
                <w:sz w:val="20"/>
                <w:szCs w:val="20"/>
                <w:color w:val="auto"/>
              </w:rPr>
            </w:pPr>
            <w:r>
              <w:rPr>
                <w:rFonts w:ascii="Arial" w:cs="Arial" w:eastAsia="Arial" w:hAnsi="Arial"/>
                <w:sz w:val="16"/>
                <w:szCs w:val="16"/>
                <w:color w:val="auto"/>
              </w:rPr>
              <w:t>$1,847,285</w:t>
            </w:r>
          </w:p>
        </w:tc>
      </w:tr>
      <w:tr>
        <w:trPr>
          <w:trHeight w:val="365"/>
        </w:trPr>
        <w:tc>
          <w:tcPr>
            <w:tcW w:w="4040" w:type="dxa"/>
            <w:vAlign w:val="bottom"/>
          </w:tcPr>
          <w:p>
            <w:pPr>
              <w:ind w:left="60"/>
              <w:spacing w:after="0"/>
              <w:rPr>
                <w:sz w:val="20"/>
                <w:szCs w:val="20"/>
                <w:color w:val="auto"/>
              </w:rPr>
            </w:pPr>
            <w:r>
              <w:rPr>
                <w:rFonts w:ascii="Arial" w:cs="Arial" w:eastAsia="Arial" w:hAnsi="Arial"/>
                <w:sz w:val="16"/>
                <w:szCs w:val="16"/>
                <w:color w:val="auto"/>
              </w:rPr>
              <w:t>Thomas Pike</w:t>
            </w:r>
            <w:r>
              <w:rPr>
                <w:rFonts w:ascii="Arial" w:cs="Arial" w:eastAsia="Arial" w:hAnsi="Arial"/>
                <w:sz w:val="24"/>
                <w:szCs w:val="24"/>
                <w:color w:val="auto"/>
                <w:vertAlign w:val="superscript"/>
              </w:rPr>
              <w:t>(4)</w:t>
            </w:r>
          </w:p>
        </w:tc>
        <w:tc>
          <w:tcPr>
            <w:tcW w:w="2700" w:type="dxa"/>
            <w:vAlign w:val="bottom"/>
          </w:tcPr>
          <w:p>
            <w:pPr>
              <w:jc w:val="right"/>
              <w:ind w:right="624"/>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703"/>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
              <w:spacing w:after="0"/>
              <w:rPr>
                <w:sz w:val="20"/>
                <w:szCs w:val="20"/>
                <w:color w:val="auto"/>
              </w:rPr>
            </w:pPr>
            <w:r>
              <w:rPr>
                <w:rFonts w:ascii="Arial" w:cs="Arial" w:eastAsia="Arial" w:hAnsi="Arial"/>
                <w:sz w:val="16"/>
                <w:szCs w:val="16"/>
                <w:color w:val="auto"/>
              </w:rPr>
              <w:t>—</w:t>
            </w:r>
          </w:p>
        </w:tc>
      </w:tr>
    </w:tbl>
    <w:p>
      <w:pPr>
        <w:spacing w:after="0" w:line="36"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PSUs vest in full following the end of the three-year performance period, with the number of shares earned determined based on performance against goals set for each year.</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Restricted Stock Units vest in equal increments over a three-year period.</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value of the target award is based on the 12/31/25 closing stock price.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Under the terms of the Pike Employment Agreement, Mr. Pike did not receive an annual equity grant in 2025.</w:t>
      </w:r>
    </w:p>
    <w:p>
      <w:pPr>
        <w:spacing w:after="0" w:line="13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amounts listed in the table above for fiscal year 2025 PSUs do not match the amounts in the “Stock Awards” column in the Summary Compensation Table or the Grants of Plan-Based Awards table. Because the grant date of a PSU for financial reporting purposes occurs when the performance targets are set, and targets under our PSU awards are established annually, PSUs listed in the Summary Compensation Table and Grants of Plan-Based Awards table include portions of current and prior year PSU awards. In the Summary Compensation Table, the value of the PSUs is calculated using a Monte-Carlo simulation valuation performed as of the date of grant for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35</w:t>
      </w:r>
    </w:p>
    <w:p>
      <w:pPr>
        <w:sectPr>
          <w:pgSz w:w="11900" w:h="16838" w:orient="portrait"/>
          <w:cols w:equalWidth="0" w:num="1">
            <w:col w:w="11160"/>
          </w:cols>
          <w:pgMar w:left="320" w:top="482"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72"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Additional detail regarding each of the foregoing awards can be found in the “Grants of Plan-Based Awards” table and “Outstanding Equity Awards at 2025 Fiscal Year-End” table elsewhere in this proxy statement.</w:t>
      </w:r>
    </w:p>
    <w:p>
      <w:pPr>
        <w:spacing w:after="0" w:line="7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August 2025, the Board adopted the Fortrea Holdings Inc. 2025 Inducement Award Plan (as amended and restated the “Inducement Plan”) under which 5,000,000 shares of common stock were reserved for issuance pursuant to new-hire equity awards. The Inducement Plan provides for the grant of equity-based awards, including stock options, stock appreciation rights, restricted stock and restricted stock units, performance shares and performance stock units, and other new-hire related awards. The terms of the Inducement Plan are substantially similar to the Incentive Plan. Each award under the Inducement Plan is intended to qualify under Nasdaq Listing Rule 5635(c)(4) as a material inducement to employment. As a material inducement to Mr. Thakral’s employment and in accordance with Nasdaq Listing Rule 5635(c)(4), the MDCC approved new-hire grants under the Inducement Plan to Mr. Thakral in connection with his start date on August 4, 2025. The awards consisted of (i) 1,250,000 RSUs that vest in three equal annual installments from Mr. Thakral’s start date, and (ii) 1,250,000 PSUs that will vest at the end of a three-year vesting period subject to certain performance goals. The goals for 2025 were modified for the truncated 2025 performance year to provide for certain individual objectives and the relative weighting of the three performance years during the period will be 20%, 40% and 40%, respectively. In each case, vesting of the RSUs and PSUs is subject to Mr. Thakral’s continuous employment through the applicable vesting date or earlier vesting due to a change of control and certain termination events.</w:t>
      </w:r>
    </w:p>
    <w:p>
      <w:pPr>
        <w:spacing w:after="0" w:line="119"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In connection with Mr. Neupert’s appointment as Interim Chief Executive Officer, we granted Mr. Neupert 148,536 RSUs. The RSUs will vest on the one-year anniversary of the grant date, provided that Mr. Neupert remains in continuous service with the Company through the vesting date, including continuing service as a director following the conclusion of his service as Interim Chief Executive Officer. The RSUs are governed by the terms of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36</w:t>
      </w:r>
      <w:r>
        <w:rPr>
          <w:rFonts w:ascii="Arial" w:cs="Arial" w:eastAsia="Arial" w:hAnsi="Arial"/>
          <w:sz w:val="12"/>
          <w:szCs w:val="12"/>
          <w:color w:val="000000"/>
        </w:rPr>
        <w:t xml:space="preserve">   2026 Proxy Statement  •  FORTREA</w:t>
      </w:r>
    </w:p>
    <w:p>
      <w:pPr>
        <w:sectPr>
          <w:pgSz w:w="11900" w:h="16838" w:orient="portrait"/>
          <w:cols w:equalWidth="0" w:num="1">
            <w:col w:w="11040"/>
          </w:cols>
          <w:pgMar w:left="320" w:top="482"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Fortrea 2022 and 2023 Long-Term Incentive Compensation</w:t>
      </w:r>
    </w:p>
    <w:p>
      <w:pPr>
        <w:spacing w:after="0" w:line="135"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Prior to Spin, the Compensation and Human Capital Committee of Labcorp’s Board of Directors (the “Labcorp CHCC”) established an approved methodology for converting unvested Labcorp long-term incentive awards into Fortrea long-term incentive awards. This was done to fairly preserve value by mitigating any impact in stock price volatility that may be experienced for Labcorp and Fortrea common stock before and after Spin. The methodology was applied consistently for all unvested Labcorp long-term incentive awards held by Fortrea employees. The Equity Adjustment Ratio was calculated by dividing Labcorp’s pre-Spin 10-trading day average stock price by Fortrea’s post-Spin 10-trading day average stock price. The resulting calculation is as follows:</w:t>
      </w:r>
    </w:p>
    <w:p>
      <w:pPr>
        <w:spacing w:after="0" w:line="11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Labcorp’s Pre-Spin 10-trading day average stock price = $235.171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80645</wp:posOffset>
            </wp:positionV>
            <wp:extent cx="38404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47"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Fortrea’s Post-Spin 10-trading day average stock price = $33.054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Equity Adjustment Ratio = 7.1148</w:t>
      </w:r>
    </w:p>
    <w:p>
      <w:pPr>
        <w:spacing w:after="0" w:line="12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Equity Adjustment Ratio was applied to all unvested Labcorp RSUs held by Fortrea employees. All original award terms and vesting schedules for the RSUs were maintained with no acceleration.</w:t>
      </w:r>
    </w:p>
    <w:p>
      <w:pPr>
        <w:spacing w:after="0" w:line="8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Unvested PSUs were converted depending on how much of the three-year performance period had elapsed at the time of Spin, with the value preserved either on an actual or target basis The 2023-2025 performance cycle did not pay out, as the threshold metrics were not met.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Plans, Deferred Compensation Plan and Perquisites:</w:t>
      </w:r>
    </w:p>
    <w:p>
      <w:pPr>
        <w:spacing w:after="0" w:line="79" w:lineRule="exact"/>
        <w:rPr>
          <w:sz w:val="20"/>
          <w:szCs w:val="20"/>
          <w:color w:val="auto"/>
        </w:rPr>
      </w:pPr>
    </w:p>
    <w:p>
      <w:pPr>
        <w:ind w:left="340" w:right="60" w:hanging="224"/>
        <w:spacing w:after="0" w:line="28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Retirement Plans: </w:t>
      </w:r>
      <w:r>
        <w:rPr>
          <w:rFonts w:ascii="Arial" w:cs="Arial" w:eastAsia="Arial" w:hAnsi="Arial"/>
          <w:sz w:val="16"/>
          <w:szCs w:val="16"/>
          <w:color w:val="auto"/>
        </w:rPr>
        <w:t>Our NEOs were eligible to participate in Fortrea’s 401(k) plan, which is a defined contribution retirement savings plan.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plan is available to substantially all eligible US-based employees, including executives.</w:t>
      </w:r>
    </w:p>
    <w:p>
      <w:pPr>
        <w:spacing w:after="0" w:line="20" w:lineRule="exact"/>
        <w:rPr>
          <w:rFonts w:ascii="Arial" w:cs="Arial" w:eastAsia="Arial" w:hAnsi="Arial"/>
          <w:sz w:val="16"/>
          <w:szCs w:val="16"/>
          <w:color w:val="auto"/>
        </w:rPr>
      </w:pPr>
    </w:p>
    <w:p>
      <w:pPr>
        <w:ind w:left="340" w:right="60" w:hanging="224"/>
        <w:spacing w:after="0" w:line="25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Deferred Compensation Plan: </w:t>
      </w:r>
      <w:r>
        <w:rPr>
          <w:rFonts w:ascii="Arial" w:cs="Arial" w:eastAsia="Arial" w:hAnsi="Arial"/>
          <w:sz w:val="16"/>
          <w:szCs w:val="16"/>
          <w:color w:val="auto"/>
        </w:rPr>
        <w:t>The Fortrea Inc. Nonqualified Deferred Compensation Plan (“Fortrea NQDC Plan”) allows participants to defer up to</w:t>
      </w:r>
      <w:r>
        <w:rPr>
          <w:rFonts w:ascii="Arial" w:cs="Arial" w:eastAsia="Arial" w:hAnsi="Arial"/>
          <w:sz w:val="16"/>
          <w:szCs w:val="16"/>
          <w:b w:val="1"/>
          <w:bCs w:val="1"/>
          <w:color w:val="auto"/>
        </w:rPr>
        <w:t xml:space="preserve"> </w:t>
      </w:r>
      <w:r>
        <w:rPr>
          <w:rFonts w:ascii="Arial" w:cs="Arial" w:eastAsia="Arial" w:hAnsi="Arial"/>
          <w:sz w:val="16"/>
          <w:szCs w:val="16"/>
          <w:color w:val="auto"/>
        </w:rPr>
        <w:t>50% of their base salary and up to 90% of their annual incentive or bonus. The Plan provides for similar investment options as our 401(k) plan but does not provide any match on employee contributions. The Fortrea NQDC Plan accounts are paid based on the participant’s selection at the time of the deferral, subject to the requirements of Section 409A of the Internal Revenue Code and may be paid in a lump sum, or a series of annual installments. Participants may elect to receive these distributions upon separation from service or upon the occurrence of one or more specified dates. All Fortrea NQDC Plan accounts are considered unfunded general contractual obligations and are subject to the claims of our general, unsecured creditors.</w:t>
      </w:r>
    </w:p>
    <w:p>
      <w:pPr>
        <w:spacing w:after="0" w:line="240" w:lineRule="exact"/>
        <w:rPr>
          <w:rFonts w:ascii="Arial" w:cs="Arial" w:eastAsia="Arial" w:hAnsi="Arial"/>
          <w:sz w:val="16"/>
          <w:szCs w:val="16"/>
          <w:color w:val="auto"/>
        </w:rPr>
      </w:pPr>
    </w:p>
    <w:p>
      <w:pPr>
        <w:ind w:left="340" w:right="200" w:hanging="224"/>
        <w:spacing w:after="0" w:line="25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Perquisites: </w:t>
      </w:r>
      <w:r>
        <w:rPr>
          <w:rFonts w:ascii="Arial" w:cs="Arial" w:eastAsia="Arial" w:hAnsi="Arial"/>
          <w:sz w:val="16"/>
          <w:szCs w:val="16"/>
          <w:color w:val="auto"/>
        </w:rPr>
        <w:t>Our NEOs were eligible for limited perquisites in 2025, including reimbursement for financial and tax planning services,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and a wellness exam. The maximum reimbursement allowed is $20,000 for financial and tax planning services and $1,500 for the wellness exam. Enhanced long-term disability is made available to all employees as a voluntary benefit, and in the case of the NEOs, is paid for by the Company. These perquisites were determined by Fortrea to be appropriate benefits that help ensure that Fortrea executives maintain appropriate fiscal and physical health, which contributes to stable executive leadership for Fortrea.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66"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auto"/>
        </w:rPr>
        <w:t>We do not make gross-up payments to cover our NEOs’ personal income taxes that may pertain to any of the compensation or perquisites paid or provided by our Company.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79"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We have an Insider Trading Policy governing the purchase, sale, and other disposition of our securities by directors, officers and employees. The policy is designed to promote compliance with insider trading laws, rules and regulations, and any exchange listing standards applicable to us. Further, the policy prohibits employees and related persons and entities from trading in the Company’s securities while having knowledge of material non-public information about the Company or its securities. In addition, with regard to the Company’s trading in its own securities, it is the Company’s policy to comply with the federal securities laws and the applicable exchange listing standards. A copy of our Insider Trading Policy is filed as Exhibit 19.1 to our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Policies and Practices on the Timing of Awards of Options in Relation to the Disclosure of Material Nonpublic Information</w:t>
      </w:r>
    </w:p>
    <w:p>
      <w:pPr>
        <w:spacing w:after="0" w:line="6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It is the Company’s practice not to time the disclosure of material nonpublic information for the purpose of affecting the value of executive compensation. In addition, the Company does not grant stock options or similar awards during periods in which there is material nonpublic information about the Company, including during “blackout” periods or outside a “trading window” established pursuant to our Insider Trading Policy. During 2025, none of the Company’s Named Executive Officers were awarded stock options, and we did not time the disclosure of material nonpublic information for the purpose of affecting the value of executive compensation.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Pledging or Hedging Fortrea Securities</w:t>
      </w:r>
    </w:p>
    <w:p>
      <w:pPr>
        <w:spacing w:after="0" w:line="66"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Fortrea Holdings Inc. Insider Trading Policy prohibits margin purchases of Fortrea securities. Pledging the Company’s securities as collateral to secure loans is prohibited by this policy. This prohibition means, among other things, that Fortrea employees cannot hold the Company’s securities in a “margin account” (which would allow them to borrow against their holdings to buy securities). The policy also prohibits all hedging transactions involving Fortrea’s securities, including, without limitation, zero-cost collars and forward sale contracts.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79"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MDCC adopted a clawback policy to comply with the requirements of Section 954 of the Dodd-Frank Act and the related rules and regulations promulgated by the SEC and Nasdaq Listing Standards governing clawbacks and executive compensation (the “Clawback Policy”). Under the Clawback Policy, which applies to any current or former Section 16 officers of the Company, referenced as the covered officers in the Clawback Policy, the Company is required to recover any incentive-based compensation received during the applicable period by the covered officers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unless one of the limited exceptions under the Clawback Policy applies. The Company also adopted a separate, broader misconduct compensation recoupment policy.</w:t>
      </w:r>
    </w:p>
    <w:p>
      <w:pPr>
        <w:spacing w:after="0" w:line="10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In 2025, the Company was not required to prepare an accounting restatement that would require recovery of erroneously awarded compensation pursuant to the Clawback Policy, nor was there an outstanding balance of any erroneously awarded compensation to be recovered from the Clawback Policy.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and Change-in-Control Payments</w:t>
      </w:r>
    </w:p>
    <w:p>
      <w:pPr>
        <w:spacing w:after="0" w:line="79"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Mr. Thakral, Ms. McConnell and Mr. Morais are covered by Fortrea’s Master Senior Executive Severance Plan (the “Executive Severance Plan”) that provides participants with financial protection in circumstances involving a qualifying termination. For additional information on the termination benefits under the Executive Severance Plan, see “Potential Payments Upon Termination or Change in Control.” In addition, the 2023 Omnibus Incentive Plan provides that if awards are assumed or substituted in connection with a change in control, only a qualifying termination event will result in accelerated vesting (i.e., “double trigger”). The plan does not provide any tax gross ups. Fortrea believes these provisions are consistent with current market practice.</w:t>
      </w:r>
    </w:p>
    <w:p>
      <w:pPr>
        <w:spacing w:after="0" w:line="99"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As described below under Potential Payments Upon Termination per Executive Severance Plan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Mr. Pike received certain severance payments pursuant to the terms of the Pike Employment Agreement in connection with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38</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66"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Fortrea Board believes that requiring executive management to maintain a significant personal level of stock ownership ensures that each executive officer is financially aligned with the interests of Fortrea’s stockholders. The required level of stock ownership will be adjusted if the executive’s position changes and the new position has a different ownership requirement. An executive is required to maintain this level of stock ownership throughout his or her tenure with Fortrea until near retirement, as explained below. The ownership requirements for each position are:</w:t>
      </w:r>
    </w:p>
    <w:p>
      <w:pPr>
        <w:spacing w:after="0" w:line="110" w:lineRule="exact"/>
        <w:rPr>
          <w:sz w:val="20"/>
          <w:szCs w:val="20"/>
          <w:color w:val="auto"/>
        </w:rPr>
      </w:pPr>
    </w:p>
    <w:p>
      <w:pPr>
        <w:ind w:left="120"/>
        <w:spacing w:after="0"/>
        <w:tabs>
          <w:tab w:leader="none" w:pos="320" w:val="left"/>
          <w:tab w:leader="none" w:pos="3020" w:val="left"/>
        </w:tabs>
        <w:rPr>
          <w:sz w:val="20"/>
          <w:szCs w:val="20"/>
          <w:color w:val="auto"/>
        </w:rPr>
      </w:pPr>
      <w:r>
        <w:rPr>
          <w:rFonts w:ascii="Arial" w:cs="Arial" w:eastAsia="Arial" w:hAnsi="Arial"/>
          <w:sz w:val="16"/>
          <w:szCs w:val="16"/>
          <w:color w:val="auto"/>
        </w:rPr>
        <w:t>•</w:t>
        <w:tab/>
        <w:t xml:space="preserve">Chief Executive Officer:                </w:t>
        <w:tab/>
        <w:t>6x annual base salary</w:t>
      </w:r>
    </w:p>
    <w:p>
      <w:pPr>
        <w:spacing w:after="0" w:line="8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auto"/>
        </w:rPr>
        <w:t>•</w:t>
        <w:tab/>
        <w:t>Other NEOs:                                 3x annual base salary</w:t>
      </w:r>
    </w:p>
    <w:p>
      <w:pPr>
        <w:spacing w:after="0" w:line="154"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Until the required level of ownership is met, an executive is required to hold 50 percent of any shares of Fortrea Common Stock acquired upon the lapse of restrictions on any stock grant and upon the exercise of stock options, net of taxes and shares used to pay the exercise price. If an executive fails to meet or show progress towards satisfying these requirements, the MDCC may reduce future equity grants or other incentive compensation for that executive.</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2025, each NEO was in compliance with the stock ownership guidelines.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Non-GAAP Financial Measure</w:t>
      </w:r>
    </w:p>
    <w:p>
      <w:pPr>
        <w:spacing w:after="0" w:line="81"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With respect to the references in this CD&amp;A to Adjusted EBITDA, this is a non-GAAP financial measure used to supplement our financial statements, which are based on GAAP. See Appendix A attached to this proxy statement for a reconciliation of Adjusted EBITDA against net income, which is a GAAP financial measure, along with cautionary information regarding the use of non-GAAP measures.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Compensation Risk Assessment</w:t>
      </w:r>
    </w:p>
    <w:p>
      <w:pPr>
        <w:spacing w:after="0" w:line="73" w:lineRule="exact"/>
        <w:rPr>
          <w:sz w:val="20"/>
          <w:szCs w:val="20"/>
          <w:color w:val="auto"/>
        </w:rPr>
      </w:pPr>
    </w:p>
    <w:p>
      <w:pPr>
        <w:ind w:left="120" w:right="360"/>
        <w:spacing w:after="0" w:line="256" w:lineRule="auto"/>
        <w:rPr>
          <w:sz w:val="20"/>
          <w:szCs w:val="20"/>
          <w:color w:val="auto"/>
        </w:rPr>
      </w:pPr>
      <w:r>
        <w:rPr>
          <w:rFonts w:ascii="Arial" w:cs="Arial" w:eastAsia="Arial" w:hAnsi="Arial"/>
          <w:sz w:val="16"/>
          <w:szCs w:val="16"/>
          <w:color w:val="auto"/>
        </w:rPr>
        <w:t>The MDCC, with assistance from Pay Governance, reviewed our compensation programs with regard to risk management. In 2025, Pay Governance conducted an independent risk assessment of Fortrea’s programs. The MDCC reviewed this analysis and determined that there are no practices or policies that are likely to lead to excessive risk-taking or have a material adverse effect on the Company. The MDCC concluded that there is an appropriate balance between short-term and long-term compensation that incentivizes our executives to act in a manner that does not encourage excessive risk-taking.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Compensation Committee Report</w:t>
      </w:r>
    </w:p>
    <w:p>
      <w:pPr>
        <w:spacing w:after="0" w:line="7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We, the MDCC of the Board of Directors, met with management to review and discuss the Compensation Discussion and Analysis set forth above, and based upon the review and discussions, we recommended to the Board that the Compensation Discussion and Analysis be included in the Annual Report on Form 10-K and this proxy statement. This report is provided by the following independent directors, who comprise the committee.</w:t>
      </w:r>
    </w:p>
    <w:p>
      <w:pPr>
        <w:spacing w:after="0" w:line="106" w:lineRule="exact"/>
        <w:rPr>
          <w:sz w:val="20"/>
          <w:szCs w:val="20"/>
          <w:color w:val="auto"/>
        </w:rPr>
      </w:pPr>
    </w:p>
    <w:p>
      <w:pPr>
        <w:ind w:left="6740"/>
        <w:spacing w:after="0"/>
        <w:rPr>
          <w:sz w:val="20"/>
          <w:szCs w:val="20"/>
          <w:color w:val="auto"/>
        </w:rPr>
      </w:pPr>
      <w:r>
        <w:rPr>
          <w:rFonts w:ascii="Arial" w:cs="Arial" w:eastAsia="Arial" w:hAnsi="Arial"/>
          <w:sz w:val="16"/>
          <w:szCs w:val="16"/>
          <w:b w:val="1"/>
          <w:bCs w:val="1"/>
          <w:i w:val="1"/>
          <w:iCs w:val="1"/>
          <w:color w:val="auto"/>
        </w:rPr>
        <w:t>Management Development and Compensation</w:t>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6"/>
          <w:szCs w:val="16"/>
          <w:b w:val="1"/>
          <w:bCs w:val="1"/>
          <w:i w:val="1"/>
          <w:iCs w:val="1"/>
          <w:color w:val="auto"/>
        </w:rPr>
        <w:t>Committee</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Dr. Amrit Ray (Chair)</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Edward Pesicka</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Machelle Sanders</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William Sharbaugh</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David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The following table sets forth the portion of compensation paid to the NEOs that is attributable to services performed during the fiscal years ended December 31, 2025, 2024, and 2023. The information for 2023 provided below includes compensation earned by our NEOs for services provided to Labcorp and us prior to the Spin.</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40" w:type="dxa"/>
            <w:vAlign w:val="bottom"/>
            <w:shd w:val="clear" w:color="auto" w:fill="0BC11C"/>
          </w:tcPr>
          <w:p>
            <w:pPr>
              <w:spacing w:after="0"/>
              <w:rPr>
                <w:sz w:val="14"/>
                <w:szCs w:val="14"/>
                <w:color w:val="auto"/>
              </w:rPr>
            </w:pPr>
          </w:p>
        </w:tc>
        <w:tc>
          <w:tcPr>
            <w:tcW w:w="660" w:type="dxa"/>
            <w:vAlign w:val="bottom"/>
            <w:shd w:val="clear" w:color="auto" w:fill="0BC11C"/>
          </w:tcPr>
          <w:p>
            <w:pPr>
              <w:spacing w:after="0"/>
              <w:rPr>
                <w:sz w:val="14"/>
                <w:szCs w:val="14"/>
                <w:color w:val="auto"/>
              </w:rPr>
            </w:pPr>
          </w:p>
        </w:tc>
        <w:tc>
          <w:tcPr>
            <w:tcW w:w="200" w:type="dxa"/>
            <w:vAlign w:val="bottom"/>
            <w:shd w:val="clear" w:color="auto" w:fill="0BC11C"/>
          </w:tcPr>
          <w:p>
            <w:pPr>
              <w:spacing w:after="0"/>
              <w:rPr>
                <w:sz w:val="14"/>
                <w:szCs w:val="14"/>
                <w:color w:val="auto"/>
              </w:rPr>
            </w:pPr>
          </w:p>
        </w:tc>
        <w:tc>
          <w:tcPr>
            <w:tcW w:w="820" w:type="dxa"/>
            <w:vAlign w:val="bottom"/>
            <w:shd w:val="clear" w:color="auto" w:fill="0BC11C"/>
          </w:tcPr>
          <w:p>
            <w:pPr>
              <w:spacing w:after="0"/>
              <w:rPr>
                <w:sz w:val="14"/>
                <w:szCs w:val="14"/>
                <w:color w:val="auto"/>
              </w:rPr>
            </w:pPr>
          </w:p>
        </w:tc>
        <w:tc>
          <w:tcPr>
            <w:tcW w:w="860" w:type="dxa"/>
            <w:vAlign w:val="bottom"/>
            <w:shd w:val="clear" w:color="auto" w:fill="0BC11C"/>
          </w:tcPr>
          <w:p>
            <w:pPr>
              <w:spacing w:after="0"/>
              <w:rPr>
                <w:sz w:val="14"/>
                <w:szCs w:val="14"/>
                <w:color w:val="auto"/>
              </w:rPr>
            </w:pPr>
          </w:p>
        </w:tc>
        <w:tc>
          <w:tcPr>
            <w:tcW w:w="220" w:type="dxa"/>
            <w:vAlign w:val="bottom"/>
            <w:shd w:val="clear" w:color="auto" w:fill="0BC11C"/>
          </w:tcPr>
          <w:p>
            <w:pPr>
              <w:spacing w:after="0"/>
              <w:rPr>
                <w:sz w:val="14"/>
                <w:szCs w:val="14"/>
                <w:color w:val="auto"/>
              </w:rPr>
            </w:pPr>
          </w:p>
        </w:tc>
        <w:tc>
          <w:tcPr>
            <w:tcW w:w="880" w:type="dxa"/>
            <w:vAlign w:val="bottom"/>
            <w:vMerge w:val="restart"/>
            <w:shd w:val="clear" w:color="auto" w:fill="0BC11C"/>
          </w:tcPr>
          <w:p>
            <w:pPr>
              <w:jc w:val="center"/>
              <w:ind w:right="201"/>
              <w:spacing w:after="0"/>
              <w:rPr>
                <w:sz w:val="20"/>
                <w:szCs w:val="20"/>
                <w:color w:val="auto"/>
              </w:rPr>
            </w:pPr>
            <w:r>
              <w:rPr>
                <w:rFonts w:ascii="Arial" w:cs="Arial" w:eastAsia="Arial" w:hAnsi="Arial"/>
                <w:sz w:val="14"/>
                <w:szCs w:val="14"/>
                <w:b w:val="1"/>
                <w:bCs w:val="1"/>
                <w:color w:val="FFFFFF"/>
              </w:rPr>
              <w:t>Stock</w:t>
            </w:r>
          </w:p>
        </w:tc>
        <w:tc>
          <w:tcPr>
            <w:tcW w:w="960" w:type="dxa"/>
            <w:vAlign w:val="bottom"/>
            <w:vMerge w:val="restart"/>
            <w:shd w:val="clear" w:color="auto" w:fill="0BC11C"/>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gridSpan w:val="2"/>
            <w:shd w:val="clear" w:color="auto" w:fill="0BC11C"/>
          </w:tcPr>
          <w:p>
            <w:pPr>
              <w:jc w:val="center"/>
              <w:spacing w:after="0"/>
              <w:rPr>
                <w:sz w:val="20"/>
                <w:szCs w:val="20"/>
                <w:color w:val="auto"/>
              </w:rPr>
            </w:pPr>
            <w:r>
              <w:rPr>
                <w:rFonts w:ascii="Arial" w:cs="Arial" w:eastAsia="Arial" w:hAnsi="Arial"/>
                <w:sz w:val="14"/>
                <w:szCs w:val="14"/>
                <w:b w:val="1"/>
                <w:bCs w:val="1"/>
                <w:color w:val="FFFFFF"/>
              </w:rPr>
              <w:t>Non-Equity</w:t>
            </w:r>
          </w:p>
        </w:tc>
        <w:tc>
          <w:tcPr>
            <w:tcW w:w="320" w:type="dxa"/>
            <w:vAlign w:val="bottom"/>
            <w:shd w:val="clear" w:color="auto" w:fill="0BC11C"/>
          </w:tcPr>
          <w:p>
            <w:pPr>
              <w:spacing w:after="0"/>
              <w:rPr>
                <w:sz w:val="14"/>
                <w:szCs w:val="14"/>
                <w:color w:val="auto"/>
              </w:rPr>
            </w:pPr>
          </w:p>
        </w:tc>
        <w:tc>
          <w:tcPr>
            <w:tcW w:w="820" w:type="dxa"/>
            <w:vAlign w:val="bottom"/>
            <w:shd w:val="clear" w:color="auto" w:fill="0BC11C"/>
          </w:tcPr>
          <w:p>
            <w:pPr>
              <w:spacing w:after="0"/>
              <w:rPr>
                <w:sz w:val="14"/>
                <w:szCs w:val="14"/>
                <w:color w:val="auto"/>
              </w:rPr>
            </w:pPr>
          </w:p>
        </w:tc>
        <w:tc>
          <w:tcPr>
            <w:tcW w:w="180" w:type="dxa"/>
            <w:vAlign w:val="bottom"/>
            <w:shd w:val="clear" w:color="auto" w:fill="0BC11C"/>
          </w:tcPr>
          <w:p>
            <w:pPr>
              <w:spacing w:after="0"/>
              <w:rPr>
                <w:sz w:val="14"/>
                <w:szCs w:val="14"/>
                <w:color w:val="auto"/>
              </w:rPr>
            </w:pPr>
          </w:p>
        </w:tc>
        <w:tc>
          <w:tcPr>
            <w:tcW w:w="920" w:type="dxa"/>
            <w:vAlign w:val="bottom"/>
            <w:shd w:val="clear" w:color="auto" w:fill="0BC11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0BC11C"/>
          </w:tcPr>
          <w:p>
            <w:pPr>
              <w:spacing w:after="0"/>
              <w:rPr>
                <w:sz w:val="12"/>
                <w:szCs w:val="12"/>
                <w:color w:val="auto"/>
              </w:rPr>
            </w:pPr>
          </w:p>
        </w:tc>
        <w:tc>
          <w:tcPr>
            <w:tcW w:w="660" w:type="dxa"/>
            <w:vAlign w:val="bottom"/>
            <w:shd w:val="clear" w:color="auto" w:fill="0BC11C"/>
          </w:tcPr>
          <w:p>
            <w:pPr>
              <w:spacing w:after="0"/>
              <w:rPr>
                <w:sz w:val="12"/>
                <w:szCs w:val="12"/>
                <w:color w:val="auto"/>
              </w:rPr>
            </w:pPr>
          </w:p>
        </w:tc>
        <w:tc>
          <w:tcPr>
            <w:tcW w:w="200" w:type="dxa"/>
            <w:vAlign w:val="bottom"/>
            <w:shd w:val="clear" w:color="auto" w:fill="0BC11C"/>
          </w:tcPr>
          <w:p>
            <w:pPr>
              <w:spacing w:after="0"/>
              <w:rPr>
                <w:sz w:val="12"/>
                <w:szCs w:val="12"/>
                <w:color w:val="auto"/>
              </w:rPr>
            </w:pPr>
          </w:p>
        </w:tc>
        <w:tc>
          <w:tcPr>
            <w:tcW w:w="820" w:type="dxa"/>
            <w:vAlign w:val="bottom"/>
            <w:shd w:val="clear" w:color="auto" w:fill="0BC11C"/>
          </w:tcPr>
          <w:p>
            <w:pPr>
              <w:spacing w:after="0"/>
              <w:rPr>
                <w:sz w:val="12"/>
                <w:szCs w:val="12"/>
                <w:color w:val="auto"/>
              </w:rPr>
            </w:pPr>
          </w:p>
        </w:tc>
        <w:tc>
          <w:tcPr>
            <w:tcW w:w="860" w:type="dxa"/>
            <w:vAlign w:val="bottom"/>
            <w:shd w:val="clear" w:color="auto" w:fill="0BC11C"/>
          </w:tcPr>
          <w:p>
            <w:pPr>
              <w:spacing w:after="0"/>
              <w:rPr>
                <w:sz w:val="12"/>
                <w:szCs w:val="12"/>
                <w:color w:val="auto"/>
              </w:rPr>
            </w:pPr>
          </w:p>
        </w:tc>
        <w:tc>
          <w:tcPr>
            <w:tcW w:w="220" w:type="dxa"/>
            <w:vAlign w:val="bottom"/>
            <w:shd w:val="clear" w:color="auto" w:fill="0BC11C"/>
          </w:tcPr>
          <w:p>
            <w:pPr>
              <w:spacing w:after="0"/>
              <w:rPr>
                <w:sz w:val="12"/>
                <w:szCs w:val="12"/>
                <w:color w:val="auto"/>
              </w:rPr>
            </w:pPr>
          </w:p>
        </w:tc>
        <w:tc>
          <w:tcPr>
            <w:tcW w:w="880" w:type="dxa"/>
            <w:vAlign w:val="bottom"/>
            <w:vMerge w:val="continue"/>
            <w:shd w:val="clear" w:color="auto" w:fill="0BC11C"/>
          </w:tcPr>
          <w:p>
            <w:pPr>
              <w:spacing w:after="0"/>
              <w:rPr>
                <w:sz w:val="12"/>
                <w:szCs w:val="12"/>
                <w:color w:val="auto"/>
              </w:rPr>
            </w:pPr>
          </w:p>
        </w:tc>
        <w:tc>
          <w:tcPr>
            <w:tcW w:w="960" w:type="dxa"/>
            <w:vAlign w:val="bottom"/>
            <w:vMerge w:val="continue"/>
            <w:shd w:val="clear" w:color="auto" w:fill="0BC11C"/>
          </w:tcPr>
          <w:p>
            <w:pPr>
              <w:spacing w:after="0"/>
              <w:rPr>
                <w:sz w:val="12"/>
                <w:szCs w:val="12"/>
                <w:color w:val="auto"/>
              </w:rPr>
            </w:pPr>
          </w:p>
        </w:tc>
        <w:tc>
          <w:tcPr>
            <w:tcW w:w="1140" w:type="dxa"/>
            <w:vAlign w:val="bottom"/>
            <w:gridSpan w:val="2"/>
            <w:shd w:val="clear" w:color="auto" w:fill="0BC11C"/>
          </w:tcPr>
          <w:p>
            <w:pPr>
              <w:jc w:val="center"/>
              <w:spacing w:after="0" w:line="149" w:lineRule="exact"/>
              <w:rPr>
                <w:sz w:val="20"/>
                <w:szCs w:val="20"/>
                <w:color w:val="auto"/>
              </w:rPr>
            </w:pPr>
            <w:r>
              <w:rPr>
                <w:rFonts w:ascii="Arial" w:cs="Arial" w:eastAsia="Arial" w:hAnsi="Arial"/>
                <w:sz w:val="14"/>
                <w:szCs w:val="14"/>
                <w:b w:val="1"/>
                <w:bCs w:val="1"/>
                <w:color w:val="FFFFFF"/>
              </w:rPr>
              <w:t>Incentive Plan</w:t>
            </w:r>
          </w:p>
        </w:tc>
        <w:tc>
          <w:tcPr>
            <w:tcW w:w="1140" w:type="dxa"/>
            <w:vAlign w:val="bottom"/>
            <w:gridSpan w:val="2"/>
            <w:shd w:val="clear" w:color="auto" w:fill="0BC11C"/>
          </w:tcPr>
          <w:p>
            <w:pPr>
              <w:jc w:val="center"/>
              <w:spacing w:after="0" w:line="149" w:lineRule="exact"/>
              <w:rPr>
                <w:sz w:val="20"/>
                <w:szCs w:val="20"/>
                <w:color w:val="auto"/>
              </w:rPr>
            </w:pPr>
            <w:r>
              <w:rPr>
                <w:rFonts w:ascii="Arial" w:cs="Arial" w:eastAsia="Arial" w:hAnsi="Arial"/>
                <w:sz w:val="14"/>
                <w:szCs w:val="14"/>
                <w:b w:val="1"/>
                <w:bCs w:val="1"/>
                <w:color w:val="FFFFFF"/>
              </w:rPr>
              <w:t>All other</w:t>
            </w:r>
          </w:p>
        </w:tc>
        <w:tc>
          <w:tcPr>
            <w:tcW w:w="180" w:type="dxa"/>
            <w:vAlign w:val="bottom"/>
            <w:shd w:val="clear" w:color="auto" w:fill="0BC11C"/>
          </w:tcPr>
          <w:p>
            <w:pPr>
              <w:spacing w:after="0"/>
              <w:rPr>
                <w:sz w:val="12"/>
                <w:szCs w:val="12"/>
                <w:color w:val="auto"/>
              </w:rPr>
            </w:pPr>
          </w:p>
        </w:tc>
        <w:tc>
          <w:tcPr>
            <w:tcW w:w="920" w:type="dxa"/>
            <w:vAlign w:val="bottom"/>
            <w:shd w:val="clear" w:color="auto" w:fill="0BC11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 and Principal</w:t>
            </w:r>
          </w:p>
        </w:tc>
        <w:tc>
          <w:tcPr>
            <w:tcW w:w="660" w:type="dxa"/>
            <w:vAlign w:val="bottom"/>
            <w:shd w:val="clear" w:color="auto" w:fill="0BC11C"/>
          </w:tcPr>
          <w:p>
            <w:pPr>
              <w:spacing w:after="0"/>
              <w:rPr>
                <w:sz w:val="14"/>
                <w:szCs w:val="14"/>
                <w:color w:val="auto"/>
              </w:rPr>
            </w:pPr>
          </w:p>
        </w:tc>
        <w:tc>
          <w:tcPr>
            <w:tcW w:w="1020" w:type="dxa"/>
            <w:vAlign w:val="bottom"/>
            <w:gridSpan w:val="2"/>
            <w:shd w:val="clear" w:color="auto" w:fill="0BC11C"/>
          </w:tcPr>
          <w:p>
            <w:pPr>
              <w:ind w:left="80"/>
              <w:spacing w:after="0"/>
              <w:rPr>
                <w:sz w:val="20"/>
                <w:szCs w:val="20"/>
                <w:color w:val="auto"/>
              </w:rPr>
            </w:pPr>
            <w:r>
              <w:rPr>
                <w:rFonts w:ascii="Arial" w:cs="Arial" w:eastAsia="Arial" w:hAnsi="Arial"/>
                <w:sz w:val="14"/>
                <w:szCs w:val="14"/>
                <w:b w:val="1"/>
                <w:bCs w:val="1"/>
                <w:color w:val="FFFFFF"/>
              </w:rPr>
              <w:t>Base Salary</w:t>
            </w:r>
          </w:p>
        </w:tc>
        <w:tc>
          <w:tcPr>
            <w:tcW w:w="860" w:type="dxa"/>
            <w:vAlign w:val="bottom"/>
            <w:shd w:val="clear" w:color="auto" w:fill="0BC11C"/>
          </w:tcPr>
          <w:p>
            <w:pPr>
              <w:jc w:val="right"/>
              <w:ind w:right="161"/>
              <w:spacing w:after="0"/>
              <w:rPr>
                <w:sz w:val="20"/>
                <w:szCs w:val="20"/>
                <w:color w:val="auto"/>
              </w:rPr>
            </w:pPr>
            <w:r>
              <w:rPr>
                <w:rFonts w:ascii="Arial" w:cs="Arial" w:eastAsia="Arial" w:hAnsi="Arial"/>
                <w:sz w:val="14"/>
                <w:szCs w:val="14"/>
                <w:b w:val="1"/>
                <w:bCs w:val="1"/>
                <w:color w:val="FFFFFF"/>
              </w:rPr>
              <w:t>Bonus</w:t>
            </w:r>
          </w:p>
        </w:tc>
        <w:tc>
          <w:tcPr>
            <w:tcW w:w="220" w:type="dxa"/>
            <w:vAlign w:val="bottom"/>
            <w:shd w:val="clear" w:color="auto" w:fill="0BC11C"/>
          </w:tcPr>
          <w:p>
            <w:pPr>
              <w:spacing w:after="0"/>
              <w:rPr>
                <w:sz w:val="14"/>
                <w:szCs w:val="14"/>
                <w:color w:val="auto"/>
              </w:rPr>
            </w:pPr>
          </w:p>
        </w:tc>
        <w:tc>
          <w:tcPr>
            <w:tcW w:w="880" w:type="dxa"/>
            <w:vAlign w:val="bottom"/>
            <w:shd w:val="clear" w:color="auto" w:fill="0BC11C"/>
          </w:tcPr>
          <w:p>
            <w:pPr>
              <w:jc w:val="center"/>
              <w:ind w:right="201"/>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40" w:type="dxa"/>
            <w:vAlign w:val="bottom"/>
            <w:gridSpan w:val="2"/>
            <w:shd w:val="clear" w:color="auto" w:fill="0BC11C"/>
          </w:tcPr>
          <w:p>
            <w:pPr>
              <w:jc w:val="center"/>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gridSpan w:val="2"/>
            <w:shd w:val="clear" w:color="auto" w:fill="0BC11C"/>
          </w:tcPr>
          <w:p>
            <w:pPr>
              <w:jc w:val="center"/>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BC11C"/>
          </w:tcPr>
          <w:p>
            <w:pPr>
              <w:spacing w:after="0"/>
              <w:rPr>
                <w:sz w:val="14"/>
                <w:szCs w:val="14"/>
                <w:color w:val="auto"/>
              </w:rPr>
            </w:pPr>
          </w:p>
        </w:tc>
        <w:tc>
          <w:tcPr>
            <w:tcW w:w="920" w:type="dxa"/>
            <w:vAlign w:val="bottom"/>
            <w:shd w:val="clear" w:color="auto" w:fill="0BC11C"/>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4"/>
                <w:szCs w:val="14"/>
                <w:b w:val="1"/>
                <w:bCs w:val="1"/>
                <w:color w:val="FFFFFF"/>
              </w:rPr>
              <w:t>Position</w:t>
            </w:r>
          </w:p>
        </w:tc>
        <w:tc>
          <w:tcPr>
            <w:tcW w:w="660" w:type="dxa"/>
            <w:vAlign w:val="bottom"/>
            <w:tcBorders>
              <w:bottom w:val="single" w:sz="8" w:color="0BC11C"/>
            </w:tcBorders>
            <w:shd w:val="clear" w:color="auto" w:fill="0BC11C"/>
          </w:tcPr>
          <w:p>
            <w:pPr>
              <w:ind w:left="200"/>
              <w:spacing w:after="0"/>
              <w:rPr>
                <w:sz w:val="20"/>
                <w:szCs w:val="20"/>
                <w:color w:val="auto"/>
              </w:rPr>
            </w:pPr>
            <w:r>
              <w:rPr>
                <w:rFonts w:ascii="Arial" w:cs="Arial" w:eastAsia="Arial" w:hAnsi="Arial"/>
                <w:sz w:val="14"/>
                <w:szCs w:val="14"/>
                <w:b w:val="1"/>
                <w:bCs w:val="1"/>
                <w:color w:val="FFFFFF"/>
              </w:rPr>
              <w:t>Year</w:t>
            </w:r>
          </w:p>
        </w:tc>
        <w:tc>
          <w:tcPr>
            <w:tcW w:w="200" w:type="dxa"/>
            <w:vAlign w:val="bottom"/>
            <w:tcBorders>
              <w:bottom w:val="single" w:sz="8" w:color="0BC11C"/>
            </w:tcBorders>
            <w:shd w:val="clear" w:color="auto" w:fill="0BC11C"/>
          </w:tcPr>
          <w:p>
            <w:pPr>
              <w:spacing w:after="0"/>
              <w:rPr>
                <w:sz w:val="19"/>
                <w:szCs w:val="19"/>
                <w:color w:val="auto"/>
              </w:rPr>
            </w:pPr>
          </w:p>
        </w:tc>
        <w:tc>
          <w:tcPr>
            <w:tcW w:w="820" w:type="dxa"/>
            <w:vAlign w:val="bottom"/>
            <w:tcBorders>
              <w:bottom w:val="single" w:sz="8" w:color="0BC11C"/>
            </w:tcBorders>
            <w:shd w:val="clear" w:color="auto" w:fill="0BC11C"/>
          </w:tcPr>
          <w:p>
            <w:pPr>
              <w:jc w:val="right"/>
              <w:ind w:right="36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BC11C"/>
            </w:tcBorders>
            <w:shd w:val="clear" w:color="auto" w:fill="0BC11C"/>
          </w:tcPr>
          <w:p>
            <w:pPr>
              <w:jc w:val="right"/>
              <w:ind w:right="281"/>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0BC11C"/>
            </w:tcBorders>
            <w:shd w:val="clear" w:color="auto" w:fill="0BC11C"/>
          </w:tcPr>
          <w:p>
            <w:pPr>
              <w:spacing w:after="0"/>
              <w:rPr>
                <w:sz w:val="19"/>
                <w:szCs w:val="19"/>
                <w:color w:val="auto"/>
              </w:rPr>
            </w:pPr>
          </w:p>
        </w:tc>
        <w:tc>
          <w:tcPr>
            <w:tcW w:w="880" w:type="dxa"/>
            <w:vAlign w:val="bottom"/>
            <w:tcBorders>
              <w:bottom w:val="single" w:sz="8" w:color="0BC11C"/>
            </w:tcBorders>
            <w:shd w:val="clear" w:color="auto" w:fill="0BC11C"/>
          </w:tcPr>
          <w:p>
            <w:pPr>
              <w:jc w:val="center"/>
              <w:ind w:right="201"/>
              <w:spacing w:after="0"/>
              <w:rPr>
                <w:sz w:val="20"/>
                <w:szCs w:val="20"/>
                <w:color w:val="auto"/>
              </w:rPr>
            </w:pPr>
            <w:r>
              <w:rPr>
                <w:rFonts w:ascii="Arial" w:cs="Arial" w:eastAsia="Arial" w:hAnsi="Arial"/>
                <w:sz w:val="14"/>
                <w:szCs w:val="14"/>
                <w:b w:val="1"/>
                <w:bCs w:val="1"/>
                <w:color w:val="FFFFFF"/>
              </w:rPr>
              <w:t>($)(4)</w:t>
            </w:r>
          </w:p>
        </w:tc>
        <w:tc>
          <w:tcPr>
            <w:tcW w:w="96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0BC11C"/>
            </w:tcBorders>
            <w:shd w:val="clear" w:color="auto" w:fill="0BC11C"/>
          </w:tcPr>
          <w:p>
            <w:pPr>
              <w:spacing w:after="0"/>
              <w:rPr>
                <w:sz w:val="19"/>
                <w:szCs w:val="19"/>
                <w:color w:val="auto"/>
              </w:rPr>
            </w:pPr>
          </w:p>
        </w:tc>
        <w:tc>
          <w:tcPr>
            <w:tcW w:w="780" w:type="dxa"/>
            <w:vAlign w:val="bottom"/>
            <w:tcBorders>
              <w:bottom w:val="single" w:sz="8" w:color="0BC11C"/>
            </w:tcBorders>
            <w:shd w:val="clear" w:color="auto" w:fill="0BC11C"/>
          </w:tcPr>
          <w:p>
            <w:pPr>
              <w:jc w:val="center"/>
              <w:ind w:right="280"/>
              <w:spacing w:after="0"/>
              <w:rPr>
                <w:sz w:val="20"/>
                <w:szCs w:val="20"/>
                <w:color w:val="auto"/>
              </w:rPr>
            </w:pPr>
            <w:r>
              <w:rPr>
                <w:rFonts w:ascii="Arial" w:cs="Arial" w:eastAsia="Arial" w:hAnsi="Arial"/>
                <w:sz w:val="14"/>
                <w:szCs w:val="14"/>
                <w:b w:val="1"/>
                <w:bCs w:val="1"/>
                <w:color w:val="FFFFFF"/>
                <w:w w:val="99"/>
              </w:rPr>
              <w:t>($)(5)</w:t>
            </w:r>
          </w:p>
        </w:tc>
        <w:tc>
          <w:tcPr>
            <w:tcW w:w="320" w:type="dxa"/>
            <w:vAlign w:val="bottom"/>
            <w:tcBorders>
              <w:bottom w:val="single" w:sz="8" w:color="0BC11C"/>
            </w:tcBorders>
            <w:shd w:val="clear" w:color="auto" w:fill="0BC11C"/>
          </w:tcPr>
          <w:p>
            <w:pPr>
              <w:spacing w:after="0"/>
              <w:rPr>
                <w:sz w:val="19"/>
                <w:szCs w:val="19"/>
                <w:color w:val="auto"/>
              </w:rPr>
            </w:pPr>
          </w:p>
        </w:tc>
        <w:tc>
          <w:tcPr>
            <w:tcW w:w="820" w:type="dxa"/>
            <w:vAlign w:val="bottom"/>
            <w:tcBorders>
              <w:bottom w:val="single" w:sz="8" w:color="0BC11C"/>
            </w:tcBorders>
            <w:shd w:val="clear" w:color="auto" w:fill="0BC11C"/>
          </w:tcPr>
          <w:p>
            <w:pPr>
              <w:jc w:val="center"/>
              <w:ind w:right="280"/>
              <w:spacing w:after="0"/>
              <w:rPr>
                <w:sz w:val="20"/>
                <w:szCs w:val="20"/>
                <w:color w:val="auto"/>
              </w:rPr>
            </w:pPr>
            <w:r>
              <w:rPr>
                <w:rFonts w:ascii="Arial" w:cs="Arial" w:eastAsia="Arial" w:hAnsi="Arial"/>
                <w:sz w:val="14"/>
                <w:szCs w:val="14"/>
                <w:b w:val="1"/>
                <w:bCs w:val="1"/>
                <w:color w:val="FFFFFF"/>
                <w:w w:val="99"/>
              </w:rPr>
              <w:t>($)(6)</w:t>
            </w:r>
          </w:p>
        </w:tc>
        <w:tc>
          <w:tcPr>
            <w:tcW w:w="180" w:type="dxa"/>
            <w:vAlign w:val="bottom"/>
            <w:tcBorders>
              <w:bottom w:val="single" w:sz="8" w:color="0BC11C"/>
            </w:tcBorders>
            <w:shd w:val="clear" w:color="auto" w:fill="0BC11C"/>
          </w:tcPr>
          <w:p>
            <w:pPr>
              <w:spacing w:after="0"/>
              <w:rPr>
                <w:sz w:val="19"/>
                <w:szCs w:val="19"/>
                <w:color w:val="auto"/>
              </w:rPr>
            </w:pPr>
          </w:p>
        </w:tc>
        <w:tc>
          <w:tcPr>
            <w:tcW w:w="920" w:type="dxa"/>
            <w:vAlign w:val="bottom"/>
            <w:tcBorders>
              <w:bottom w:val="single" w:sz="8" w:color="0BC11C"/>
            </w:tcBorders>
            <w:shd w:val="clear" w:color="auto" w:fill="0BC11C"/>
          </w:tcPr>
          <w:p>
            <w:pPr>
              <w:jc w:val="right"/>
              <w:ind w:right="18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04"/>
        </w:trPr>
        <w:tc>
          <w:tcPr>
            <w:tcW w:w="3040" w:type="dxa"/>
            <w:vAlign w:val="bottom"/>
          </w:tcPr>
          <w:p>
            <w:pPr>
              <w:ind w:left="60"/>
              <w:spacing w:after="0" w:line="204" w:lineRule="exact"/>
              <w:rPr>
                <w:sz w:val="20"/>
                <w:szCs w:val="20"/>
                <w:color w:val="auto"/>
              </w:rPr>
            </w:pPr>
            <w:r>
              <w:rPr>
                <w:rFonts w:ascii="Arial" w:cs="Arial" w:eastAsia="Arial" w:hAnsi="Arial"/>
                <w:sz w:val="16"/>
                <w:szCs w:val="16"/>
                <w:color w:val="auto"/>
              </w:rPr>
              <w:t>Anshul Thakral</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60"/>
              <w:spacing w:after="0"/>
              <w:rPr>
                <w:sz w:val="20"/>
                <w:szCs w:val="20"/>
                <w:color w:val="auto"/>
              </w:rPr>
            </w:pPr>
            <w:r>
              <w:rPr>
                <w:rFonts w:ascii="Arial" w:cs="Arial" w:eastAsia="Arial" w:hAnsi="Arial"/>
                <w:sz w:val="16"/>
                <w:szCs w:val="16"/>
                <w:i w:val="1"/>
                <w:iCs w:val="1"/>
                <w:color w:val="auto"/>
              </w:rPr>
              <w:t>Chief Executive Officer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6"/>
                <w:szCs w:val="16"/>
                <w:color w:val="auto"/>
              </w:rPr>
              <w:t>2025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401,923</w:t>
            </w:r>
          </w:p>
        </w:tc>
        <w:tc>
          <w:tcPr>
            <w:tcW w:w="86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6"/>
                <w:szCs w:val="16"/>
                <w:color w:val="auto"/>
              </w:rPr>
              <w:t>$10,479,169</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687,500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15,891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11,584,483</w:t>
            </w:r>
          </w:p>
        </w:tc>
        <w:tc>
          <w:tcPr>
            <w:tcW w:w="0" w:type="dxa"/>
            <w:vAlign w:val="bottom"/>
          </w:tcPr>
          <w:p>
            <w:pPr>
              <w:spacing w:after="0"/>
              <w:rPr>
                <w:sz w:val="1"/>
                <w:szCs w:val="1"/>
                <w:color w:val="auto"/>
              </w:rPr>
            </w:pPr>
          </w:p>
        </w:tc>
      </w:tr>
      <w:tr>
        <w:trPr>
          <w:trHeight w:val="212"/>
        </w:trPr>
        <w:tc>
          <w:tcPr>
            <w:tcW w:w="3040" w:type="dxa"/>
            <w:vAlign w:val="bottom"/>
            <w:shd w:val="clear" w:color="auto" w:fill="EDEDED"/>
          </w:tcPr>
          <w:p>
            <w:pPr>
              <w:ind w:left="60"/>
              <w:spacing w:after="0"/>
              <w:rPr>
                <w:sz w:val="20"/>
                <w:szCs w:val="20"/>
                <w:color w:val="auto"/>
              </w:rPr>
            </w:pPr>
            <w:r>
              <w:rPr>
                <w:rFonts w:ascii="Arial" w:cs="Arial" w:eastAsia="Arial" w:hAnsi="Arial"/>
                <w:sz w:val="16"/>
                <w:szCs w:val="16"/>
                <w:color w:val="auto"/>
              </w:rPr>
              <w:t>Jill McConnell</w:t>
            </w:r>
          </w:p>
        </w:tc>
        <w:tc>
          <w:tcPr>
            <w:tcW w:w="66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880" w:type="dxa"/>
            <w:vAlign w:val="bottom"/>
            <w:shd w:val="clear" w:color="auto" w:fill="EDEDED"/>
          </w:tcPr>
          <w:p>
            <w:pPr>
              <w:spacing w:after="0"/>
              <w:rPr>
                <w:sz w:val="18"/>
                <w:szCs w:val="18"/>
                <w:color w:val="auto"/>
              </w:rPr>
            </w:pPr>
          </w:p>
        </w:tc>
        <w:tc>
          <w:tcPr>
            <w:tcW w:w="96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180" w:type="dxa"/>
            <w:vAlign w:val="bottom"/>
            <w:shd w:val="clear" w:color="auto" w:fill="EDEDED"/>
          </w:tcPr>
          <w:p>
            <w:pPr>
              <w:spacing w:after="0"/>
              <w:rPr>
                <w:sz w:val="18"/>
                <w:szCs w:val="18"/>
                <w:color w:val="auto"/>
              </w:rPr>
            </w:pPr>
          </w:p>
        </w:tc>
        <w:tc>
          <w:tcPr>
            <w:tcW w:w="9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EDEDED"/>
          </w:tcPr>
          <w:p>
            <w:pPr>
              <w:ind w:left="60"/>
              <w:spacing w:after="0"/>
              <w:rPr>
                <w:sz w:val="20"/>
                <w:szCs w:val="20"/>
                <w:color w:val="auto"/>
              </w:rPr>
            </w:pPr>
            <w:r>
              <w:rPr>
                <w:rFonts w:ascii="Arial" w:cs="Arial" w:eastAsia="Arial" w:hAnsi="Arial"/>
                <w:sz w:val="16"/>
                <w:szCs w:val="16"/>
                <w:i w:val="1"/>
                <w:iCs w:val="1"/>
                <w:color w:val="auto"/>
              </w:rPr>
              <w:t>Chief Financial Officer</w:t>
            </w:r>
          </w:p>
        </w:tc>
        <w:tc>
          <w:tcPr>
            <w:tcW w:w="66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880" w:type="dxa"/>
            <w:vAlign w:val="bottom"/>
            <w:shd w:val="clear" w:color="auto" w:fill="EDEDED"/>
          </w:tcPr>
          <w:p>
            <w:pPr>
              <w:spacing w:after="0"/>
              <w:rPr>
                <w:sz w:val="18"/>
                <w:szCs w:val="18"/>
                <w:color w:val="auto"/>
              </w:rPr>
            </w:pPr>
          </w:p>
        </w:tc>
        <w:tc>
          <w:tcPr>
            <w:tcW w:w="96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180" w:type="dxa"/>
            <w:vAlign w:val="bottom"/>
            <w:shd w:val="clear" w:color="auto" w:fill="EDEDED"/>
          </w:tcPr>
          <w:p>
            <w:pPr>
              <w:spacing w:after="0"/>
              <w:rPr>
                <w:sz w:val="18"/>
                <w:szCs w:val="18"/>
                <w:color w:val="auto"/>
              </w:rPr>
            </w:pPr>
          </w:p>
        </w:tc>
        <w:tc>
          <w:tcPr>
            <w:tcW w:w="9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EDEDED"/>
          </w:tcPr>
          <w:p>
            <w:pPr>
              <w:spacing w:after="0"/>
              <w:rPr>
                <w:sz w:val="19"/>
                <w:szCs w:val="19"/>
                <w:color w:val="auto"/>
              </w:rPr>
            </w:pPr>
          </w:p>
        </w:tc>
        <w:tc>
          <w:tcPr>
            <w:tcW w:w="660" w:type="dxa"/>
            <w:vAlign w:val="bottom"/>
            <w:shd w:val="clear" w:color="auto" w:fill="EDEDED"/>
          </w:tcPr>
          <w:p>
            <w:pPr>
              <w:ind w:left="2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EDEDED"/>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506,577</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862,994</w:t>
            </w:r>
          </w:p>
        </w:tc>
        <w:tc>
          <w:tcPr>
            <w:tcW w:w="960" w:type="dxa"/>
            <w:vAlign w:val="bottom"/>
            <w:shd w:val="clear" w:color="auto" w:fill="EDEDED"/>
          </w:tcPr>
          <w:p>
            <w:pPr>
              <w:spacing w:after="0"/>
              <w:rPr>
                <w:sz w:val="19"/>
                <w:szCs w:val="19"/>
                <w:color w:val="auto"/>
              </w:rPr>
            </w:pPr>
          </w:p>
        </w:tc>
        <w:tc>
          <w:tcPr>
            <w:tcW w:w="3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295,202</w:t>
            </w:r>
          </w:p>
        </w:tc>
        <w:tc>
          <w:tcPr>
            <w:tcW w:w="3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16,100</w:t>
            </w:r>
          </w:p>
        </w:tc>
        <w:tc>
          <w:tcPr>
            <w:tcW w:w="1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1,680,873</w:t>
            </w:r>
          </w:p>
        </w:tc>
        <w:tc>
          <w:tcPr>
            <w:tcW w:w="0" w:type="dxa"/>
            <w:vAlign w:val="bottom"/>
          </w:tcPr>
          <w:p>
            <w:pPr>
              <w:spacing w:after="0"/>
              <w:rPr>
                <w:sz w:val="1"/>
                <w:szCs w:val="1"/>
                <w:color w:val="auto"/>
              </w:rPr>
            </w:pPr>
          </w:p>
        </w:tc>
      </w:tr>
      <w:tr>
        <w:trPr>
          <w:trHeight w:val="216"/>
        </w:trPr>
        <w:tc>
          <w:tcPr>
            <w:tcW w:w="3040" w:type="dxa"/>
            <w:vAlign w:val="bottom"/>
            <w:shd w:val="clear" w:color="auto" w:fill="EDEDED"/>
          </w:tcPr>
          <w:p>
            <w:pPr>
              <w:spacing w:after="0"/>
              <w:rPr>
                <w:sz w:val="18"/>
                <w:szCs w:val="18"/>
                <w:color w:val="auto"/>
              </w:rPr>
            </w:pPr>
          </w:p>
        </w:tc>
        <w:tc>
          <w:tcPr>
            <w:tcW w:w="660" w:type="dxa"/>
            <w:vAlign w:val="bottom"/>
            <w:shd w:val="clear" w:color="auto" w:fill="EDEDED"/>
          </w:tcPr>
          <w:p>
            <w:pPr>
              <w:ind w:left="2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EDEDED"/>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503,846</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819,671</w:t>
            </w:r>
          </w:p>
        </w:tc>
        <w:tc>
          <w:tcPr>
            <w:tcW w:w="9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D"/>
          </w:tcPr>
          <w:p>
            <w:pPr>
              <w:spacing w:after="0"/>
              <w:rPr>
                <w:sz w:val="18"/>
                <w:szCs w:val="18"/>
                <w:color w:val="auto"/>
              </w:rPr>
            </w:pPr>
          </w:p>
        </w:tc>
        <w:tc>
          <w:tcPr>
            <w:tcW w:w="7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17,513</w:t>
            </w:r>
          </w:p>
        </w:tc>
        <w:tc>
          <w:tcPr>
            <w:tcW w:w="1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1,341,030</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EDEDED"/>
            </w:tcBorders>
            <w:shd w:val="clear" w:color="auto" w:fill="EDEDED"/>
          </w:tcPr>
          <w:p>
            <w:pPr>
              <w:spacing w:after="0"/>
              <w:rPr>
                <w:sz w:val="20"/>
                <w:szCs w:val="20"/>
                <w:color w:val="auto"/>
              </w:rPr>
            </w:pPr>
          </w:p>
        </w:tc>
        <w:tc>
          <w:tcPr>
            <w:tcW w:w="66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rPr>
              <w:t>455,607</w:t>
            </w:r>
          </w:p>
        </w:tc>
        <w:tc>
          <w:tcPr>
            <w:tcW w:w="86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auto"/>
              </w:rPr>
              <w:t>$200,000</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DEDED"/>
            </w:tcBorders>
            <w:shd w:val="clear" w:color="auto" w:fill="EDEDED"/>
          </w:tcPr>
          <w:p>
            <w:pPr>
              <w:jc w:val="right"/>
              <w:ind w:right="21"/>
              <w:spacing w:after="0"/>
              <w:rPr>
                <w:sz w:val="20"/>
                <w:szCs w:val="20"/>
                <w:color w:val="auto"/>
              </w:rPr>
            </w:pPr>
            <w:r>
              <w:rPr>
                <w:rFonts w:ascii="Arial" w:cs="Arial" w:eastAsia="Arial" w:hAnsi="Arial"/>
                <w:sz w:val="16"/>
                <w:szCs w:val="16"/>
                <w:color w:val="auto"/>
              </w:rPr>
              <w:t>2,343,409</w:t>
            </w:r>
          </w:p>
        </w:tc>
        <w:tc>
          <w:tcPr>
            <w:tcW w:w="9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62,266</w:t>
            </w:r>
          </w:p>
        </w:tc>
        <w:tc>
          <w:tcPr>
            <w:tcW w:w="3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rPr>
              <w:t>17,513</w:t>
            </w:r>
          </w:p>
        </w:tc>
        <w:tc>
          <w:tcPr>
            <w:tcW w:w="1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rPr>
              <w:t>3,078,795</w:t>
            </w:r>
          </w:p>
        </w:tc>
        <w:tc>
          <w:tcPr>
            <w:tcW w:w="0" w:type="dxa"/>
            <w:vAlign w:val="bottom"/>
          </w:tcPr>
          <w:p>
            <w:pPr>
              <w:spacing w:after="0"/>
              <w:rPr>
                <w:sz w:val="1"/>
                <w:szCs w:val="1"/>
                <w:color w:val="auto"/>
              </w:rPr>
            </w:pPr>
          </w:p>
        </w:tc>
      </w:tr>
      <w:tr>
        <w:trPr>
          <w:trHeight w:val="204"/>
        </w:trPr>
        <w:tc>
          <w:tcPr>
            <w:tcW w:w="3040" w:type="dxa"/>
            <w:vAlign w:val="bottom"/>
          </w:tcPr>
          <w:p>
            <w:pPr>
              <w:ind w:left="60"/>
              <w:spacing w:after="0"/>
              <w:rPr>
                <w:sz w:val="20"/>
                <w:szCs w:val="20"/>
                <w:color w:val="auto"/>
              </w:rPr>
            </w:pPr>
            <w:r>
              <w:rPr>
                <w:rFonts w:ascii="Arial" w:cs="Arial" w:eastAsia="Arial" w:hAnsi="Arial"/>
                <w:sz w:val="16"/>
                <w:szCs w:val="16"/>
                <w:color w:val="auto"/>
              </w:rPr>
              <w:t>Mark Morais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60"/>
              <w:spacing w:after="0"/>
              <w:rPr>
                <w:sz w:val="20"/>
                <w:szCs w:val="20"/>
                <w:color w:val="auto"/>
              </w:rPr>
            </w:pPr>
            <w:r>
              <w:rPr>
                <w:rFonts w:ascii="Arial" w:cs="Arial" w:eastAsia="Arial" w:hAnsi="Arial"/>
                <w:sz w:val="16"/>
                <w:szCs w:val="16"/>
                <w:i w:val="1"/>
                <w:iCs w:val="1"/>
                <w:color w:val="auto"/>
              </w:rPr>
              <w:t>Chief Operating Officer; President,</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60"/>
              <w:spacing w:after="0"/>
              <w:rPr>
                <w:sz w:val="20"/>
                <w:szCs w:val="20"/>
                <w:color w:val="auto"/>
              </w:rPr>
            </w:pPr>
            <w:r>
              <w:rPr>
                <w:rFonts w:ascii="Arial" w:cs="Arial" w:eastAsia="Arial" w:hAnsi="Arial"/>
                <w:sz w:val="16"/>
                <w:szCs w:val="16"/>
                <w:i w:val="1"/>
                <w:iCs w:val="1"/>
                <w:color w:val="auto"/>
              </w:rPr>
              <w:t>Clinical Services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6"/>
                <w:szCs w:val="16"/>
                <w:color w:val="auto"/>
              </w:rPr>
              <w:t>2025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506,577</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804,121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295,202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10,888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1,616,788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6"/>
                <w:szCs w:val="16"/>
                <w:color w:val="auto"/>
              </w:rPr>
              <w:t>2024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503,846</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819,671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13,244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1,336,761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6"/>
                <w:szCs w:val="16"/>
                <w:color w:val="auto"/>
              </w:rPr>
              <w:t>2023</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456,900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2,497,701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62,658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12,914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3,230,173</w:t>
            </w:r>
          </w:p>
        </w:tc>
        <w:tc>
          <w:tcPr>
            <w:tcW w:w="0" w:type="dxa"/>
            <w:vAlign w:val="bottom"/>
          </w:tcPr>
          <w:p>
            <w:pPr>
              <w:spacing w:after="0"/>
              <w:rPr>
                <w:sz w:val="1"/>
                <w:szCs w:val="1"/>
                <w:color w:val="auto"/>
              </w:rPr>
            </w:pPr>
          </w:p>
        </w:tc>
      </w:tr>
      <w:tr>
        <w:trPr>
          <w:trHeight w:val="43"/>
        </w:trPr>
        <w:tc>
          <w:tcPr>
            <w:tcW w:w="3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040" w:type="dxa"/>
            <w:vAlign w:val="bottom"/>
            <w:shd w:val="clear" w:color="auto" w:fill="EDEDED"/>
          </w:tcPr>
          <w:p>
            <w:pPr>
              <w:ind w:left="60"/>
              <w:spacing w:after="0" w:line="204" w:lineRule="exact"/>
              <w:rPr>
                <w:sz w:val="20"/>
                <w:szCs w:val="20"/>
                <w:color w:val="auto"/>
              </w:rPr>
            </w:pPr>
            <w:r>
              <w:rPr>
                <w:rFonts w:ascii="Arial" w:cs="Arial" w:eastAsia="Arial" w:hAnsi="Arial"/>
                <w:sz w:val="16"/>
                <w:szCs w:val="16"/>
                <w:color w:val="auto"/>
              </w:rPr>
              <w:t>Thomas Pike</w:t>
            </w:r>
            <w:r>
              <w:rPr>
                <w:rFonts w:ascii="Arial" w:cs="Arial" w:eastAsia="Arial" w:hAnsi="Arial"/>
                <w:sz w:val="23"/>
                <w:szCs w:val="23"/>
                <w:color w:val="auto"/>
                <w:vertAlign w:val="superscript"/>
              </w:rPr>
              <w:t>(2)</w:t>
            </w:r>
          </w:p>
        </w:tc>
        <w:tc>
          <w:tcPr>
            <w:tcW w:w="66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820" w:type="dxa"/>
            <w:vAlign w:val="bottom"/>
            <w:shd w:val="clear" w:color="auto" w:fill="EDEDED"/>
          </w:tcPr>
          <w:p>
            <w:pPr>
              <w:spacing w:after="0"/>
              <w:rPr>
                <w:sz w:val="17"/>
                <w:szCs w:val="17"/>
                <w:color w:val="auto"/>
              </w:rPr>
            </w:pPr>
          </w:p>
        </w:tc>
        <w:tc>
          <w:tcPr>
            <w:tcW w:w="860" w:type="dxa"/>
            <w:vAlign w:val="bottom"/>
            <w:shd w:val="clear" w:color="auto" w:fill="EDEDED"/>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88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c>
          <w:tcPr>
            <w:tcW w:w="36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320" w:type="dxa"/>
            <w:vAlign w:val="bottom"/>
            <w:shd w:val="clear" w:color="auto" w:fill="EDEDED"/>
          </w:tcPr>
          <w:p>
            <w:pPr>
              <w:spacing w:after="0"/>
              <w:rPr>
                <w:sz w:val="17"/>
                <w:szCs w:val="17"/>
                <w:color w:val="auto"/>
              </w:rPr>
            </w:pPr>
          </w:p>
        </w:tc>
        <w:tc>
          <w:tcPr>
            <w:tcW w:w="820" w:type="dxa"/>
            <w:vAlign w:val="bottom"/>
            <w:shd w:val="clear" w:color="auto" w:fill="EDEDED"/>
          </w:tcPr>
          <w:p>
            <w:pPr>
              <w:spacing w:after="0"/>
              <w:rPr>
                <w:sz w:val="17"/>
                <w:szCs w:val="17"/>
                <w:color w:val="auto"/>
              </w:rPr>
            </w:pPr>
          </w:p>
        </w:tc>
        <w:tc>
          <w:tcPr>
            <w:tcW w:w="180" w:type="dxa"/>
            <w:vAlign w:val="bottom"/>
            <w:shd w:val="clear" w:color="auto" w:fill="EDEDED"/>
          </w:tcPr>
          <w:p>
            <w:pPr>
              <w:spacing w:after="0"/>
              <w:rPr>
                <w:sz w:val="17"/>
                <w:szCs w:val="17"/>
                <w:color w:val="auto"/>
              </w:rPr>
            </w:pPr>
          </w:p>
        </w:tc>
        <w:tc>
          <w:tcPr>
            <w:tcW w:w="9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EDEDED"/>
          </w:tcPr>
          <w:p>
            <w:pPr>
              <w:ind w:left="60"/>
              <w:spacing w:after="0"/>
              <w:rPr>
                <w:sz w:val="20"/>
                <w:szCs w:val="20"/>
                <w:color w:val="auto"/>
              </w:rPr>
            </w:pPr>
            <w:r>
              <w:rPr>
                <w:rFonts w:ascii="Arial" w:cs="Arial" w:eastAsia="Arial" w:hAnsi="Arial"/>
                <w:sz w:val="16"/>
                <w:szCs w:val="16"/>
                <w:i w:val="1"/>
                <w:iCs w:val="1"/>
                <w:color w:val="auto"/>
              </w:rPr>
              <w:t>Former Chief Executive Officer</w:t>
            </w:r>
          </w:p>
        </w:tc>
        <w:tc>
          <w:tcPr>
            <w:tcW w:w="66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880" w:type="dxa"/>
            <w:vAlign w:val="bottom"/>
            <w:shd w:val="clear" w:color="auto" w:fill="EDEDED"/>
          </w:tcPr>
          <w:p>
            <w:pPr>
              <w:spacing w:after="0"/>
              <w:rPr>
                <w:sz w:val="18"/>
                <w:szCs w:val="18"/>
                <w:color w:val="auto"/>
              </w:rPr>
            </w:pPr>
          </w:p>
        </w:tc>
        <w:tc>
          <w:tcPr>
            <w:tcW w:w="96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820" w:type="dxa"/>
            <w:vAlign w:val="bottom"/>
            <w:shd w:val="clear" w:color="auto" w:fill="EDEDED"/>
          </w:tcPr>
          <w:p>
            <w:pPr>
              <w:spacing w:after="0"/>
              <w:rPr>
                <w:sz w:val="18"/>
                <w:szCs w:val="18"/>
                <w:color w:val="auto"/>
              </w:rPr>
            </w:pPr>
          </w:p>
        </w:tc>
        <w:tc>
          <w:tcPr>
            <w:tcW w:w="180" w:type="dxa"/>
            <w:vAlign w:val="bottom"/>
            <w:shd w:val="clear" w:color="auto" w:fill="EDEDED"/>
          </w:tcPr>
          <w:p>
            <w:pPr>
              <w:spacing w:after="0"/>
              <w:rPr>
                <w:sz w:val="18"/>
                <w:szCs w:val="18"/>
                <w:color w:val="auto"/>
              </w:rPr>
            </w:pPr>
          </w:p>
        </w:tc>
        <w:tc>
          <w:tcPr>
            <w:tcW w:w="92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EDEDED"/>
          </w:tcPr>
          <w:p>
            <w:pPr>
              <w:spacing w:after="0"/>
              <w:rPr>
                <w:sz w:val="19"/>
                <w:szCs w:val="19"/>
                <w:color w:val="auto"/>
              </w:rPr>
            </w:pPr>
          </w:p>
        </w:tc>
        <w:tc>
          <w:tcPr>
            <w:tcW w:w="660" w:type="dxa"/>
            <w:vAlign w:val="bottom"/>
            <w:shd w:val="clear" w:color="auto" w:fill="EDEDED"/>
          </w:tcPr>
          <w:p>
            <w:pPr>
              <w:ind w:left="2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EDEDED"/>
          </w:tcPr>
          <w:p>
            <w:pPr>
              <w:spacing w:after="0"/>
              <w:rPr>
                <w:sz w:val="19"/>
                <w:szCs w:val="19"/>
                <w:color w:val="auto"/>
              </w:rPr>
            </w:pP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465,385</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D"/>
          </w:tcPr>
          <w:p>
            <w:pPr>
              <w:spacing w:after="0"/>
              <w:rPr>
                <w:sz w:val="19"/>
                <w:szCs w:val="19"/>
                <w:color w:val="auto"/>
              </w:rPr>
            </w:pPr>
          </w:p>
        </w:tc>
        <w:tc>
          <w:tcPr>
            <w:tcW w:w="7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w w:val="98"/>
              </w:rPr>
              <w:t>7,326,338</w:t>
            </w:r>
          </w:p>
        </w:tc>
        <w:tc>
          <w:tcPr>
            <w:tcW w:w="1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7,791,722</w:t>
            </w:r>
          </w:p>
        </w:tc>
        <w:tc>
          <w:tcPr>
            <w:tcW w:w="0" w:type="dxa"/>
            <w:vAlign w:val="bottom"/>
          </w:tcPr>
          <w:p>
            <w:pPr>
              <w:spacing w:after="0"/>
              <w:rPr>
                <w:sz w:val="1"/>
                <w:szCs w:val="1"/>
                <w:color w:val="auto"/>
              </w:rPr>
            </w:pPr>
          </w:p>
        </w:tc>
      </w:tr>
      <w:tr>
        <w:trPr>
          <w:trHeight w:val="216"/>
        </w:trPr>
        <w:tc>
          <w:tcPr>
            <w:tcW w:w="3040" w:type="dxa"/>
            <w:vAlign w:val="bottom"/>
            <w:shd w:val="clear" w:color="auto" w:fill="EDEDED"/>
          </w:tcPr>
          <w:p>
            <w:pPr>
              <w:spacing w:after="0"/>
              <w:rPr>
                <w:sz w:val="18"/>
                <w:szCs w:val="18"/>
                <w:color w:val="auto"/>
              </w:rPr>
            </w:pPr>
          </w:p>
        </w:tc>
        <w:tc>
          <w:tcPr>
            <w:tcW w:w="660" w:type="dxa"/>
            <w:vAlign w:val="bottom"/>
            <w:shd w:val="clear" w:color="auto" w:fill="EDEDED"/>
          </w:tcPr>
          <w:p>
            <w:pPr>
              <w:ind w:left="2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EDEDED"/>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w w:val="98"/>
              </w:rPr>
              <w:t>1,108,461</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D"/>
          </w:tcPr>
          <w:p>
            <w:pPr>
              <w:spacing w:after="0"/>
              <w:rPr>
                <w:sz w:val="18"/>
                <w:szCs w:val="18"/>
                <w:color w:val="auto"/>
              </w:rPr>
            </w:pPr>
          </w:p>
        </w:tc>
        <w:tc>
          <w:tcPr>
            <w:tcW w:w="7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11,445</w:t>
            </w:r>
          </w:p>
        </w:tc>
        <w:tc>
          <w:tcPr>
            <w:tcW w:w="1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1,119,906</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EDEDED"/>
            </w:tcBorders>
            <w:shd w:val="clear" w:color="auto" w:fill="EDEDED"/>
          </w:tcPr>
          <w:p>
            <w:pPr>
              <w:spacing w:after="0"/>
              <w:rPr>
                <w:sz w:val="20"/>
                <w:szCs w:val="20"/>
                <w:color w:val="auto"/>
              </w:rPr>
            </w:pPr>
          </w:p>
        </w:tc>
        <w:tc>
          <w:tcPr>
            <w:tcW w:w="66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w w:val="98"/>
              </w:rPr>
              <w:t>1,078,846</w:t>
            </w:r>
          </w:p>
        </w:tc>
        <w:tc>
          <w:tcPr>
            <w:tcW w:w="86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DEDED"/>
            </w:tcBorders>
            <w:gridSpan w:val="2"/>
            <w:shd w:val="clear" w:color="auto" w:fill="EDEDED"/>
          </w:tcPr>
          <w:p>
            <w:pPr>
              <w:jc w:val="right"/>
              <w:ind w:right="21"/>
              <w:spacing w:after="0"/>
              <w:rPr>
                <w:sz w:val="20"/>
                <w:szCs w:val="20"/>
                <w:color w:val="auto"/>
              </w:rPr>
            </w:pPr>
            <w:r>
              <w:rPr>
                <w:rFonts w:ascii="Arial" w:cs="Arial" w:eastAsia="Arial" w:hAnsi="Arial"/>
                <w:sz w:val="16"/>
                <w:szCs w:val="16"/>
                <w:color w:val="auto"/>
              </w:rPr>
              <w:t>$14,128,948</w:t>
            </w:r>
          </w:p>
        </w:tc>
        <w:tc>
          <w:tcPr>
            <w:tcW w:w="9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$9,999,692</w:t>
            </w:r>
          </w:p>
        </w:tc>
        <w:tc>
          <w:tcPr>
            <w:tcW w:w="1140" w:type="dxa"/>
            <w:vAlign w:val="bottom"/>
            <w:tcBorders>
              <w:bottom w:val="single" w:sz="8" w:color="EDEDED"/>
            </w:tcBorders>
            <w:gridSpan w:val="2"/>
            <w:shd w:val="clear" w:color="auto" w:fill="EDEDED"/>
          </w:tcPr>
          <w:p>
            <w:pPr>
              <w:jc w:val="right"/>
              <w:spacing w:after="0"/>
              <w:rPr>
                <w:sz w:val="20"/>
                <w:szCs w:val="20"/>
                <w:color w:val="auto"/>
              </w:rPr>
            </w:pPr>
            <w:r>
              <w:rPr>
                <w:rFonts w:ascii="Arial" w:cs="Arial" w:eastAsia="Arial" w:hAnsi="Arial"/>
                <w:sz w:val="16"/>
                <w:szCs w:val="16"/>
                <w:color w:val="auto"/>
              </w:rPr>
              <w:t>$1,100,000</w:t>
            </w:r>
          </w:p>
        </w:tc>
        <w:tc>
          <w:tcPr>
            <w:tcW w:w="3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rPr>
              <w:t>12,909</w:t>
            </w:r>
          </w:p>
        </w:tc>
        <w:tc>
          <w:tcPr>
            <w:tcW w:w="1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DEDED"/>
            </w:tcBorders>
            <w:shd w:val="clear" w:color="auto" w:fill="EDEDED"/>
          </w:tcPr>
          <w:p>
            <w:pPr>
              <w:jc w:val="right"/>
              <w:ind w:right="20"/>
              <w:spacing w:after="0"/>
              <w:rPr>
                <w:sz w:val="20"/>
                <w:szCs w:val="20"/>
                <w:color w:val="auto"/>
              </w:rPr>
            </w:pPr>
            <w:r>
              <w:rPr>
                <w:rFonts w:ascii="Arial" w:cs="Arial" w:eastAsia="Arial" w:hAnsi="Arial"/>
                <w:sz w:val="16"/>
                <w:szCs w:val="16"/>
                <w:color w:val="auto"/>
                <w:w w:val="99"/>
              </w:rPr>
              <w:t>26,320,395</w:t>
            </w:r>
          </w:p>
        </w:tc>
        <w:tc>
          <w:tcPr>
            <w:tcW w:w="0" w:type="dxa"/>
            <w:vAlign w:val="bottom"/>
          </w:tcPr>
          <w:p>
            <w:pPr>
              <w:spacing w:after="0"/>
              <w:rPr>
                <w:sz w:val="1"/>
                <w:szCs w:val="1"/>
                <w:color w:val="auto"/>
              </w:rPr>
            </w:pPr>
          </w:p>
        </w:tc>
      </w:tr>
      <w:tr>
        <w:trPr>
          <w:trHeight w:val="204"/>
        </w:trPr>
        <w:tc>
          <w:tcPr>
            <w:tcW w:w="3040" w:type="dxa"/>
            <w:vAlign w:val="bottom"/>
          </w:tcPr>
          <w:p>
            <w:pPr>
              <w:ind w:left="60"/>
              <w:spacing w:after="0" w:line="204" w:lineRule="exact"/>
              <w:rPr>
                <w:sz w:val="20"/>
                <w:szCs w:val="20"/>
                <w:color w:val="auto"/>
              </w:rPr>
            </w:pPr>
            <w:r>
              <w:rPr>
                <w:rFonts w:ascii="Arial" w:cs="Arial" w:eastAsia="Arial" w:hAnsi="Arial"/>
                <w:sz w:val="16"/>
                <w:szCs w:val="16"/>
                <w:color w:val="auto"/>
              </w:rPr>
              <w:t>Peter Neupert</w:t>
            </w:r>
            <w:r>
              <w:rPr>
                <w:rFonts w:ascii="Arial" w:cs="Arial" w:eastAsia="Arial" w:hAnsi="Arial"/>
                <w:sz w:val="23"/>
                <w:szCs w:val="23"/>
                <w:color w:val="auto"/>
                <w:vertAlign w:val="superscript"/>
              </w:rPr>
              <w:t>(3)</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60"/>
              <w:spacing w:after="0"/>
              <w:rPr>
                <w:sz w:val="20"/>
                <w:szCs w:val="20"/>
                <w:color w:val="auto"/>
              </w:rPr>
            </w:pPr>
            <w:r>
              <w:rPr>
                <w:rFonts w:ascii="Arial" w:cs="Arial" w:eastAsia="Arial" w:hAnsi="Arial"/>
                <w:sz w:val="16"/>
                <w:szCs w:val="16"/>
                <w:i w:val="1"/>
                <w:iCs w:val="1"/>
                <w:color w:val="auto"/>
              </w:rPr>
              <w:t>Interim Chief Executive Officer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660" w:type="dxa"/>
            <w:vAlign w:val="bottom"/>
          </w:tcPr>
          <w:p>
            <w:pPr>
              <w:ind w:left="220"/>
              <w:spacing w:after="0"/>
              <w:rPr>
                <w:sz w:val="20"/>
                <w:szCs w:val="20"/>
                <w:color w:val="auto"/>
              </w:rPr>
            </w:pPr>
            <w:r>
              <w:rPr>
                <w:rFonts w:ascii="Arial" w:cs="Arial" w:eastAsia="Arial" w:hAnsi="Arial"/>
                <w:sz w:val="16"/>
                <w:szCs w:val="16"/>
                <w:color w:val="auto"/>
              </w:rPr>
              <w:t>2025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389,423</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710,000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45,838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1,145,261</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40" w:hanging="324"/>
        <w:spacing w:after="0"/>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Thakral was appointed CEO on August 4, 2025.</w:t>
      </w:r>
    </w:p>
    <w:p>
      <w:pPr>
        <w:spacing w:after="0" w:line="66" w:lineRule="exact"/>
        <w:rPr>
          <w:rFonts w:ascii="Arial" w:cs="Arial" w:eastAsia="Arial" w:hAnsi="Arial"/>
          <w:sz w:val="13"/>
          <w:szCs w:val="13"/>
          <w:color w:val="auto"/>
        </w:rPr>
      </w:pPr>
    </w:p>
    <w:p>
      <w:pPr>
        <w:ind w:left="440" w:right="160" w:hanging="324"/>
        <w:spacing w:after="0" w:line="233"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Pike did not receive an equity grant in 2024 or 2025. Additionally, Mr. Pike’s employment ended effective May 13, 2025, at which time he entered into a consulting agreement under which his RSUs granted under the Incentive Plan continued to vest. The consulting agreement ended September 30, 2025. Mr. Pike’s salary column shows the amount paid through his separation date.</w:t>
      </w:r>
    </w:p>
    <w:p>
      <w:pPr>
        <w:spacing w:after="0" w:line="50" w:lineRule="exact"/>
        <w:rPr>
          <w:rFonts w:ascii="Arial" w:cs="Arial" w:eastAsia="Arial" w:hAnsi="Arial"/>
          <w:sz w:val="13"/>
          <w:szCs w:val="13"/>
          <w:color w:val="auto"/>
        </w:rPr>
      </w:pPr>
    </w:p>
    <w:p>
      <w:pPr>
        <w:ind w:left="440" w:right="200" w:hanging="324"/>
        <w:spacing w:after="0" w:line="243"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Neupert assumed the role of Interim CEO on May 13, 2025. His role ended when Mr. Thakral joined the company as CEO on August 4, 2025. Mr. Neupert’s compensation reflects that of his employee compensation as well as his compensation as a member of the board of directors and his service as Lead Independent Director prior to his role as Interim CEO.</w:t>
      </w:r>
    </w:p>
    <w:p>
      <w:pPr>
        <w:spacing w:after="0" w:line="48" w:lineRule="exact"/>
        <w:rPr>
          <w:rFonts w:ascii="Arial" w:cs="Arial" w:eastAsia="Arial" w:hAnsi="Arial"/>
          <w:sz w:val="13"/>
          <w:szCs w:val="13"/>
          <w:color w:val="auto"/>
        </w:rPr>
      </w:pPr>
    </w:p>
    <w:p>
      <w:pPr>
        <w:ind w:left="440" w:right="120" w:hanging="324"/>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Amounts represent the aggregate grant date fair value of RSU and PSU awards in the year of grant in accordance with the same standard applied for financial accounting purposes. Financial Accounting Standards Board (“FASB”) Accounting Standards Codification (“ASC”) Topic 718. Under FASB ASC Topic 718, the grant date for a PSA occurs when objectively determinable performance goals are approved. Therefore, the reported value for 2025 is calculated for the portion of the PSUs for which performance goals were set in 2025, and is shown based on the probable performance (target) value of the awards. If valued assuming a maximum payout on the PSU program, the value of the 2025 awards would be: Mr. Thakral, $4,908,337;</w:t>
      </w:r>
    </w:p>
    <w:p>
      <w:pPr>
        <w:ind w:left="440"/>
        <w:spacing w:after="0"/>
        <w:rPr>
          <w:rFonts w:ascii="Arial" w:cs="Arial" w:eastAsia="Arial" w:hAnsi="Arial"/>
          <w:sz w:val="12"/>
          <w:szCs w:val="12"/>
          <w:color w:val="auto"/>
        </w:rPr>
      </w:pPr>
      <w:r>
        <w:rPr>
          <w:rFonts w:ascii="Arial" w:cs="Arial" w:eastAsia="Arial" w:hAnsi="Arial"/>
          <w:sz w:val="13"/>
          <w:szCs w:val="13"/>
          <w:color w:val="auto"/>
        </w:rPr>
        <w:t>Ms. McConnell, $386,663 and Mr. Morais, $353,330. See Grants of Plan-Based Awards Table for additional details.</w:t>
      </w:r>
    </w:p>
    <w:p>
      <w:pPr>
        <w:spacing w:after="0" w:line="54" w:lineRule="exact"/>
        <w:rPr>
          <w:rFonts w:ascii="Arial" w:cs="Arial" w:eastAsia="Arial" w:hAnsi="Arial"/>
          <w:sz w:val="12"/>
          <w:szCs w:val="12"/>
          <w:color w:val="auto"/>
        </w:rPr>
      </w:pPr>
    </w:p>
    <w:p>
      <w:pPr>
        <w:ind w:left="440" w:right="140" w:hanging="324"/>
        <w:spacing w:after="0" w:line="246" w:lineRule="auto"/>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2025 amounts disclosed in this column, the values reflect the amounts earned by each NEO pursuant to the Bonus Plan. For 2024 amounts disclosed in this column, the 2024 bonus was structured to be paid so that the first 50% of achievement would be paid in the form of RSUs and the next 50% of achievement would be paid in cash. The RSUs received based on achievement of the bonus were granted on March 20, 2025 for Mr. Pike and March 6, 2025 for Ms. McConnell and Mr. Morais. Such amounts are reflected in the “Stock Awards” column. The RSUs vest in equal tranches on the six- and eighteen-month anniversaries of the grant date, subject to the NEO’s continued employment on those dates. No cash was paid with respect to 2024. For 2023 amounts disclosed in this column, the values reflect the amounts earned by each NEO prusuant to the Labcorp LBP and the Fortrea Bonus Plan.</w:t>
      </w:r>
    </w:p>
    <w:p>
      <w:pPr>
        <w:spacing w:after="0" w:line="48" w:lineRule="exact"/>
        <w:rPr>
          <w:rFonts w:ascii="Arial" w:cs="Arial" w:eastAsia="Arial" w:hAnsi="Arial"/>
          <w:sz w:val="12"/>
          <w:szCs w:val="12"/>
          <w:color w:val="auto"/>
        </w:rPr>
      </w:pPr>
    </w:p>
    <w:p>
      <w:pPr>
        <w:ind w:left="440" w:right="80" w:hanging="324"/>
        <w:spacing w:after="0" w:line="244" w:lineRule="auto"/>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Amounts shown in this column include Company-paid supplemental long-term disability insurance provided to the Executive as well as Fortrea’s company-provided match to the 401(k) on the same basis as provided to U.S.-Based employees, inclusive of those contributions made by Labcorp under the plan prior to the Spin. The supplemental long-term disability insurance benefit is considered taxable to the Executive and no gross-ups are provided to offset the taxable amount and contributions to qualified defined contribution plans. See “Executive Compensation-Retirement Plans, Deferred Compensation Plan and Perquisites” for a discussion of other perquisites available to our NEOs in 2025. For 2025, the 401(k) provided a Company match of 100% of the first 4% of the employee’s contribution. In connection with his separation, Mr. Pike received $3,894,000 in cash severance, paid in equal installments in 2025 and 2026; $3,023,271 in RSU accelerations and accrued dividends. Mr. Pike did not receive any continuation of benefits. Additional details are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40</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Other Compensation</w:t>
      </w:r>
    </w:p>
    <w:p>
      <w:pPr>
        <w:spacing w:after="0" w:line="143" w:lineRule="exact"/>
        <w:rPr>
          <w:sz w:val="20"/>
          <w:szCs w:val="20"/>
          <w:color w:val="auto"/>
        </w:rPr>
      </w:pPr>
    </w:p>
    <w:tbl>
      <w:tblPr>
        <w:tblLayout w:type="fixed"/>
        <w:tblInd w:w="790" w:type="dxa"/>
        <w:tblCellMar>
          <w:top w:w="0" w:type="dxa"/>
          <w:left w:w="0" w:type="dxa"/>
          <w:bottom w:w="0" w:type="dxa"/>
          <w:right w:w="0" w:type="dxa"/>
        </w:tblCellMar>
      </w:tblPr>
      <w:tr>
        <w:trPr>
          <w:trHeight w:val="131"/>
        </w:trPr>
        <w:tc>
          <w:tcPr>
            <w:tcW w:w="3040" w:type="dxa"/>
            <w:vAlign w:val="bottom"/>
            <w:tcBorders>
              <w:top w:val="single" w:sz="8" w:color="auto"/>
              <w:left w:val="single" w:sz="8" w:color="auto"/>
              <w:right w:val="single" w:sz="8" w:color="auto"/>
            </w:tcBorders>
            <w:vMerge w:val="restart"/>
            <w:shd w:val="clear" w:color="auto" w:fill="0BC11C"/>
          </w:tcPr>
          <w:p>
            <w:pPr>
              <w:ind w:left="160"/>
              <w:spacing w:after="0"/>
              <w:rPr>
                <w:sz w:val="20"/>
                <w:szCs w:val="20"/>
                <w:color w:val="auto"/>
              </w:rPr>
            </w:pPr>
            <w:r>
              <w:rPr>
                <w:rFonts w:ascii="Arial" w:cs="Arial" w:eastAsia="Arial" w:hAnsi="Arial"/>
                <w:sz w:val="13"/>
                <w:szCs w:val="13"/>
                <w:b w:val="1"/>
                <w:bCs w:val="1"/>
                <w:color w:val="FFFFFF"/>
              </w:rPr>
              <w:t>  Executive</w:t>
            </w:r>
          </w:p>
        </w:tc>
        <w:tc>
          <w:tcPr>
            <w:tcW w:w="1900" w:type="dxa"/>
            <w:vAlign w:val="bottom"/>
            <w:tcBorders>
              <w:top w:val="single" w:sz="8" w:color="auto"/>
              <w:right w:val="single" w:sz="8" w:color="auto"/>
            </w:tcBorders>
            <w:shd w:val="clear" w:color="auto" w:fill="0BC11C"/>
          </w:tcPr>
          <w:p>
            <w:pPr>
              <w:jc w:val="right"/>
              <w:ind w:right="197"/>
              <w:spacing w:after="0" w:line="131" w:lineRule="exact"/>
              <w:rPr>
                <w:sz w:val="20"/>
                <w:szCs w:val="20"/>
                <w:color w:val="auto"/>
              </w:rPr>
            </w:pPr>
            <w:r>
              <w:rPr>
                <w:rFonts w:ascii="Arial" w:cs="Arial" w:eastAsia="Arial" w:hAnsi="Arial"/>
                <w:sz w:val="13"/>
                <w:szCs w:val="13"/>
                <w:b w:val="1"/>
                <w:bCs w:val="1"/>
                <w:color w:val="FFFFFF"/>
              </w:rPr>
              <w:t>Supplemental Long-Term</w:t>
            </w:r>
          </w:p>
        </w:tc>
        <w:tc>
          <w:tcPr>
            <w:tcW w:w="2500" w:type="dxa"/>
            <w:vAlign w:val="bottom"/>
            <w:tcBorders>
              <w:top w:val="single" w:sz="8" w:color="auto"/>
              <w:right w:val="single" w:sz="8" w:color="auto"/>
            </w:tcBorders>
            <w:shd w:val="clear" w:color="auto" w:fill="0BC11C"/>
          </w:tcPr>
          <w:p>
            <w:pPr>
              <w:jc w:val="right"/>
              <w:ind w:right="197"/>
              <w:spacing w:after="0" w:line="131" w:lineRule="exact"/>
              <w:rPr>
                <w:sz w:val="20"/>
                <w:szCs w:val="20"/>
                <w:color w:val="auto"/>
              </w:rPr>
            </w:pPr>
            <w:r>
              <w:rPr>
                <w:rFonts w:ascii="Arial" w:cs="Arial" w:eastAsia="Arial" w:hAnsi="Arial"/>
                <w:sz w:val="13"/>
                <w:szCs w:val="13"/>
                <w:b w:val="1"/>
                <w:bCs w:val="1"/>
                <w:color w:val="FFFFFF"/>
              </w:rPr>
              <w:t>Fortrea’s Contributions to Qualified</w:t>
            </w:r>
          </w:p>
        </w:tc>
        <w:tc>
          <w:tcPr>
            <w:tcW w:w="1100" w:type="dxa"/>
            <w:vAlign w:val="bottom"/>
            <w:tcBorders>
              <w:top w:val="single" w:sz="8" w:color="auto"/>
              <w:right w:val="single" w:sz="8" w:color="auto"/>
            </w:tcBorders>
            <w:vMerge w:val="restart"/>
            <w:shd w:val="clear" w:color="auto" w:fill="0BC11C"/>
          </w:tcPr>
          <w:p>
            <w:pPr>
              <w:jc w:val="right"/>
              <w:ind w:right="217"/>
              <w:spacing w:after="0"/>
              <w:rPr>
                <w:sz w:val="20"/>
                <w:szCs w:val="20"/>
                <w:color w:val="auto"/>
              </w:rPr>
            </w:pPr>
            <w:r>
              <w:rPr>
                <w:rFonts w:ascii="Arial" w:cs="Arial" w:eastAsia="Arial" w:hAnsi="Arial"/>
                <w:sz w:val="13"/>
                <w:szCs w:val="13"/>
                <w:b w:val="1"/>
                <w:bCs w:val="1"/>
                <w:color w:val="FFFFFF"/>
              </w:rPr>
              <w:t>Severance</w:t>
            </w:r>
          </w:p>
        </w:tc>
        <w:tc>
          <w:tcPr>
            <w:tcW w:w="1180" w:type="dxa"/>
            <w:vAlign w:val="bottom"/>
            <w:tcBorders>
              <w:top w:val="single" w:sz="8" w:color="auto"/>
              <w:right w:val="single" w:sz="8" w:color="auto"/>
            </w:tcBorders>
            <w:gridSpan w:val="2"/>
            <w:shd w:val="clear" w:color="auto" w:fill="0BC11C"/>
          </w:tcPr>
          <w:p>
            <w:pPr>
              <w:ind w:left="140"/>
              <w:spacing w:after="0" w:line="131" w:lineRule="exact"/>
              <w:rPr>
                <w:sz w:val="20"/>
                <w:szCs w:val="20"/>
                <w:color w:val="auto"/>
              </w:rPr>
            </w:pPr>
            <w:r>
              <w:rPr>
                <w:rFonts w:ascii="Arial" w:cs="Arial" w:eastAsia="Arial" w:hAnsi="Arial"/>
                <w:sz w:val="13"/>
                <w:szCs w:val="13"/>
                <w:b w:val="1"/>
                <w:bCs w:val="1"/>
                <w:color w:val="FFFFFF"/>
              </w:rPr>
              <w:t>RSU Vesting</w:t>
            </w:r>
          </w:p>
        </w:tc>
        <w:tc>
          <w:tcPr>
            <w:tcW w:w="0" w:type="dxa"/>
            <w:vAlign w:val="bottom"/>
          </w:tcPr>
          <w:p>
            <w:pPr>
              <w:spacing w:after="0"/>
              <w:rPr>
                <w:sz w:val="1"/>
                <w:szCs w:val="1"/>
                <w:color w:val="auto"/>
              </w:rPr>
            </w:pPr>
          </w:p>
        </w:tc>
      </w:tr>
      <w:tr>
        <w:trPr>
          <w:trHeight w:val="176"/>
        </w:trPr>
        <w:tc>
          <w:tcPr>
            <w:tcW w:w="3040" w:type="dxa"/>
            <w:vAlign w:val="bottom"/>
            <w:tcBorders>
              <w:left w:val="single" w:sz="8" w:color="auto"/>
              <w:bottom w:val="single" w:sz="8" w:color="auto"/>
              <w:right w:val="single" w:sz="8" w:color="auto"/>
            </w:tcBorders>
            <w:vMerge w:val="continue"/>
            <w:shd w:val="clear" w:color="auto" w:fill="0BC11C"/>
          </w:tcPr>
          <w:p>
            <w:pPr>
              <w:spacing w:after="0"/>
              <w:rPr>
                <w:sz w:val="15"/>
                <w:szCs w:val="15"/>
                <w:color w:val="auto"/>
              </w:rPr>
            </w:pPr>
          </w:p>
        </w:tc>
        <w:tc>
          <w:tcPr>
            <w:tcW w:w="1900" w:type="dxa"/>
            <w:vAlign w:val="bottom"/>
            <w:tcBorders>
              <w:bottom w:val="single" w:sz="8" w:color="auto"/>
              <w:right w:val="single" w:sz="8" w:color="auto"/>
            </w:tcBorders>
            <w:shd w:val="clear" w:color="auto" w:fill="0BC11C"/>
          </w:tcPr>
          <w:p>
            <w:pPr>
              <w:jc w:val="right"/>
              <w:ind w:right="257"/>
              <w:spacing w:after="0"/>
              <w:rPr>
                <w:sz w:val="20"/>
                <w:szCs w:val="20"/>
                <w:color w:val="auto"/>
              </w:rPr>
            </w:pPr>
            <w:r>
              <w:rPr>
                <w:rFonts w:ascii="Arial" w:cs="Arial" w:eastAsia="Arial" w:hAnsi="Arial"/>
                <w:sz w:val="13"/>
                <w:szCs w:val="13"/>
                <w:b w:val="1"/>
                <w:bCs w:val="1"/>
                <w:color w:val="FFFFFF"/>
              </w:rPr>
              <w:t>Disability Insurance ($)</w:t>
            </w:r>
          </w:p>
        </w:tc>
        <w:tc>
          <w:tcPr>
            <w:tcW w:w="2500" w:type="dxa"/>
            <w:vAlign w:val="bottom"/>
            <w:tcBorders>
              <w:bottom w:val="single" w:sz="8" w:color="auto"/>
              <w:right w:val="single" w:sz="8" w:color="auto"/>
            </w:tcBorders>
            <w:shd w:val="clear" w:color="auto" w:fill="0BC11C"/>
          </w:tcPr>
          <w:p>
            <w:pPr>
              <w:jc w:val="right"/>
              <w:ind w:right="377"/>
              <w:spacing w:after="0"/>
              <w:rPr>
                <w:sz w:val="20"/>
                <w:szCs w:val="20"/>
                <w:color w:val="auto"/>
              </w:rPr>
            </w:pPr>
            <w:r>
              <w:rPr>
                <w:rFonts w:ascii="Arial" w:cs="Arial" w:eastAsia="Arial" w:hAnsi="Arial"/>
                <w:sz w:val="13"/>
                <w:szCs w:val="13"/>
                <w:b w:val="1"/>
                <w:bCs w:val="1"/>
                <w:color w:val="FFFFFF"/>
              </w:rPr>
              <w:t>Defined Contribution Plan ($)</w:t>
            </w:r>
          </w:p>
        </w:tc>
        <w:tc>
          <w:tcPr>
            <w:tcW w:w="1100" w:type="dxa"/>
            <w:vAlign w:val="bottom"/>
            <w:tcBorders>
              <w:bottom w:val="single" w:sz="8" w:color="auto"/>
              <w:right w:val="single" w:sz="8" w:color="auto"/>
            </w:tcBorders>
            <w:vMerge w:val="continue"/>
            <w:shd w:val="clear" w:color="auto" w:fill="0BC11C"/>
          </w:tcPr>
          <w:p>
            <w:pPr>
              <w:spacing w:after="0"/>
              <w:rPr>
                <w:sz w:val="15"/>
                <w:szCs w:val="15"/>
                <w:color w:val="auto"/>
              </w:rPr>
            </w:pPr>
          </w:p>
        </w:tc>
        <w:tc>
          <w:tcPr>
            <w:tcW w:w="840" w:type="dxa"/>
            <w:vAlign w:val="bottom"/>
            <w:tcBorders>
              <w:bottom w:val="single" w:sz="8" w:color="auto"/>
            </w:tcBorders>
            <w:shd w:val="clear" w:color="auto" w:fill="0BC11C"/>
          </w:tcPr>
          <w:p>
            <w:pPr>
              <w:jc w:val="right"/>
              <w:ind w:right="37"/>
              <w:spacing w:after="0"/>
              <w:rPr>
                <w:sz w:val="20"/>
                <w:szCs w:val="20"/>
                <w:color w:val="auto"/>
              </w:rPr>
            </w:pPr>
            <w:r>
              <w:rPr>
                <w:rFonts w:ascii="Arial" w:cs="Arial" w:eastAsia="Arial" w:hAnsi="Arial"/>
                <w:sz w:val="13"/>
                <w:szCs w:val="13"/>
                <w:b w:val="1"/>
                <w:bCs w:val="1"/>
                <w:color w:val="FFFFFF"/>
              </w:rPr>
              <w:t>as BOD</w:t>
            </w:r>
          </w:p>
        </w:tc>
        <w:tc>
          <w:tcPr>
            <w:tcW w:w="340" w:type="dxa"/>
            <w:vAlign w:val="bottom"/>
            <w:tcBorders>
              <w:bottom w:val="single" w:sz="8" w:color="auto"/>
              <w:right w:val="single" w:sz="8" w:color="auto"/>
            </w:tcBorders>
            <w:shd w:val="clear" w:color="auto" w:fill="0BC11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Anshul Thakral</w:t>
            </w:r>
          </w:p>
        </w:tc>
        <w:tc>
          <w:tcPr>
            <w:tcW w:w="190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$1,045</w:t>
            </w:r>
          </w:p>
        </w:tc>
        <w:tc>
          <w:tcPr>
            <w:tcW w:w="25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$14,846</w:t>
            </w:r>
          </w:p>
        </w:tc>
        <w:tc>
          <w:tcPr>
            <w:tcW w:w="11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3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Jill McConnell</w:t>
            </w:r>
          </w:p>
        </w:tc>
        <w:tc>
          <w:tcPr>
            <w:tcW w:w="190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$1,317</w:t>
            </w:r>
          </w:p>
        </w:tc>
        <w:tc>
          <w:tcPr>
            <w:tcW w:w="25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$14,783</w:t>
            </w:r>
          </w:p>
        </w:tc>
        <w:tc>
          <w:tcPr>
            <w:tcW w:w="11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3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Mark Morais</w:t>
            </w:r>
          </w:p>
        </w:tc>
        <w:tc>
          <w:tcPr>
            <w:tcW w:w="190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$1,317</w:t>
            </w:r>
          </w:p>
        </w:tc>
        <w:tc>
          <w:tcPr>
            <w:tcW w:w="25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  9,571</w:t>
            </w:r>
          </w:p>
        </w:tc>
        <w:tc>
          <w:tcPr>
            <w:tcW w:w="11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3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Thomas Pike</w:t>
            </w:r>
          </w:p>
        </w:tc>
        <w:tc>
          <w:tcPr>
            <w:tcW w:w="190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   799</w:t>
            </w:r>
          </w:p>
        </w:tc>
        <w:tc>
          <w:tcPr>
            <w:tcW w:w="25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  7,423</w:t>
            </w:r>
          </w:p>
        </w:tc>
        <w:tc>
          <w:tcPr>
            <w:tcW w:w="11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$7,318,116 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304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Peter Neupert</w:t>
            </w:r>
          </w:p>
        </w:tc>
        <w:tc>
          <w:tcPr>
            <w:tcW w:w="190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250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$34,808 </w:t>
            </w: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awards granted to each of the NEOs during the fiscal year ended December 31, 2025.</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580" w:type="dxa"/>
            <w:vAlign w:val="bottom"/>
            <w:shd w:val="clear" w:color="auto" w:fill="0BC11C"/>
          </w:tcPr>
          <w:p>
            <w:pPr>
              <w:spacing w:after="0"/>
              <w:rPr>
                <w:sz w:val="16"/>
                <w:szCs w:val="16"/>
                <w:color w:val="auto"/>
              </w:rPr>
            </w:pPr>
          </w:p>
        </w:tc>
        <w:tc>
          <w:tcPr>
            <w:tcW w:w="800" w:type="dxa"/>
            <w:vAlign w:val="bottom"/>
            <w:shd w:val="clear" w:color="auto" w:fill="0BC11C"/>
          </w:tcPr>
          <w:p>
            <w:pPr>
              <w:spacing w:after="0"/>
              <w:rPr>
                <w:sz w:val="16"/>
                <w:szCs w:val="16"/>
                <w:color w:val="auto"/>
              </w:rPr>
            </w:pPr>
          </w:p>
        </w:tc>
        <w:tc>
          <w:tcPr>
            <w:tcW w:w="100" w:type="dxa"/>
            <w:vAlign w:val="bottom"/>
            <w:shd w:val="clear" w:color="auto" w:fill="0BC11C"/>
          </w:tcPr>
          <w:p>
            <w:pPr>
              <w:spacing w:after="0"/>
              <w:rPr>
                <w:sz w:val="16"/>
                <w:szCs w:val="16"/>
                <w:color w:val="auto"/>
              </w:rPr>
            </w:pPr>
          </w:p>
        </w:tc>
        <w:tc>
          <w:tcPr>
            <w:tcW w:w="760" w:type="dxa"/>
            <w:vAlign w:val="bottom"/>
            <w:shd w:val="clear" w:color="auto" w:fill="0BC11C"/>
          </w:tcPr>
          <w:p>
            <w:pPr>
              <w:spacing w:after="0"/>
              <w:rPr>
                <w:sz w:val="16"/>
                <w:szCs w:val="16"/>
                <w:color w:val="auto"/>
              </w:rPr>
            </w:pPr>
          </w:p>
        </w:tc>
        <w:tc>
          <w:tcPr>
            <w:tcW w:w="800" w:type="dxa"/>
            <w:vAlign w:val="bottom"/>
            <w:shd w:val="clear" w:color="auto" w:fill="0BC11C"/>
          </w:tcPr>
          <w:p>
            <w:pPr>
              <w:spacing w:after="0"/>
              <w:rPr>
                <w:sz w:val="16"/>
                <w:szCs w:val="16"/>
                <w:color w:val="auto"/>
              </w:rPr>
            </w:pPr>
          </w:p>
        </w:tc>
        <w:tc>
          <w:tcPr>
            <w:tcW w:w="220" w:type="dxa"/>
            <w:vAlign w:val="bottom"/>
            <w:shd w:val="clear" w:color="auto" w:fill="0BC11C"/>
          </w:tcPr>
          <w:p>
            <w:pPr>
              <w:spacing w:after="0"/>
              <w:rPr>
                <w:sz w:val="16"/>
                <w:szCs w:val="16"/>
                <w:color w:val="auto"/>
              </w:rPr>
            </w:pPr>
          </w:p>
        </w:tc>
        <w:tc>
          <w:tcPr>
            <w:tcW w:w="840" w:type="dxa"/>
            <w:vAlign w:val="bottom"/>
            <w:shd w:val="clear" w:color="auto" w:fill="0BC11C"/>
          </w:tcPr>
          <w:p>
            <w:pPr>
              <w:spacing w:after="0"/>
              <w:rPr>
                <w:sz w:val="16"/>
                <w:szCs w:val="16"/>
                <w:color w:val="auto"/>
              </w:rPr>
            </w:pPr>
          </w:p>
        </w:tc>
        <w:tc>
          <w:tcPr>
            <w:tcW w:w="100" w:type="dxa"/>
            <w:vAlign w:val="bottom"/>
            <w:shd w:val="clear" w:color="auto" w:fill="0BC11C"/>
          </w:tcPr>
          <w:p>
            <w:pPr>
              <w:spacing w:after="0"/>
              <w:rPr>
                <w:sz w:val="16"/>
                <w:szCs w:val="16"/>
                <w:color w:val="auto"/>
              </w:rPr>
            </w:pPr>
          </w:p>
        </w:tc>
        <w:tc>
          <w:tcPr>
            <w:tcW w:w="760" w:type="dxa"/>
            <w:vAlign w:val="bottom"/>
            <w:shd w:val="clear" w:color="auto" w:fill="0BC11C"/>
          </w:tcPr>
          <w:p>
            <w:pPr>
              <w:spacing w:after="0"/>
              <w:rPr>
                <w:sz w:val="16"/>
                <w:szCs w:val="16"/>
                <w:color w:val="auto"/>
              </w:rPr>
            </w:pPr>
          </w:p>
        </w:tc>
        <w:tc>
          <w:tcPr>
            <w:tcW w:w="800" w:type="dxa"/>
            <w:vAlign w:val="bottom"/>
            <w:shd w:val="clear" w:color="auto" w:fill="0BC11C"/>
          </w:tcPr>
          <w:p>
            <w:pPr>
              <w:spacing w:after="0"/>
              <w:rPr>
                <w:sz w:val="16"/>
                <w:szCs w:val="16"/>
                <w:color w:val="auto"/>
              </w:rPr>
            </w:pPr>
          </w:p>
        </w:tc>
        <w:tc>
          <w:tcPr>
            <w:tcW w:w="680" w:type="dxa"/>
            <w:vAlign w:val="bottom"/>
            <w:shd w:val="clear" w:color="auto" w:fill="0BC11C"/>
          </w:tcPr>
          <w:p>
            <w:pPr>
              <w:spacing w:after="0"/>
              <w:rPr>
                <w:sz w:val="16"/>
                <w:szCs w:val="16"/>
                <w:color w:val="auto"/>
              </w:rPr>
            </w:pPr>
          </w:p>
        </w:tc>
        <w:tc>
          <w:tcPr>
            <w:tcW w:w="740" w:type="dxa"/>
            <w:vAlign w:val="bottom"/>
            <w:shd w:val="clear" w:color="auto" w:fill="0BC11C"/>
          </w:tcPr>
          <w:p>
            <w:pPr>
              <w:spacing w:after="0"/>
              <w:rPr>
                <w:sz w:val="16"/>
                <w:szCs w:val="16"/>
                <w:color w:val="auto"/>
              </w:rPr>
            </w:pPr>
          </w:p>
        </w:tc>
        <w:tc>
          <w:tcPr>
            <w:tcW w:w="880" w:type="dxa"/>
            <w:vAlign w:val="bottom"/>
            <w:shd w:val="clear" w:color="auto" w:fill="0BC11C"/>
          </w:tcPr>
          <w:p>
            <w:pPr>
              <w:jc w:val="center"/>
              <w:spacing w:after="0"/>
              <w:rPr>
                <w:sz w:val="20"/>
                <w:szCs w:val="20"/>
                <w:color w:val="auto"/>
              </w:rPr>
            </w:pPr>
            <w:r>
              <w:rPr>
                <w:rFonts w:ascii="Arial" w:cs="Arial" w:eastAsia="Arial" w:hAnsi="Arial"/>
                <w:sz w:val="13"/>
                <w:szCs w:val="13"/>
                <w:b w:val="1"/>
                <w:bCs w:val="1"/>
                <w:color w:val="FFFFFF"/>
              </w:rPr>
              <w:t>All Other</w:t>
            </w:r>
          </w:p>
        </w:tc>
        <w:tc>
          <w:tcPr>
            <w:tcW w:w="200" w:type="dxa"/>
            <w:vAlign w:val="bottom"/>
            <w:shd w:val="clear" w:color="auto" w:fill="0BC11C"/>
          </w:tcPr>
          <w:p>
            <w:pPr>
              <w:spacing w:after="0"/>
              <w:rPr>
                <w:sz w:val="16"/>
                <w:szCs w:val="16"/>
                <w:color w:val="auto"/>
              </w:rPr>
            </w:pPr>
          </w:p>
        </w:tc>
        <w:tc>
          <w:tcPr>
            <w:tcW w:w="760" w:type="dxa"/>
            <w:vAlign w:val="bottom"/>
            <w:shd w:val="clear" w:color="auto" w:fill="0BC11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0BC11C"/>
          </w:tcPr>
          <w:p>
            <w:pPr>
              <w:spacing w:after="0"/>
              <w:rPr>
                <w:sz w:val="12"/>
                <w:szCs w:val="12"/>
                <w:color w:val="auto"/>
              </w:rPr>
            </w:pPr>
          </w:p>
        </w:tc>
        <w:tc>
          <w:tcPr>
            <w:tcW w:w="800" w:type="dxa"/>
            <w:vAlign w:val="bottom"/>
            <w:shd w:val="clear" w:color="auto" w:fill="0BC11C"/>
          </w:tcPr>
          <w:p>
            <w:pPr>
              <w:spacing w:after="0"/>
              <w:rPr>
                <w:sz w:val="12"/>
                <w:szCs w:val="12"/>
                <w:color w:val="auto"/>
              </w:rPr>
            </w:pPr>
          </w:p>
        </w:tc>
        <w:tc>
          <w:tcPr>
            <w:tcW w:w="100" w:type="dxa"/>
            <w:vAlign w:val="bottom"/>
            <w:shd w:val="clear" w:color="auto" w:fill="0BC11C"/>
          </w:tcPr>
          <w:p>
            <w:pPr>
              <w:spacing w:after="0"/>
              <w:rPr>
                <w:sz w:val="12"/>
                <w:szCs w:val="12"/>
                <w:color w:val="auto"/>
              </w:rPr>
            </w:pPr>
          </w:p>
        </w:tc>
        <w:tc>
          <w:tcPr>
            <w:tcW w:w="760" w:type="dxa"/>
            <w:vAlign w:val="bottom"/>
            <w:shd w:val="clear" w:color="auto" w:fill="0BC11C"/>
          </w:tcPr>
          <w:p>
            <w:pPr>
              <w:spacing w:after="0"/>
              <w:rPr>
                <w:sz w:val="12"/>
                <w:szCs w:val="12"/>
                <w:color w:val="auto"/>
              </w:rPr>
            </w:pPr>
          </w:p>
        </w:tc>
        <w:tc>
          <w:tcPr>
            <w:tcW w:w="2720" w:type="dxa"/>
            <w:vAlign w:val="bottom"/>
            <w:gridSpan w:val="5"/>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2220" w:type="dxa"/>
            <w:vAlign w:val="bottom"/>
            <w:gridSpan w:val="3"/>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880" w:type="dxa"/>
            <w:vAlign w:val="bottom"/>
            <w:shd w:val="clear" w:color="auto" w:fill="0BC11C"/>
          </w:tcPr>
          <w:p>
            <w:pPr>
              <w:jc w:val="center"/>
              <w:spacing w:after="0"/>
              <w:rPr>
                <w:sz w:val="20"/>
                <w:szCs w:val="20"/>
                <w:color w:val="auto"/>
              </w:rPr>
            </w:pPr>
            <w:r>
              <w:rPr>
                <w:rFonts w:ascii="Arial" w:cs="Arial" w:eastAsia="Arial" w:hAnsi="Arial"/>
                <w:sz w:val="13"/>
                <w:szCs w:val="13"/>
                <w:b w:val="1"/>
                <w:bCs w:val="1"/>
                <w:color w:val="FFFFFF"/>
              </w:rPr>
              <w:t>Stock</w:t>
            </w:r>
          </w:p>
        </w:tc>
        <w:tc>
          <w:tcPr>
            <w:tcW w:w="200" w:type="dxa"/>
            <w:vAlign w:val="bottom"/>
            <w:shd w:val="clear" w:color="auto" w:fill="0BC11C"/>
          </w:tcPr>
          <w:p>
            <w:pPr>
              <w:spacing w:after="0"/>
              <w:rPr>
                <w:sz w:val="12"/>
                <w:szCs w:val="12"/>
                <w:color w:val="auto"/>
              </w:rPr>
            </w:pPr>
          </w:p>
        </w:tc>
        <w:tc>
          <w:tcPr>
            <w:tcW w:w="760" w:type="dxa"/>
            <w:vAlign w:val="bottom"/>
            <w:shd w:val="clear" w:color="auto" w:fill="0BC11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80" w:type="dxa"/>
            <w:vAlign w:val="bottom"/>
            <w:shd w:val="clear" w:color="auto" w:fill="0BC11C"/>
          </w:tcPr>
          <w:p>
            <w:pPr>
              <w:spacing w:after="0"/>
              <w:rPr>
                <w:sz w:val="5"/>
                <w:szCs w:val="5"/>
                <w:color w:val="auto"/>
              </w:rPr>
            </w:pPr>
          </w:p>
        </w:tc>
        <w:tc>
          <w:tcPr>
            <w:tcW w:w="800" w:type="dxa"/>
            <w:vAlign w:val="bottom"/>
            <w:shd w:val="clear" w:color="auto" w:fill="0BC11C"/>
          </w:tcPr>
          <w:p>
            <w:pPr>
              <w:spacing w:after="0"/>
              <w:rPr>
                <w:sz w:val="5"/>
                <w:szCs w:val="5"/>
                <w:color w:val="auto"/>
              </w:rPr>
            </w:pPr>
          </w:p>
        </w:tc>
        <w:tc>
          <w:tcPr>
            <w:tcW w:w="100" w:type="dxa"/>
            <w:vAlign w:val="bottom"/>
            <w:shd w:val="clear" w:color="auto" w:fill="0BC11C"/>
          </w:tcPr>
          <w:p>
            <w:pPr>
              <w:spacing w:after="0"/>
              <w:rPr>
                <w:sz w:val="5"/>
                <w:szCs w:val="5"/>
                <w:color w:val="auto"/>
              </w:rPr>
            </w:pPr>
          </w:p>
        </w:tc>
        <w:tc>
          <w:tcPr>
            <w:tcW w:w="760" w:type="dxa"/>
            <w:vAlign w:val="bottom"/>
            <w:shd w:val="clear" w:color="auto" w:fill="0BC11C"/>
          </w:tcPr>
          <w:p>
            <w:pPr>
              <w:spacing w:after="0"/>
              <w:rPr>
                <w:sz w:val="5"/>
                <w:szCs w:val="5"/>
                <w:color w:val="auto"/>
              </w:rPr>
            </w:pPr>
          </w:p>
        </w:tc>
        <w:tc>
          <w:tcPr>
            <w:tcW w:w="2720" w:type="dxa"/>
            <w:vAlign w:val="bottom"/>
            <w:gridSpan w:val="5"/>
            <w:vMerge w:val="continue"/>
            <w:shd w:val="clear" w:color="auto" w:fill="0BC11C"/>
          </w:tcPr>
          <w:p>
            <w:pPr>
              <w:spacing w:after="0"/>
              <w:rPr>
                <w:sz w:val="5"/>
                <w:szCs w:val="5"/>
                <w:color w:val="auto"/>
              </w:rPr>
            </w:pPr>
          </w:p>
        </w:tc>
        <w:tc>
          <w:tcPr>
            <w:tcW w:w="2220" w:type="dxa"/>
            <w:vAlign w:val="bottom"/>
            <w:gridSpan w:val="3"/>
            <w:vMerge w:val="continue"/>
            <w:shd w:val="clear" w:color="auto" w:fill="0BC11C"/>
          </w:tcPr>
          <w:p>
            <w:pPr>
              <w:spacing w:after="0"/>
              <w:rPr>
                <w:sz w:val="5"/>
                <w:szCs w:val="5"/>
                <w:color w:val="auto"/>
              </w:rPr>
            </w:pPr>
          </w:p>
        </w:tc>
        <w:tc>
          <w:tcPr>
            <w:tcW w:w="880" w:type="dxa"/>
            <w:vAlign w:val="bottom"/>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Awards:</w:t>
            </w:r>
          </w:p>
        </w:tc>
        <w:tc>
          <w:tcPr>
            <w:tcW w:w="960" w:type="dxa"/>
            <w:vAlign w:val="bottom"/>
            <w:gridSpan w:val="2"/>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81"/>
        </w:trPr>
        <w:tc>
          <w:tcPr>
            <w:tcW w:w="2580" w:type="dxa"/>
            <w:vAlign w:val="bottom"/>
            <w:shd w:val="clear" w:color="auto" w:fill="0BC11C"/>
          </w:tcPr>
          <w:p>
            <w:pPr>
              <w:spacing w:after="0"/>
              <w:rPr>
                <w:sz w:val="7"/>
                <w:szCs w:val="7"/>
                <w:color w:val="auto"/>
              </w:rPr>
            </w:pPr>
          </w:p>
        </w:tc>
        <w:tc>
          <w:tcPr>
            <w:tcW w:w="800" w:type="dxa"/>
            <w:vAlign w:val="bottom"/>
            <w:shd w:val="clear" w:color="auto" w:fill="0BC11C"/>
          </w:tcPr>
          <w:p>
            <w:pPr>
              <w:spacing w:after="0"/>
              <w:rPr>
                <w:sz w:val="7"/>
                <w:szCs w:val="7"/>
                <w:color w:val="auto"/>
              </w:rPr>
            </w:pPr>
          </w:p>
        </w:tc>
        <w:tc>
          <w:tcPr>
            <w:tcW w:w="100" w:type="dxa"/>
            <w:vAlign w:val="bottom"/>
            <w:shd w:val="clear" w:color="auto" w:fill="0BC11C"/>
          </w:tcPr>
          <w:p>
            <w:pPr>
              <w:spacing w:after="0"/>
              <w:rPr>
                <w:sz w:val="7"/>
                <w:szCs w:val="7"/>
                <w:color w:val="auto"/>
              </w:rPr>
            </w:pPr>
          </w:p>
        </w:tc>
        <w:tc>
          <w:tcPr>
            <w:tcW w:w="760" w:type="dxa"/>
            <w:vAlign w:val="bottom"/>
            <w:shd w:val="clear" w:color="auto" w:fill="0BC11C"/>
          </w:tcPr>
          <w:p>
            <w:pPr>
              <w:spacing w:after="0"/>
              <w:rPr>
                <w:sz w:val="7"/>
                <w:szCs w:val="7"/>
                <w:color w:val="auto"/>
              </w:rPr>
            </w:pPr>
          </w:p>
        </w:tc>
        <w:tc>
          <w:tcPr>
            <w:tcW w:w="2720" w:type="dxa"/>
            <w:vAlign w:val="bottom"/>
            <w:gridSpan w:val="5"/>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Under Non-Equity Incentive</w:t>
            </w:r>
          </w:p>
        </w:tc>
        <w:tc>
          <w:tcPr>
            <w:tcW w:w="2220" w:type="dxa"/>
            <w:vAlign w:val="bottom"/>
            <w:gridSpan w:val="3"/>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Under Equity Incentive</w:t>
            </w:r>
          </w:p>
        </w:tc>
        <w:tc>
          <w:tcPr>
            <w:tcW w:w="880" w:type="dxa"/>
            <w:vAlign w:val="bottom"/>
            <w:vMerge w:val="continue"/>
            <w:shd w:val="clear" w:color="auto" w:fill="0BC11C"/>
          </w:tcPr>
          <w:p>
            <w:pPr>
              <w:spacing w:after="0"/>
              <w:rPr>
                <w:sz w:val="7"/>
                <w:szCs w:val="7"/>
                <w:color w:val="auto"/>
              </w:rPr>
            </w:pPr>
          </w:p>
        </w:tc>
        <w:tc>
          <w:tcPr>
            <w:tcW w:w="960" w:type="dxa"/>
            <w:vAlign w:val="bottom"/>
            <w:gridSpan w:val="2"/>
            <w:vMerge w:val="continue"/>
            <w:shd w:val="clear" w:color="auto" w:fill="0BC11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80" w:type="dxa"/>
            <w:vAlign w:val="bottom"/>
            <w:shd w:val="clear" w:color="auto" w:fill="0BC11C"/>
          </w:tcPr>
          <w:p>
            <w:pPr>
              <w:spacing w:after="0"/>
              <w:rPr>
                <w:sz w:val="5"/>
                <w:szCs w:val="5"/>
                <w:color w:val="auto"/>
              </w:rPr>
            </w:pPr>
          </w:p>
        </w:tc>
        <w:tc>
          <w:tcPr>
            <w:tcW w:w="800" w:type="dxa"/>
            <w:vAlign w:val="bottom"/>
            <w:shd w:val="clear" w:color="auto" w:fill="0BC11C"/>
          </w:tcPr>
          <w:p>
            <w:pPr>
              <w:spacing w:after="0"/>
              <w:rPr>
                <w:sz w:val="5"/>
                <w:szCs w:val="5"/>
                <w:color w:val="auto"/>
              </w:rPr>
            </w:pPr>
          </w:p>
        </w:tc>
        <w:tc>
          <w:tcPr>
            <w:tcW w:w="100" w:type="dxa"/>
            <w:vAlign w:val="bottom"/>
            <w:shd w:val="clear" w:color="auto" w:fill="0BC11C"/>
          </w:tcPr>
          <w:p>
            <w:pPr>
              <w:spacing w:after="0"/>
              <w:rPr>
                <w:sz w:val="5"/>
                <w:szCs w:val="5"/>
                <w:color w:val="auto"/>
              </w:rPr>
            </w:pPr>
          </w:p>
        </w:tc>
        <w:tc>
          <w:tcPr>
            <w:tcW w:w="760" w:type="dxa"/>
            <w:vAlign w:val="bottom"/>
            <w:shd w:val="clear" w:color="auto" w:fill="0BC11C"/>
          </w:tcPr>
          <w:p>
            <w:pPr>
              <w:spacing w:after="0"/>
              <w:rPr>
                <w:sz w:val="5"/>
                <w:szCs w:val="5"/>
                <w:color w:val="auto"/>
              </w:rPr>
            </w:pPr>
          </w:p>
        </w:tc>
        <w:tc>
          <w:tcPr>
            <w:tcW w:w="2720" w:type="dxa"/>
            <w:vAlign w:val="bottom"/>
            <w:gridSpan w:val="5"/>
            <w:vMerge w:val="continue"/>
            <w:shd w:val="clear" w:color="auto" w:fill="0BC11C"/>
          </w:tcPr>
          <w:p>
            <w:pPr>
              <w:spacing w:after="0"/>
              <w:rPr>
                <w:sz w:val="5"/>
                <w:szCs w:val="5"/>
                <w:color w:val="auto"/>
              </w:rPr>
            </w:pPr>
          </w:p>
        </w:tc>
        <w:tc>
          <w:tcPr>
            <w:tcW w:w="2220" w:type="dxa"/>
            <w:vAlign w:val="bottom"/>
            <w:gridSpan w:val="3"/>
            <w:vMerge w:val="continue"/>
            <w:shd w:val="clear" w:color="auto" w:fill="0BC11C"/>
          </w:tcPr>
          <w:p>
            <w:pPr>
              <w:spacing w:after="0"/>
              <w:rPr>
                <w:sz w:val="5"/>
                <w:szCs w:val="5"/>
                <w:color w:val="auto"/>
              </w:rPr>
            </w:pPr>
          </w:p>
        </w:tc>
        <w:tc>
          <w:tcPr>
            <w:tcW w:w="880" w:type="dxa"/>
            <w:vAlign w:val="bottom"/>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Number of</w:t>
            </w:r>
          </w:p>
        </w:tc>
        <w:tc>
          <w:tcPr>
            <w:tcW w:w="960" w:type="dxa"/>
            <w:vAlign w:val="bottom"/>
            <w:gridSpan w:val="2"/>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81"/>
        </w:trPr>
        <w:tc>
          <w:tcPr>
            <w:tcW w:w="2580" w:type="dxa"/>
            <w:vAlign w:val="bottom"/>
            <w:shd w:val="clear" w:color="auto" w:fill="0BC11C"/>
          </w:tcPr>
          <w:p>
            <w:pPr>
              <w:spacing w:after="0"/>
              <w:rPr>
                <w:sz w:val="7"/>
                <w:szCs w:val="7"/>
                <w:color w:val="auto"/>
              </w:rPr>
            </w:pPr>
          </w:p>
        </w:tc>
        <w:tc>
          <w:tcPr>
            <w:tcW w:w="800" w:type="dxa"/>
            <w:vAlign w:val="bottom"/>
            <w:shd w:val="clear" w:color="auto" w:fill="0BC11C"/>
          </w:tcPr>
          <w:p>
            <w:pPr>
              <w:spacing w:after="0"/>
              <w:rPr>
                <w:sz w:val="7"/>
                <w:szCs w:val="7"/>
                <w:color w:val="auto"/>
              </w:rPr>
            </w:pPr>
          </w:p>
        </w:tc>
        <w:tc>
          <w:tcPr>
            <w:tcW w:w="100" w:type="dxa"/>
            <w:vAlign w:val="bottom"/>
            <w:shd w:val="clear" w:color="auto" w:fill="0BC11C"/>
          </w:tcPr>
          <w:p>
            <w:pPr>
              <w:spacing w:after="0"/>
              <w:rPr>
                <w:sz w:val="7"/>
                <w:szCs w:val="7"/>
                <w:color w:val="auto"/>
              </w:rPr>
            </w:pPr>
          </w:p>
        </w:tc>
        <w:tc>
          <w:tcPr>
            <w:tcW w:w="760" w:type="dxa"/>
            <w:vAlign w:val="bottom"/>
            <w:shd w:val="clear" w:color="auto" w:fill="0BC11C"/>
          </w:tcPr>
          <w:p>
            <w:pPr>
              <w:spacing w:after="0"/>
              <w:rPr>
                <w:sz w:val="7"/>
                <w:szCs w:val="7"/>
                <w:color w:val="auto"/>
              </w:rPr>
            </w:pPr>
          </w:p>
        </w:tc>
        <w:tc>
          <w:tcPr>
            <w:tcW w:w="800" w:type="dxa"/>
            <w:vAlign w:val="bottom"/>
            <w:shd w:val="clear" w:color="auto" w:fill="0BC11C"/>
          </w:tcPr>
          <w:p>
            <w:pPr>
              <w:spacing w:after="0"/>
              <w:rPr>
                <w:sz w:val="7"/>
                <w:szCs w:val="7"/>
                <w:color w:val="auto"/>
              </w:rPr>
            </w:pPr>
          </w:p>
        </w:tc>
        <w:tc>
          <w:tcPr>
            <w:tcW w:w="1060" w:type="dxa"/>
            <w:vAlign w:val="bottom"/>
            <w:gridSpan w:val="2"/>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Plan Awards(1)</w:t>
            </w:r>
          </w:p>
        </w:tc>
        <w:tc>
          <w:tcPr>
            <w:tcW w:w="100" w:type="dxa"/>
            <w:vAlign w:val="bottom"/>
            <w:shd w:val="clear" w:color="auto" w:fill="0BC11C"/>
          </w:tcPr>
          <w:p>
            <w:pPr>
              <w:spacing w:after="0"/>
              <w:rPr>
                <w:sz w:val="7"/>
                <w:szCs w:val="7"/>
                <w:color w:val="auto"/>
              </w:rPr>
            </w:pPr>
          </w:p>
        </w:tc>
        <w:tc>
          <w:tcPr>
            <w:tcW w:w="760" w:type="dxa"/>
            <w:vAlign w:val="bottom"/>
            <w:shd w:val="clear" w:color="auto" w:fill="0BC11C"/>
          </w:tcPr>
          <w:p>
            <w:pPr>
              <w:spacing w:after="0"/>
              <w:rPr>
                <w:sz w:val="7"/>
                <w:szCs w:val="7"/>
                <w:color w:val="auto"/>
              </w:rPr>
            </w:pPr>
          </w:p>
        </w:tc>
        <w:tc>
          <w:tcPr>
            <w:tcW w:w="2220" w:type="dxa"/>
            <w:vAlign w:val="bottom"/>
            <w:gridSpan w:val="3"/>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Plan Awards(2)</w:t>
            </w:r>
          </w:p>
        </w:tc>
        <w:tc>
          <w:tcPr>
            <w:tcW w:w="880" w:type="dxa"/>
            <w:vAlign w:val="bottom"/>
            <w:vMerge w:val="continue"/>
            <w:shd w:val="clear" w:color="auto" w:fill="0BC11C"/>
          </w:tcPr>
          <w:p>
            <w:pPr>
              <w:spacing w:after="0"/>
              <w:rPr>
                <w:sz w:val="7"/>
                <w:szCs w:val="7"/>
                <w:color w:val="auto"/>
              </w:rPr>
            </w:pPr>
          </w:p>
        </w:tc>
        <w:tc>
          <w:tcPr>
            <w:tcW w:w="960" w:type="dxa"/>
            <w:vAlign w:val="bottom"/>
            <w:gridSpan w:val="2"/>
            <w:vMerge w:val="continue"/>
            <w:shd w:val="clear" w:color="auto" w:fill="0BC11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580" w:type="dxa"/>
            <w:vAlign w:val="bottom"/>
            <w:shd w:val="clear" w:color="auto" w:fill="0BC11C"/>
          </w:tcPr>
          <w:p>
            <w:pPr>
              <w:spacing w:after="0"/>
              <w:rPr>
                <w:sz w:val="9"/>
                <w:szCs w:val="9"/>
                <w:color w:val="auto"/>
              </w:rPr>
            </w:pPr>
          </w:p>
        </w:tc>
        <w:tc>
          <w:tcPr>
            <w:tcW w:w="800" w:type="dxa"/>
            <w:vAlign w:val="bottom"/>
            <w:shd w:val="clear" w:color="auto" w:fill="0BC11C"/>
          </w:tcPr>
          <w:p>
            <w:pPr>
              <w:spacing w:after="0"/>
              <w:rPr>
                <w:sz w:val="9"/>
                <w:szCs w:val="9"/>
                <w:color w:val="auto"/>
              </w:rPr>
            </w:pPr>
          </w:p>
        </w:tc>
        <w:tc>
          <w:tcPr>
            <w:tcW w:w="100" w:type="dxa"/>
            <w:vAlign w:val="bottom"/>
            <w:shd w:val="clear" w:color="auto" w:fill="0BC11C"/>
          </w:tcPr>
          <w:p>
            <w:pPr>
              <w:spacing w:after="0"/>
              <w:rPr>
                <w:sz w:val="9"/>
                <w:szCs w:val="9"/>
                <w:color w:val="auto"/>
              </w:rPr>
            </w:pPr>
          </w:p>
        </w:tc>
        <w:tc>
          <w:tcPr>
            <w:tcW w:w="760" w:type="dxa"/>
            <w:vAlign w:val="bottom"/>
            <w:shd w:val="clear" w:color="auto" w:fill="0BC11C"/>
          </w:tcPr>
          <w:p>
            <w:pPr>
              <w:spacing w:after="0"/>
              <w:rPr>
                <w:sz w:val="9"/>
                <w:szCs w:val="9"/>
                <w:color w:val="auto"/>
              </w:rPr>
            </w:pPr>
          </w:p>
        </w:tc>
        <w:tc>
          <w:tcPr>
            <w:tcW w:w="800" w:type="dxa"/>
            <w:vAlign w:val="bottom"/>
            <w:shd w:val="clear" w:color="auto" w:fill="0BC11C"/>
          </w:tcPr>
          <w:p>
            <w:pPr>
              <w:spacing w:after="0"/>
              <w:rPr>
                <w:sz w:val="9"/>
                <w:szCs w:val="9"/>
                <w:color w:val="auto"/>
              </w:rPr>
            </w:pPr>
          </w:p>
        </w:tc>
        <w:tc>
          <w:tcPr>
            <w:tcW w:w="1060" w:type="dxa"/>
            <w:vAlign w:val="bottom"/>
            <w:gridSpan w:val="2"/>
            <w:vMerge w:val="continue"/>
            <w:shd w:val="clear" w:color="auto" w:fill="0BC11C"/>
          </w:tcPr>
          <w:p>
            <w:pPr>
              <w:spacing w:after="0"/>
              <w:rPr>
                <w:sz w:val="9"/>
                <w:szCs w:val="9"/>
                <w:color w:val="auto"/>
              </w:rPr>
            </w:pPr>
          </w:p>
        </w:tc>
        <w:tc>
          <w:tcPr>
            <w:tcW w:w="100" w:type="dxa"/>
            <w:vAlign w:val="bottom"/>
            <w:shd w:val="clear" w:color="auto" w:fill="0BC11C"/>
          </w:tcPr>
          <w:p>
            <w:pPr>
              <w:spacing w:after="0"/>
              <w:rPr>
                <w:sz w:val="9"/>
                <w:szCs w:val="9"/>
                <w:color w:val="auto"/>
              </w:rPr>
            </w:pPr>
          </w:p>
        </w:tc>
        <w:tc>
          <w:tcPr>
            <w:tcW w:w="760" w:type="dxa"/>
            <w:vAlign w:val="bottom"/>
            <w:shd w:val="clear" w:color="auto" w:fill="0BC11C"/>
          </w:tcPr>
          <w:p>
            <w:pPr>
              <w:spacing w:after="0"/>
              <w:rPr>
                <w:sz w:val="9"/>
                <w:szCs w:val="9"/>
                <w:color w:val="auto"/>
              </w:rPr>
            </w:pPr>
          </w:p>
        </w:tc>
        <w:tc>
          <w:tcPr>
            <w:tcW w:w="2220" w:type="dxa"/>
            <w:vAlign w:val="bottom"/>
            <w:gridSpan w:val="3"/>
            <w:vMerge w:val="continue"/>
            <w:shd w:val="clear" w:color="auto" w:fill="0BC11C"/>
          </w:tcPr>
          <w:p>
            <w:pPr>
              <w:spacing w:after="0"/>
              <w:rPr>
                <w:sz w:val="9"/>
                <w:szCs w:val="9"/>
                <w:color w:val="auto"/>
              </w:rPr>
            </w:pPr>
          </w:p>
        </w:tc>
        <w:tc>
          <w:tcPr>
            <w:tcW w:w="880" w:type="dxa"/>
            <w:vAlign w:val="bottom"/>
            <w:vMerge w:val="restart"/>
            <w:shd w:val="clear" w:color="auto" w:fill="0BC11C"/>
          </w:tcPr>
          <w:p>
            <w:pPr>
              <w:jc w:val="center"/>
              <w:spacing w:after="0"/>
              <w:rPr>
                <w:sz w:val="20"/>
                <w:szCs w:val="20"/>
                <w:color w:val="auto"/>
              </w:rPr>
            </w:pPr>
            <w:r>
              <w:rPr>
                <w:rFonts w:ascii="Arial" w:cs="Arial" w:eastAsia="Arial" w:hAnsi="Arial"/>
                <w:sz w:val="13"/>
                <w:szCs w:val="13"/>
                <w:b w:val="1"/>
                <w:bCs w:val="1"/>
                <w:color w:val="FFFFFF"/>
              </w:rPr>
              <w:t>Shares of</w:t>
            </w:r>
          </w:p>
        </w:tc>
        <w:tc>
          <w:tcPr>
            <w:tcW w:w="200" w:type="dxa"/>
            <w:vAlign w:val="bottom"/>
            <w:shd w:val="clear" w:color="auto" w:fill="0BC11C"/>
          </w:tcPr>
          <w:p>
            <w:pPr>
              <w:spacing w:after="0"/>
              <w:rPr>
                <w:sz w:val="9"/>
                <w:szCs w:val="9"/>
                <w:color w:val="auto"/>
              </w:rPr>
            </w:pPr>
          </w:p>
        </w:tc>
        <w:tc>
          <w:tcPr>
            <w:tcW w:w="760" w:type="dxa"/>
            <w:vAlign w:val="bottom"/>
            <w:vMerge w:val="restart"/>
            <w:shd w:val="clear" w:color="auto" w:fill="0BC11C"/>
          </w:tcPr>
          <w:p>
            <w:pPr>
              <w:jc w:val="center"/>
              <w:ind w:right="185"/>
              <w:spacing w:after="0"/>
              <w:rPr>
                <w:sz w:val="20"/>
                <w:szCs w:val="20"/>
                <w:color w:val="auto"/>
              </w:rPr>
            </w:pPr>
            <w:r>
              <w:rPr>
                <w:rFonts w:ascii="Arial" w:cs="Arial" w:eastAsia="Arial" w:hAnsi="Arial"/>
                <w:sz w:val="13"/>
                <w:szCs w:val="13"/>
                <w:b w:val="1"/>
                <w:bCs w:val="1"/>
                <w:color w:val="FFFFFF"/>
              </w:rPr>
              <w:t>of</w:t>
            </w:r>
          </w:p>
        </w:tc>
        <w:tc>
          <w:tcPr>
            <w:tcW w:w="0" w:type="dxa"/>
            <w:vAlign w:val="bottom"/>
          </w:tcPr>
          <w:p>
            <w:pPr>
              <w:spacing w:after="0"/>
              <w:rPr>
                <w:sz w:val="1"/>
                <w:szCs w:val="1"/>
                <w:color w:val="auto"/>
              </w:rPr>
            </w:pPr>
          </w:p>
        </w:tc>
      </w:tr>
      <w:tr>
        <w:trPr>
          <w:trHeight w:val="43"/>
        </w:trPr>
        <w:tc>
          <w:tcPr>
            <w:tcW w:w="2580" w:type="dxa"/>
            <w:vAlign w:val="bottom"/>
            <w:shd w:val="clear" w:color="auto" w:fill="0BC11C"/>
          </w:tcPr>
          <w:p>
            <w:pPr>
              <w:spacing w:after="0"/>
              <w:rPr>
                <w:sz w:val="3"/>
                <w:szCs w:val="3"/>
                <w:color w:val="auto"/>
              </w:rPr>
            </w:pPr>
          </w:p>
        </w:tc>
        <w:tc>
          <w:tcPr>
            <w:tcW w:w="800" w:type="dxa"/>
            <w:vAlign w:val="bottom"/>
            <w:shd w:val="clear" w:color="auto" w:fill="0BC11C"/>
          </w:tcPr>
          <w:p>
            <w:pPr>
              <w:spacing w:after="0"/>
              <w:rPr>
                <w:sz w:val="3"/>
                <w:szCs w:val="3"/>
                <w:color w:val="auto"/>
              </w:rPr>
            </w:pPr>
          </w:p>
        </w:tc>
        <w:tc>
          <w:tcPr>
            <w:tcW w:w="100" w:type="dxa"/>
            <w:vAlign w:val="bottom"/>
            <w:shd w:val="clear" w:color="auto" w:fill="0BC11C"/>
          </w:tcPr>
          <w:p>
            <w:pPr>
              <w:spacing w:after="0"/>
              <w:rPr>
                <w:sz w:val="3"/>
                <w:szCs w:val="3"/>
                <w:color w:val="auto"/>
              </w:rPr>
            </w:pPr>
          </w:p>
        </w:tc>
        <w:tc>
          <w:tcPr>
            <w:tcW w:w="760" w:type="dxa"/>
            <w:vAlign w:val="bottom"/>
            <w:shd w:val="clear" w:color="auto" w:fill="0BC11C"/>
          </w:tcPr>
          <w:p>
            <w:pPr>
              <w:spacing w:after="0"/>
              <w:rPr>
                <w:sz w:val="3"/>
                <w:szCs w:val="3"/>
                <w:color w:val="auto"/>
              </w:rPr>
            </w:pPr>
          </w:p>
        </w:tc>
        <w:tc>
          <w:tcPr>
            <w:tcW w:w="800" w:type="dxa"/>
            <w:vAlign w:val="bottom"/>
            <w:shd w:val="clear" w:color="auto" w:fill="0BC11C"/>
          </w:tcPr>
          <w:p>
            <w:pPr>
              <w:spacing w:after="0"/>
              <w:rPr>
                <w:sz w:val="3"/>
                <w:szCs w:val="3"/>
                <w:color w:val="auto"/>
              </w:rPr>
            </w:pPr>
          </w:p>
        </w:tc>
        <w:tc>
          <w:tcPr>
            <w:tcW w:w="220" w:type="dxa"/>
            <w:vAlign w:val="bottom"/>
            <w:shd w:val="clear" w:color="auto" w:fill="0BC11C"/>
          </w:tcPr>
          <w:p>
            <w:pPr>
              <w:spacing w:after="0"/>
              <w:rPr>
                <w:sz w:val="3"/>
                <w:szCs w:val="3"/>
                <w:color w:val="auto"/>
              </w:rPr>
            </w:pPr>
          </w:p>
        </w:tc>
        <w:tc>
          <w:tcPr>
            <w:tcW w:w="840" w:type="dxa"/>
            <w:vAlign w:val="bottom"/>
            <w:shd w:val="clear" w:color="auto" w:fill="0BC11C"/>
          </w:tcPr>
          <w:p>
            <w:pPr>
              <w:spacing w:after="0"/>
              <w:rPr>
                <w:sz w:val="3"/>
                <w:szCs w:val="3"/>
                <w:color w:val="auto"/>
              </w:rPr>
            </w:pPr>
          </w:p>
        </w:tc>
        <w:tc>
          <w:tcPr>
            <w:tcW w:w="100" w:type="dxa"/>
            <w:vAlign w:val="bottom"/>
            <w:shd w:val="clear" w:color="auto" w:fill="0BC11C"/>
          </w:tcPr>
          <w:p>
            <w:pPr>
              <w:spacing w:after="0"/>
              <w:rPr>
                <w:sz w:val="3"/>
                <w:szCs w:val="3"/>
                <w:color w:val="auto"/>
              </w:rPr>
            </w:pPr>
          </w:p>
        </w:tc>
        <w:tc>
          <w:tcPr>
            <w:tcW w:w="760" w:type="dxa"/>
            <w:vAlign w:val="bottom"/>
            <w:shd w:val="clear" w:color="auto" w:fill="0BC11C"/>
          </w:tcPr>
          <w:p>
            <w:pPr>
              <w:spacing w:after="0"/>
              <w:rPr>
                <w:sz w:val="3"/>
                <w:szCs w:val="3"/>
                <w:color w:val="auto"/>
              </w:rPr>
            </w:pPr>
          </w:p>
        </w:tc>
        <w:tc>
          <w:tcPr>
            <w:tcW w:w="800" w:type="dxa"/>
            <w:vAlign w:val="bottom"/>
            <w:shd w:val="clear" w:color="auto" w:fill="0BC11C"/>
          </w:tcPr>
          <w:p>
            <w:pPr>
              <w:spacing w:after="0"/>
              <w:rPr>
                <w:sz w:val="3"/>
                <w:szCs w:val="3"/>
                <w:color w:val="auto"/>
              </w:rPr>
            </w:pPr>
          </w:p>
        </w:tc>
        <w:tc>
          <w:tcPr>
            <w:tcW w:w="680" w:type="dxa"/>
            <w:vAlign w:val="bottom"/>
            <w:shd w:val="clear" w:color="auto" w:fill="0BC11C"/>
          </w:tcPr>
          <w:p>
            <w:pPr>
              <w:spacing w:after="0"/>
              <w:rPr>
                <w:sz w:val="3"/>
                <w:szCs w:val="3"/>
                <w:color w:val="auto"/>
              </w:rPr>
            </w:pPr>
          </w:p>
        </w:tc>
        <w:tc>
          <w:tcPr>
            <w:tcW w:w="740" w:type="dxa"/>
            <w:vAlign w:val="bottom"/>
            <w:shd w:val="clear" w:color="auto" w:fill="0BC11C"/>
          </w:tcPr>
          <w:p>
            <w:pPr>
              <w:spacing w:after="0"/>
              <w:rPr>
                <w:sz w:val="3"/>
                <w:szCs w:val="3"/>
                <w:color w:val="auto"/>
              </w:rPr>
            </w:pPr>
          </w:p>
        </w:tc>
        <w:tc>
          <w:tcPr>
            <w:tcW w:w="880" w:type="dxa"/>
            <w:vAlign w:val="bottom"/>
            <w:vMerge w:val="continue"/>
            <w:shd w:val="clear" w:color="auto" w:fill="0BC11C"/>
          </w:tcPr>
          <w:p>
            <w:pPr>
              <w:spacing w:after="0"/>
              <w:rPr>
                <w:sz w:val="3"/>
                <w:szCs w:val="3"/>
                <w:color w:val="auto"/>
              </w:rPr>
            </w:pPr>
          </w:p>
        </w:tc>
        <w:tc>
          <w:tcPr>
            <w:tcW w:w="200" w:type="dxa"/>
            <w:vAlign w:val="bottom"/>
            <w:shd w:val="clear" w:color="auto" w:fill="0BC11C"/>
          </w:tcPr>
          <w:p>
            <w:pPr>
              <w:spacing w:after="0"/>
              <w:rPr>
                <w:sz w:val="3"/>
                <w:szCs w:val="3"/>
                <w:color w:val="auto"/>
              </w:rPr>
            </w:pPr>
          </w:p>
        </w:tc>
        <w:tc>
          <w:tcPr>
            <w:tcW w:w="760" w:type="dxa"/>
            <w:vAlign w:val="bottom"/>
            <w:vMerge w:val="continue"/>
            <w:shd w:val="clear" w:color="auto" w:fill="0BC11C"/>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0BC11C"/>
          </w:tcPr>
          <w:p>
            <w:pPr>
              <w:spacing w:after="0"/>
              <w:rPr>
                <w:sz w:val="12"/>
                <w:szCs w:val="12"/>
                <w:color w:val="auto"/>
              </w:rPr>
            </w:pPr>
          </w:p>
        </w:tc>
        <w:tc>
          <w:tcPr>
            <w:tcW w:w="800" w:type="dxa"/>
            <w:vAlign w:val="bottom"/>
            <w:shd w:val="clear" w:color="auto" w:fill="0BC11C"/>
          </w:tcPr>
          <w:p>
            <w:pPr>
              <w:spacing w:after="0"/>
              <w:rPr>
                <w:sz w:val="12"/>
                <w:szCs w:val="12"/>
                <w:color w:val="auto"/>
              </w:rPr>
            </w:pPr>
          </w:p>
        </w:tc>
        <w:tc>
          <w:tcPr>
            <w:tcW w:w="100" w:type="dxa"/>
            <w:vAlign w:val="bottom"/>
            <w:shd w:val="clear" w:color="auto" w:fill="0BC11C"/>
          </w:tcPr>
          <w:p>
            <w:pPr>
              <w:spacing w:after="0"/>
              <w:rPr>
                <w:sz w:val="12"/>
                <w:szCs w:val="12"/>
                <w:color w:val="auto"/>
              </w:rPr>
            </w:pPr>
          </w:p>
        </w:tc>
        <w:tc>
          <w:tcPr>
            <w:tcW w:w="760" w:type="dxa"/>
            <w:vAlign w:val="bottom"/>
            <w:vMerge w:val="restart"/>
            <w:shd w:val="clear" w:color="auto" w:fill="0BC11C"/>
          </w:tcPr>
          <w:p>
            <w:pPr>
              <w:jc w:val="right"/>
              <w:ind w:right="186"/>
              <w:spacing w:after="0"/>
              <w:rPr>
                <w:sz w:val="20"/>
                <w:szCs w:val="20"/>
                <w:color w:val="auto"/>
              </w:rPr>
            </w:pPr>
            <w:r>
              <w:rPr>
                <w:rFonts w:ascii="Arial" w:cs="Arial" w:eastAsia="Arial" w:hAnsi="Arial"/>
                <w:sz w:val="13"/>
                <w:szCs w:val="13"/>
                <w:b w:val="1"/>
                <w:bCs w:val="1"/>
                <w:color w:val="FFFFFF"/>
              </w:rPr>
              <w:t>Grant</w:t>
            </w:r>
          </w:p>
        </w:tc>
        <w:tc>
          <w:tcPr>
            <w:tcW w:w="800" w:type="dxa"/>
            <w:vAlign w:val="bottom"/>
            <w:vMerge w:val="restart"/>
            <w:shd w:val="clear" w:color="auto" w:fill="0BC11C"/>
          </w:tcPr>
          <w:p>
            <w:pPr>
              <w:jc w:val="right"/>
              <w:spacing w:after="0"/>
              <w:rPr>
                <w:sz w:val="20"/>
                <w:szCs w:val="20"/>
                <w:color w:val="auto"/>
              </w:rPr>
            </w:pPr>
            <w:r>
              <w:rPr>
                <w:rFonts w:ascii="Arial" w:cs="Arial" w:eastAsia="Arial" w:hAnsi="Arial"/>
                <w:sz w:val="13"/>
                <w:szCs w:val="13"/>
                <w:b w:val="1"/>
                <w:bCs w:val="1"/>
                <w:color w:val="FFFFFF"/>
              </w:rPr>
              <w:t>Threshold</w:t>
            </w:r>
          </w:p>
        </w:tc>
        <w:tc>
          <w:tcPr>
            <w:tcW w:w="220" w:type="dxa"/>
            <w:vAlign w:val="bottom"/>
            <w:shd w:val="clear" w:color="auto" w:fill="0BC11C"/>
          </w:tcPr>
          <w:p>
            <w:pPr>
              <w:spacing w:after="0"/>
              <w:rPr>
                <w:sz w:val="12"/>
                <w:szCs w:val="12"/>
                <w:color w:val="auto"/>
              </w:rPr>
            </w:pPr>
          </w:p>
        </w:tc>
        <w:tc>
          <w:tcPr>
            <w:tcW w:w="840" w:type="dxa"/>
            <w:vAlign w:val="bottom"/>
            <w:vMerge w:val="restart"/>
            <w:shd w:val="clear" w:color="auto" w:fill="0BC11C"/>
          </w:tcPr>
          <w:p>
            <w:pPr>
              <w:jc w:val="right"/>
              <w:ind w:right="284"/>
              <w:spacing w:after="0"/>
              <w:rPr>
                <w:sz w:val="20"/>
                <w:szCs w:val="20"/>
                <w:color w:val="auto"/>
              </w:rPr>
            </w:pPr>
            <w:r>
              <w:rPr>
                <w:rFonts w:ascii="Arial" w:cs="Arial" w:eastAsia="Arial" w:hAnsi="Arial"/>
                <w:sz w:val="13"/>
                <w:szCs w:val="13"/>
                <w:b w:val="1"/>
                <w:bCs w:val="1"/>
                <w:color w:val="FFFFFF"/>
              </w:rPr>
              <w:t>Target</w:t>
            </w:r>
          </w:p>
        </w:tc>
        <w:tc>
          <w:tcPr>
            <w:tcW w:w="860" w:type="dxa"/>
            <w:vAlign w:val="bottom"/>
            <w:gridSpan w:val="2"/>
            <w:vMerge w:val="restart"/>
            <w:shd w:val="clear" w:color="auto" w:fill="0BC11C"/>
          </w:tcPr>
          <w:p>
            <w:pPr>
              <w:jc w:val="right"/>
              <w:ind w:right="104"/>
              <w:spacing w:after="0"/>
              <w:rPr>
                <w:sz w:val="20"/>
                <w:szCs w:val="20"/>
                <w:color w:val="auto"/>
              </w:rPr>
            </w:pPr>
            <w:r>
              <w:rPr>
                <w:rFonts w:ascii="Arial" w:cs="Arial" w:eastAsia="Arial" w:hAnsi="Arial"/>
                <w:sz w:val="13"/>
                <w:szCs w:val="13"/>
                <w:b w:val="1"/>
                <w:bCs w:val="1"/>
                <w:color w:val="FFFFFF"/>
              </w:rPr>
              <w:t>Maximum</w:t>
            </w:r>
          </w:p>
        </w:tc>
        <w:tc>
          <w:tcPr>
            <w:tcW w:w="800" w:type="dxa"/>
            <w:vAlign w:val="bottom"/>
            <w:vMerge w:val="restart"/>
            <w:shd w:val="clear" w:color="auto" w:fill="0BC11C"/>
          </w:tcPr>
          <w:p>
            <w:pPr>
              <w:jc w:val="right"/>
              <w:ind w:right="6"/>
              <w:spacing w:after="0"/>
              <w:rPr>
                <w:sz w:val="20"/>
                <w:szCs w:val="20"/>
                <w:color w:val="auto"/>
              </w:rPr>
            </w:pPr>
            <w:r>
              <w:rPr>
                <w:rFonts w:ascii="Arial" w:cs="Arial" w:eastAsia="Arial" w:hAnsi="Arial"/>
                <w:sz w:val="13"/>
                <w:szCs w:val="13"/>
                <w:b w:val="1"/>
                <w:bCs w:val="1"/>
                <w:color w:val="FFFFFF"/>
              </w:rPr>
              <w:t>Threshold</w:t>
            </w:r>
          </w:p>
        </w:tc>
        <w:tc>
          <w:tcPr>
            <w:tcW w:w="680" w:type="dxa"/>
            <w:vAlign w:val="bottom"/>
            <w:vMerge w:val="restart"/>
            <w:shd w:val="clear" w:color="auto" w:fill="0BC11C"/>
          </w:tcPr>
          <w:p>
            <w:pPr>
              <w:jc w:val="right"/>
              <w:ind w:right="44"/>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0BC11C"/>
          </w:tcPr>
          <w:p>
            <w:pPr>
              <w:jc w:val="right"/>
              <w:spacing w:after="0"/>
              <w:rPr>
                <w:sz w:val="20"/>
                <w:szCs w:val="20"/>
                <w:color w:val="auto"/>
              </w:rPr>
            </w:pPr>
            <w:r>
              <w:rPr>
                <w:rFonts w:ascii="Arial" w:cs="Arial" w:eastAsia="Arial" w:hAnsi="Arial"/>
                <w:sz w:val="13"/>
                <w:szCs w:val="13"/>
                <w:b w:val="1"/>
                <w:bCs w:val="1"/>
                <w:color w:val="FFFFFF"/>
              </w:rPr>
              <w:t>Maximum</w:t>
            </w:r>
          </w:p>
        </w:tc>
        <w:tc>
          <w:tcPr>
            <w:tcW w:w="880" w:type="dxa"/>
            <w:vAlign w:val="bottom"/>
            <w:shd w:val="clear" w:color="auto" w:fill="0BC11C"/>
          </w:tcPr>
          <w:p>
            <w:pPr>
              <w:jc w:val="center"/>
              <w:spacing w:after="0"/>
              <w:rPr>
                <w:sz w:val="20"/>
                <w:szCs w:val="20"/>
                <w:color w:val="auto"/>
              </w:rPr>
            </w:pPr>
            <w:r>
              <w:rPr>
                <w:rFonts w:ascii="Arial" w:cs="Arial" w:eastAsia="Arial" w:hAnsi="Arial"/>
                <w:sz w:val="13"/>
                <w:szCs w:val="13"/>
                <w:b w:val="1"/>
                <w:bCs w:val="1"/>
                <w:color w:val="FFFFFF"/>
              </w:rPr>
              <w:t>Stock or</w:t>
            </w:r>
          </w:p>
        </w:tc>
        <w:tc>
          <w:tcPr>
            <w:tcW w:w="200" w:type="dxa"/>
            <w:vAlign w:val="bottom"/>
            <w:shd w:val="clear" w:color="auto" w:fill="0BC11C"/>
          </w:tcPr>
          <w:p>
            <w:pPr>
              <w:spacing w:after="0"/>
              <w:rPr>
                <w:sz w:val="12"/>
                <w:szCs w:val="12"/>
                <w:color w:val="auto"/>
              </w:rPr>
            </w:pPr>
          </w:p>
        </w:tc>
        <w:tc>
          <w:tcPr>
            <w:tcW w:w="760" w:type="dxa"/>
            <w:vAlign w:val="bottom"/>
            <w:shd w:val="clear" w:color="auto" w:fill="0BC11C"/>
          </w:tcPr>
          <w:p>
            <w:pPr>
              <w:jc w:val="center"/>
              <w:ind w:right="185"/>
              <w:spacing w:after="0"/>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48"/>
        </w:trPr>
        <w:tc>
          <w:tcPr>
            <w:tcW w:w="2580" w:type="dxa"/>
            <w:vAlign w:val="bottom"/>
            <w:shd w:val="clear" w:color="auto" w:fill="0BC11C"/>
          </w:tcPr>
          <w:p>
            <w:pPr>
              <w:spacing w:after="0"/>
              <w:rPr>
                <w:sz w:val="12"/>
                <w:szCs w:val="12"/>
                <w:color w:val="auto"/>
              </w:rPr>
            </w:pPr>
          </w:p>
        </w:tc>
        <w:tc>
          <w:tcPr>
            <w:tcW w:w="800" w:type="dxa"/>
            <w:vAlign w:val="bottom"/>
            <w:vMerge w:val="restart"/>
            <w:shd w:val="clear" w:color="auto" w:fill="0BC11C"/>
          </w:tcPr>
          <w:p>
            <w:pPr>
              <w:ind w:left="20"/>
              <w:spacing w:after="0"/>
              <w:rPr>
                <w:sz w:val="20"/>
                <w:szCs w:val="20"/>
                <w:color w:val="auto"/>
              </w:rPr>
            </w:pPr>
            <w:r>
              <w:rPr>
                <w:rFonts w:ascii="Arial" w:cs="Arial" w:eastAsia="Arial" w:hAnsi="Arial"/>
                <w:sz w:val="13"/>
                <w:szCs w:val="13"/>
                <w:b w:val="1"/>
                <w:bCs w:val="1"/>
                <w:color w:val="FFFFFF"/>
              </w:rPr>
              <w:t>Award Type</w:t>
            </w:r>
          </w:p>
        </w:tc>
        <w:tc>
          <w:tcPr>
            <w:tcW w:w="100" w:type="dxa"/>
            <w:vAlign w:val="bottom"/>
            <w:shd w:val="clear" w:color="auto" w:fill="0BC11C"/>
          </w:tcPr>
          <w:p>
            <w:pPr>
              <w:spacing w:after="0"/>
              <w:rPr>
                <w:sz w:val="12"/>
                <w:szCs w:val="12"/>
                <w:color w:val="auto"/>
              </w:rPr>
            </w:pPr>
          </w:p>
        </w:tc>
        <w:tc>
          <w:tcPr>
            <w:tcW w:w="760" w:type="dxa"/>
            <w:vAlign w:val="bottom"/>
            <w:vMerge w:val="continue"/>
            <w:shd w:val="clear" w:color="auto" w:fill="0BC11C"/>
          </w:tcPr>
          <w:p>
            <w:pPr>
              <w:spacing w:after="0"/>
              <w:rPr>
                <w:sz w:val="12"/>
                <w:szCs w:val="12"/>
                <w:color w:val="auto"/>
              </w:rPr>
            </w:pPr>
          </w:p>
        </w:tc>
        <w:tc>
          <w:tcPr>
            <w:tcW w:w="800" w:type="dxa"/>
            <w:vAlign w:val="bottom"/>
            <w:vMerge w:val="continue"/>
            <w:shd w:val="clear" w:color="auto" w:fill="0BC11C"/>
          </w:tcPr>
          <w:p>
            <w:pPr>
              <w:spacing w:after="0"/>
              <w:rPr>
                <w:sz w:val="12"/>
                <w:szCs w:val="12"/>
                <w:color w:val="auto"/>
              </w:rPr>
            </w:pPr>
          </w:p>
        </w:tc>
        <w:tc>
          <w:tcPr>
            <w:tcW w:w="220" w:type="dxa"/>
            <w:vAlign w:val="bottom"/>
            <w:shd w:val="clear" w:color="auto" w:fill="0BC11C"/>
          </w:tcPr>
          <w:p>
            <w:pPr>
              <w:spacing w:after="0"/>
              <w:rPr>
                <w:sz w:val="12"/>
                <w:szCs w:val="12"/>
                <w:color w:val="auto"/>
              </w:rPr>
            </w:pPr>
          </w:p>
        </w:tc>
        <w:tc>
          <w:tcPr>
            <w:tcW w:w="840" w:type="dxa"/>
            <w:vAlign w:val="bottom"/>
            <w:vMerge w:val="continue"/>
            <w:shd w:val="clear" w:color="auto" w:fill="0BC11C"/>
          </w:tcPr>
          <w:p>
            <w:pPr>
              <w:spacing w:after="0"/>
              <w:rPr>
                <w:sz w:val="12"/>
                <w:szCs w:val="12"/>
                <w:color w:val="auto"/>
              </w:rPr>
            </w:pPr>
          </w:p>
        </w:tc>
        <w:tc>
          <w:tcPr>
            <w:tcW w:w="860" w:type="dxa"/>
            <w:vAlign w:val="bottom"/>
            <w:gridSpan w:val="2"/>
            <w:vMerge w:val="continue"/>
            <w:shd w:val="clear" w:color="auto" w:fill="0BC11C"/>
          </w:tcPr>
          <w:p>
            <w:pPr>
              <w:spacing w:after="0"/>
              <w:rPr>
                <w:sz w:val="12"/>
                <w:szCs w:val="12"/>
                <w:color w:val="auto"/>
              </w:rPr>
            </w:pPr>
          </w:p>
        </w:tc>
        <w:tc>
          <w:tcPr>
            <w:tcW w:w="800" w:type="dxa"/>
            <w:vAlign w:val="bottom"/>
            <w:vMerge w:val="continue"/>
            <w:shd w:val="clear" w:color="auto" w:fill="0BC11C"/>
          </w:tcPr>
          <w:p>
            <w:pPr>
              <w:spacing w:after="0"/>
              <w:rPr>
                <w:sz w:val="12"/>
                <w:szCs w:val="12"/>
                <w:color w:val="auto"/>
              </w:rPr>
            </w:pPr>
          </w:p>
        </w:tc>
        <w:tc>
          <w:tcPr>
            <w:tcW w:w="680" w:type="dxa"/>
            <w:vAlign w:val="bottom"/>
            <w:vMerge w:val="continue"/>
            <w:shd w:val="clear" w:color="auto" w:fill="0BC11C"/>
          </w:tcPr>
          <w:p>
            <w:pPr>
              <w:spacing w:after="0"/>
              <w:rPr>
                <w:sz w:val="12"/>
                <w:szCs w:val="12"/>
                <w:color w:val="auto"/>
              </w:rPr>
            </w:pPr>
          </w:p>
        </w:tc>
        <w:tc>
          <w:tcPr>
            <w:tcW w:w="740" w:type="dxa"/>
            <w:vAlign w:val="bottom"/>
            <w:vMerge w:val="continue"/>
            <w:shd w:val="clear" w:color="auto" w:fill="0BC11C"/>
          </w:tcPr>
          <w:p>
            <w:pPr>
              <w:spacing w:after="0"/>
              <w:rPr>
                <w:sz w:val="12"/>
                <w:szCs w:val="12"/>
                <w:color w:val="auto"/>
              </w:rPr>
            </w:pPr>
          </w:p>
        </w:tc>
        <w:tc>
          <w:tcPr>
            <w:tcW w:w="880" w:type="dxa"/>
            <w:vAlign w:val="bottom"/>
            <w:shd w:val="clear" w:color="auto" w:fill="0BC11C"/>
          </w:tcPr>
          <w:p>
            <w:pPr>
              <w:jc w:val="center"/>
              <w:spacing w:after="0"/>
              <w:rPr>
                <w:sz w:val="20"/>
                <w:szCs w:val="20"/>
                <w:color w:val="auto"/>
              </w:rPr>
            </w:pPr>
            <w:r>
              <w:rPr>
                <w:rFonts w:ascii="Arial" w:cs="Arial" w:eastAsia="Arial" w:hAnsi="Arial"/>
                <w:sz w:val="13"/>
                <w:szCs w:val="13"/>
                <w:b w:val="1"/>
                <w:bCs w:val="1"/>
                <w:color w:val="FFFFFF"/>
              </w:rPr>
              <w:t>Units(3)</w:t>
            </w:r>
          </w:p>
        </w:tc>
        <w:tc>
          <w:tcPr>
            <w:tcW w:w="960" w:type="dxa"/>
            <w:vAlign w:val="bottom"/>
            <w:gridSpan w:val="2"/>
            <w:shd w:val="clear" w:color="auto" w:fill="0BC11C"/>
          </w:tcPr>
          <w:p>
            <w:pPr>
              <w:jc w:val="center"/>
              <w:spacing w:after="0"/>
              <w:rPr>
                <w:sz w:val="20"/>
                <w:szCs w:val="20"/>
                <w:color w:val="auto"/>
              </w:rPr>
            </w:pPr>
            <w:r>
              <w:rPr>
                <w:rFonts w:ascii="Arial" w:cs="Arial" w:eastAsia="Arial" w:hAnsi="Arial"/>
                <w:sz w:val="13"/>
                <w:szCs w:val="13"/>
                <w:b w:val="1"/>
                <w:bCs w:val="1"/>
                <w:color w:val="FFFFFF"/>
              </w:rPr>
              <w:t>Awards(4)</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0BC11C"/>
            </w:tcBorders>
            <w:shd w:val="clear" w:color="auto" w:fill="0BC11C"/>
          </w:tcPr>
          <w:p>
            <w:pPr>
              <w:spacing w:after="0"/>
              <w:rPr>
                <w:sz w:val="17"/>
                <w:szCs w:val="17"/>
                <w:color w:val="auto"/>
              </w:rPr>
            </w:pPr>
          </w:p>
        </w:tc>
        <w:tc>
          <w:tcPr>
            <w:tcW w:w="800" w:type="dxa"/>
            <w:vAlign w:val="bottom"/>
            <w:tcBorders>
              <w:bottom w:val="single" w:sz="8" w:color="0BC11C"/>
            </w:tcBorders>
            <w:vMerge w:val="continue"/>
            <w:shd w:val="clear" w:color="auto" w:fill="0BC11C"/>
          </w:tcPr>
          <w:p>
            <w:pPr>
              <w:spacing w:after="0"/>
              <w:rPr>
                <w:sz w:val="17"/>
                <w:szCs w:val="17"/>
                <w:color w:val="auto"/>
              </w:rPr>
            </w:pPr>
          </w:p>
        </w:tc>
        <w:tc>
          <w:tcPr>
            <w:tcW w:w="100" w:type="dxa"/>
            <w:vAlign w:val="bottom"/>
            <w:tcBorders>
              <w:bottom w:val="single" w:sz="8" w:color="0BC11C"/>
            </w:tcBorders>
            <w:shd w:val="clear" w:color="auto" w:fill="0BC11C"/>
          </w:tcPr>
          <w:p>
            <w:pPr>
              <w:spacing w:after="0"/>
              <w:rPr>
                <w:sz w:val="17"/>
                <w:szCs w:val="17"/>
                <w:color w:val="auto"/>
              </w:rPr>
            </w:pPr>
          </w:p>
        </w:tc>
        <w:tc>
          <w:tcPr>
            <w:tcW w:w="760" w:type="dxa"/>
            <w:vAlign w:val="bottom"/>
            <w:tcBorders>
              <w:bottom w:val="single" w:sz="8" w:color="0BC11C"/>
            </w:tcBorders>
            <w:shd w:val="clear" w:color="auto" w:fill="0BC11C"/>
          </w:tcPr>
          <w:p>
            <w:pPr>
              <w:jc w:val="right"/>
              <w:ind w:right="226"/>
              <w:spacing w:after="0"/>
              <w:rPr>
                <w:sz w:val="20"/>
                <w:szCs w:val="20"/>
                <w:color w:val="auto"/>
              </w:rPr>
            </w:pPr>
            <w:r>
              <w:rPr>
                <w:rFonts w:ascii="Arial" w:cs="Arial" w:eastAsia="Arial" w:hAnsi="Arial"/>
                <w:sz w:val="13"/>
                <w:szCs w:val="13"/>
                <w:b w:val="1"/>
                <w:bCs w:val="1"/>
                <w:color w:val="FFFFFF"/>
              </w:rPr>
              <w:t>Date</w:t>
            </w:r>
          </w:p>
        </w:tc>
        <w:tc>
          <w:tcPr>
            <w:tcW w:w="800" w:type="dxa"/>
            <w:vAlign w:val="bottom"/>
            <w:tcBorders>
              <w:bottom w:val="single" w:sz="8" w:color="0BC11C"/>
            </w:tcBorders>
            <w:shd w:val="clear" w:color="auto" w:fill="0BC11C"/>
          </w:tcPr>
          <w:p>
            <w:pPr>
              <w:jc w:val="right"/>
              <w:ind w:right="245"/>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bottom w:val="single" w:sz="8" w:color="0BC11C"/>
            </w:tcBorders>
            <w:shd w:val="clear" w:color="auto" w:fill="0BC11C"/>
          </w:tcPr>
          <w:p>
            <w:pPr>
              <w:spacing w:after="0"/>
              <w:rPr>
                <w:sz w:val="17"/>
                <w:szCs w:val="17"/>
                <w:color w:val="auto"/>
              </w:rPr>
            </w:pPr>
          </w:p>
        </w:tc>
        <w:tc>
          <w:tcPr>
            <w:tcW w:w="840" w:type="dxa"/>
            <w:vAlign w:val="bottom"/>
            <w:tcBorders>
              <w:bottom w:val="single" w:sz="8" w:color="0BC11C"/>
            </w:tcBorders>
            <w:shd w:val="clear" w:color="auto" w:fill="0BC11C"/>
          </w:tcPr>
          <w:p>
            <w:pPr>
              <w:jc w:val="right"/>
              <w:ind w:right="384"/>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0BC11C"/>
            </w:tcBorders>
            <w:shd w:val="clear" w:color="auto" w:fill="0BC11C"/>
          </w:tcPr>
          <w:p>
            <w:pPr>
              <w:spacing w:after="0"/>
              <w:rPr>
                <w:sz w:val="17"/>
                <w:szCs w:val="17"/>
                <w:color w:val="auto"/>
              </w:rPr>
            </w:pPr>
          </w:p>
        </w:tc>
        <w:tc>
          <w:tcPr>
            <w:tcW w:w="760" w:type="dxa"/>
            <w:vAlign w:val="bottom"/>
            <w:tcBorders>
              <w:bottom w:val="single" w:sz="8" w:color="0BC11C"/>
            </w:tcBorders>
            <w:shd w:val="clear" w:color="auto" w:fill="0BC11C"/>
          </w:tcPr>
          <w:p>
            <w:pPr>
              <w:jc w:val="right"/>
              <w:ind w:right="304"/>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BC11C"/>
            </w:tcBorders>
            <w:shd w:val="clear" w:color="auto" w:fill="0BC11C"/>
          </w:tcPr>
          <w:p>
            <w:pPr>
              <w:jc w:val="right"/>
              <w:ind w:right="246"/>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BC11C"/>
            </w:tcBorders>
            <w:shd w:val="clear" w:color="auto" w:fill="0BC11C"/>
          </w:tcPr>
          <w:p>
            <w:pPr>
              <w:jc w:val="right"/>
              <w:ind w:right="164"/>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0BC11C"/>
            </w:tcBorders>
            <w:shd w:val="clear" w:color="auto" w:fill="0BC11C"/>
          </w:tcPr>
          <w:p>
            <w:pPr>
              <w:jc w:val="right"/>
              <w:ind w:right="224"/>
              <w:spacing w:after="0"/>
              <w:rPr>
                <w:sz w:val="20"/>
                <w:szCs w:val="20"/>
                <w:color w:val="auto"/>
              </w:rPr>
            </w:pPr>
            <w:r>
              <w:rPr>
                <w:rFonts w:ascii="Arial" w:cs="Arial" w:eastAsia="Arial" w:hAnsi="Arial"/>
                <w:sz w:val="13"/>
                <w:szCs w:val="13"/>
                <w:b w:val="1"/>
                <w:bCs w:val="1"/>
                <w:color w:val="FFFFFF"/>
              </w:rPr>
              <w:t>(#)</w:t>
            </w:r>
          </w:p>
        </w:tc>
        <w:tc>
          <w:tcPr>
            <w:tcW w:w="880" w:type="dxa"/>
            <w:vAlign w:val="bottom"/>
            <w:tcBorders>
              <w:bottom w:val="single" w:sz="8" w:color="0BC11C"/>
            </w:tcBorders>
            <w:shd w:val="clear" w:color="auto" w:fill="0BC11C"/>
          </w:tcPr>
          <w:p>
            <w:pPr>
              <w:jc w:val="right"/>
              <w:ind w:right="267"/>
              <w:spacing w:after="0"/>
              <w:rPr>
                <w:sz w:val="20"/>
                <w:szCs w:val="20"/>
                <w:color w:val="auto"/>
              </w:rPr>
            </w:pPr>
            <w:r>
              <w:rPr>
                <w:rFonts w:ascii="Arial" w:cs="Arial" w:eastAsia="Arial" w:hAnsi="Arial"/>
                <w:sz w:val="13"/>
                <w:szCs w:val="13"/>
                <w:b w:val="1"/>
                <w:bCs w:val="1"/>
                <w:color w:val="FFFFFF"/>
              </w:rPr>
              <w:t>(#)</w:t>
            </w:r>
          </w:p>
        </w:tc>
        <w:tc>
          <w:tcPr>
            <w:tcW w:w="200" w:type="dxa"/>
            <w:vAlign w:val="bottom"/>
            <w:tcBorders>
              <w:bottom w:val="single" w:sz="8" w:color="0BC11C"/>
            </w:tcBorders>
            <w:shd w:val="clear" w:color="auto" w:fill="0BC11C"/>
          </w:tcPr>
          <w:p>
            <w:pPr>
              <w:spacing w:after="0"/>
              <w:rPr>
                <w:sz w:val="17"/>
                <w:szCs w:val="17"/>
                <w:color w:val="auto"/>
              </w:rPr>
            </w:pPr>
          </w:p>
        </w:tc>
        <w:tc>
          <w:tcPr>
            <w:tcW w:w="760" w:type="dxa"/>
            <w:vAlign w:val="bottom"/>
            <w:tcBorders>
              <w:bottom w:val="single" w:sz="8" w:color="0BC11C"/>
            </w:tcBorders>
            <w:shd w:val="clear" w:color="auto" w:fill="0BC11C"/>
          </w:tcPr>
          <w:p>
            <w:pPr>
              <w:jc w:val="right"/>
              <w:ind w:right="345"/>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2"/>
        </w:trPr>
        <w:tc>
          <w:tcPr>
            <w:tcW w:w="2580" w:type="dxa"/>
            <w:vAlign w:val="bottom"/>
          </w:tcPr>
          <w:p>
            <w:pPr>
              <w:ind w:left="60"/>
              <w:spacing w:after="0"/>
              <w:rPr>
                <w:sz w:val="20"/>
                <w:szCs w:val="20"/>
                <w:color w:val="auto"/>
              </w:rPr>
            </w:pPr>
            <w:r>
              <w:rPr>
                <w:rFonts w:ascii="Arial" w:cs="Arial" w:eastAsia="Arial" w:hAnsi="Arial"/>
                <w:sz w:val="15"/>
                <w:szCs w:val="15"/>
                <w:color w:val="auto"/>
              </w:rPr>
              <w:t>Anshul Thakral</w:t>
            </w:r>
          </w:p>
        </w:tc>
        <w:tc>
          <w:tcPr>
            <w:tcW w:w="800" w:type="dxa"/>
            <w:vAlign w:val="bottom"/>
          </w:tcPr>
          <w:p>
            <w:pPr>
              <w:spacing w:after="0"/>
              <w:rPr>
                <w:sz w:val="20"/>
                <w:szCs w:val="20"/>
                <w:color w:val="auto"/>
              </w:rPr>
            </w:pPr>
            <w:r>
              <w:rPr>
                <w:rFonts w:ascii="Arial" w:cs="Arial" w:eastAsia="Arial" w:hAnsi="Arial"/>
                <w:sz w:val="15"/>
                <w:szCs w:val="15"/>
                <w:color w:val="auto"/>
              </w:rPr>
              <w:t>Fortrea</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Bonus Plan</w:t>
            </w:r>
          </w:p>
        </w:tc>
        <w:tc>
          <w:tcPr>
            <w:tcW w:w="10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$ 825,000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auto"/>
                <w:w w:val="98"/>
              </w:rPr>
              <w:t>1,650,000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3,300,000</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2025 PSUs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8/4/2025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208,333</w:t>
            </w:r>
          </w:p>
        </w:tc>
        <w:tc>
          <w:tcPr>
            <w:tcW w:w="680" w:type="dxa"/>
            <w:vAlign w:val="bottom"/>
          </w:tcPr>
          <w:p>
            <w:pPr>
              <w:jc w:val="right"/>
              <w:spacing w:after="0"/>
              <w:rPr>
                <w:sz w:val="20"/>
                <w:szCs w:val="20"/>
                <w:color w:val="auto"/>
              </w:rPr>
            </w:pPr>
            <w:r>
              <w:rPr>
                <w:rFonts w:ascii="Arial" w:cs="Arial" w:eastAsia="Arial" w:hAnsi="Arial"/>
                <w:sz w:val="15"/>
                <w:szCs w:val="15"/>
                <w:color w:val="auto"/>
              </w:rPr>
              <w:t>416,667</w:t>
            </w:r>
          </w:p>
        </w:tc>
        <w:tc>
          <w:tcPr>
            <w:tcW w:w="740" w:type="dxa"/>
            <w:vAlign w:val="bottom"/>
          </w:tcPr>
          <w:p>
            <w:pPr>
              <w:jc w:val="right"/>
              <w:spacing w:after="0"/>
              <w:rPr>
                <w:sz w:val="20"/>
                <w:szCs w:val="20"/>
                <w:color w:val="auto"/>
              </w:rPr>
            </w:pPr>
            <w:r>
              <w:rPr>
                <w:rFonts w:ascii="Arial" w:cs="Arial" w:eastAsia="Arial" w:hAnsi="Arial"/>
                <w:sz w:val="15"/>
                <w:szCs w:val="15"/>
                <w:color w:val="auto"/>
              </w:rPr>
              <w:t>833,333</w:t>
            </w:r>
          </w:p>
        </w:tc>
        <w:tc>
          <w:tcPr>
            <w:tcW w:w="880" w:type="dxa"/>
            <w:vAlign w:val="bottom"/>
          </w:tcPr>
          <w:p>
            <w:pPr>
              <w:spacing w:after="0"/>
              <w:rPr>
                <w:sz w:val="16"/>
                <w:szCs w:val="16"/>
                <w:color w:val="auto"/>
              </w:rPr>
            </w:pPr>
          </w:p>
        </w:tc>
        <w:tc>
          <w:tcPr>
            <w:tcW w:w="960" w:type="dxa"/>
            <w:vAlign w:val="bottom"/>
            <w:gridSpan w:val="2"/>
          </w:tcPr>
          <w:p>
            <w:pPr>
              <w:jc w:val="right"/>
              <w:ind w:right="45"/>
              <w:spacing w:after="0"/>
              <w:rPr>
                <w:sz w:val="20"/>
                <w:szCs w:val="20"/>
                <w:color w:val="auto"/>
              </w:rPr>
            </w:pPr>
            <w:r>
              <w:rPr>
                <w:rFonts w:ascii="Arial" w:cs="Arial" w:eastAsia="Arial" w:hAnsi="Arial"/>
                <w:sz w:val="15"/>
                <w:szCs w:val="15"/>
                <w:color w:val="auto"/>
              </w:rPr>
              <w:t>$ 2,454,169</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2025 RSUs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8/4/2025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1,250,000</w:t>
            </w:r>
          </w:p>
        </w:tc>
        <w:tc>
          <w:tcPr>
            <w:tcW w:w="960" w:type="dxa"/>
            <w:vAlign w:val="bottom"/>
            <w:gridSpan w:val="2"/>
          </w:tcPr>
          <w:p>
            <w:pPr>
              <w:jc w:val="right"/>
              <w:ind w:right="45"/>
              <w:spacing w:after="0"/>
              <w:rPr>
                <w:sz w:val="20"/>
                <w:szCs w:val="20"/>
                <w:color w:val="auto"/>
              </w:rPr>
            </w:pPr>
            <w:r>
              <w:rPr>
                <w:rFonts w:ascii="Arial" w:cs="Arial" w:eastAsia="Arial" w:hAnsi="Arial"/>
                <w:sz w:val="15"/>
                <w:szCs w:val="15"/>
                <w:color w:val="auto"/>
              </w:rPr>
              <w:t>$ 8,025,000</w:t>
            </w:r>
          </w:p>
        </w:tc>
        <w:tc>
          <w:tcPr>
            <w:tcW w:w="0" w:type="dxa"/>
            <w:vAlign w:val="bottom"/>
          </w:tcPr>
          <w:p>
            <w:pPr>
              <w:spacing w:after="0"/>
              <w:rPr>
                <w:sz w:val="1"/>
                <w:szCs w:val="1"/>
                <w:color w:val="auto"/>
              </w:rPr>
            </w:pPr>
          </w:p>
        </w:tc>
      </w:tr>
      <w:tr>
        <w:trPr>
          <w:trHeight w:val="175"/>
        </w:trPr>
        <w:tc>
          <w:tcPr>
            <w:tcW w:w="2580" w:type="dxa"/>
            <w:vAlign w:val="bottom"/>
            <w:shd w:val="clear" w:color="auto" w:fill="EDEDED"/>
          </w:tcPr>
          <w:p>
            <w:pPr>
              <w:ind w:left="60"/>
              <w:spacing w:after="0"/>
              <w:rPr>
                <w:sz w:val="20"/>
                <w:szCs w:val="20"/>
                <w:color w:val="auto"/>
              </w:rPr>
            </w:pPr>
            <w:r>
              <w:rPr>
                <w:rFonts w:ascii="Arial" w:cs="Arial" w:eastAsia="Arial" w:hAnsi="Arial"/>
                <w:sz w:val="15"/>
                <w:szCs w:val="15"/>
                <w:color w:val="auto"/>
              </w:rPr>
              <w:t>Jill McConnell</w:t>
            </w: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Fortrea</w:t>
            </w:r>
          </w:p>
        </w:tc>
        <w:tc>
          <w:tcPr>
            <w:tcW w:w="1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800" w:type="dxa"/>
            <w:vAlign w:val="bottom"/>
            <w:shd w:val="clear" w:color="auto" w:fill="EDEDED"/>
          </w:tcPr>
          <w:p>
            <w:pPr>
              <w:spacing w:after="0"/>
              <w:rPr>
                <w:sz w:val="15"/>
                <w:szCs w:val="15"/>
                <w:color w:val="auto"/>
              </w:rPr>
            </w:pPr>
          </w:p>
        </w:tc>
        <w:tc>
          <w:tcPr>
            <w:tcW w:w="220" w:type="dxa"/>
            <w:vAlign w:val="bottom"/>
            <w:shd w:val="clear" w:color="auto" w:fill="EDEDED"/>
          </w:tcPr>
          <w:p>
            <w:pPr>
              <w:spacing w:after="0"/>
              <w:rPr>
                <w:sz w:val="15"/>
                <w:szCs w:val="15"/>
                <w:color w:val="auto"/>
              </w:rPr>
            </w:pPr>
          </w:p>
        </w:tc>
        <w:tc>
          <w:tcPr>
            <w:tcW w:w="840" w:type="dxa"/>
            <w:vAlign w:val="bottom"/>
            <w:shd w:val="clear" w:color="auto" w:fill="EDEDED"/>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800" w:type="dxa"/>
            <w:vAlign w:val="bottom"/>
            <w:shd w:val="clear" w:color="auto" w:fill="EDEDED"/>
          </w:tcPr>
          <w:p>
            <w:pPr>
              <w:spacing w:after="0"/>
              <w:rPr>
                <w:sz w:val="15"/>
                <w:szCs w:val="15"/>
                <w:color w:val="auto"/>
              </w:rPr>
            </w:pPr>
          </w:p>
        </w:tc>
        <w:tc>
          <w:tcPr>
            <w:tcW w:w="680" w:type="dxa"/>
            <w:vAlign w:val="bottom"/>
            <w:shd w:val="clear" w:color="auto" w:fill="EDEDED"/>
          </w:tcPr>
          <w:p>
            <w:pPr>
              <w:spacing w:after="0"/>
              <w:rPr>
                <w:sz w:val="15"/>
                <w:szCs w:val="15"/>
                <w:color w:val="auto"/>
              </w:rPr>
            </w:pPr>
          </w:p>
        </w:tc>
        <w:tc>
          <w:tcPr>
            <w:tcW w:w="740" w:type="dxa"/>
            <w:vAlign w:val="bottom"/>
            <w:shd w:val="clear" w:color="auto" w:fill="EDEDED"/>
          </w:tcPr>
          <w:p>
            <w:pPr>
              <w:spacing w:after="0"/>
              <w:rPr>
                <w:sz w:val="15"/>
                <w:szCs w:val="15"/>
                <w:color w:val="auto"/>
              </w:rPr>
            </w:pPr>
          </w:p>
        </w:tc>
        <w:tc>
          <w:tcPr>
            <w:tcW w:w="88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EDEDED"/>
          </w:tcPr>
          <w:p>
            <w:pPr>
              <w:spacing w:after="0"/>
              <w:rPr>
                <w:sz w:val="16"/>
                <w:szCs w:val="16"/>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Bonus Plan</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$ 216,325</w:t>
            </w:r>
          </w:p>
        </w:tc>
        <w:tc>
          <w:tcPr>
            <w:tcW w:w="22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432,650</w:t>
            </w:r>
          </w:p>
        </w:tc>
        <w:tc>
          <w:tcPr>
            <w:tcW w:w="100" w:type="dxa"/>
            <w:vAlign w:val="bottom"/>
            <w:shd w:val="clear" w:color="auto" w:fill="EDEDED"/>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865,300</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580" w:type="dxa"/>
            <w:vAlign w:val="bottom"/>
            <w:shd w:val="clear" w:color="auto" w:fill="EDEDED"/>
          </w:tcPr>
          <w:p>
            <w:pPr>
              <w:spacing w:after="0"/>
              <w:rPr>
                <w:sz w:val="16"/>
                <w:szCs w:val="16"/>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2024 PSUs</w:t>
            </w:r>
          </w:p>
        </w:tc>
        <w:tc>
          <w:tcPr>
            <w:tcW w:w="860" w:type="dxa"/>
            <w:vAlign w:val="bottom"/>
            <w:gridSpan w:val="2"/>
            <w:shd w:val="clear" w:color="auto" w:fill="EDEDED"/>
          </w:tcPr>
          <w:p>
            <w:pPr>
              <w:jc w:val="right"/>
              <w:ind w:right="6"/>
              <w:spacing w:after="0"/>
              <w:rPr>
                <w:sz w:val="20"/>
                <w:szCs w:val="20"/>
                <w:color w:val="auto"/>
              </w:rPr>
            </w:pPr>
            <w:r>
              <w:rPr>
                <w:rFonts w:ascii="Arial" w:cs="Arial" w:eastAsia="Arial" w:hAnsi="Arial"/>
                <w:sz w:val="15"/>
                <w:szCs w:val="15"/>
                <w:color w:val="auto"/>
              </w:rPr>
              <w:t>3/20/2025</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6"/>
                <w:szCs w:val="16"/>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1,908</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3,816</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7,632</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26,979</w:t>
            </w:r>
          </w:p>
        </w:tc>
        <w:tc>
          <w:tcPr>
            <w:tcW w:w="0" w:type="dxa"/>
            <w:vAlign w:val="bottom"/>
          </w:tcPr>
          <w:p>
            <w:pPr>
              <w:spacing w:after="0"/>
              <w:rPr>
                <w:sz w:val="1"/>
                <w:szCs w:val="1"/>
                <w:color w:val="auto"/>
              </w:rPr>
            </w:pPr>
          </w:p>
        </w:tc>
      </w:tr>
      <w:tr>
        <w:trPr>
          <w:trHeight w:val="189"/>
        </w:trPr>
        <w:tc>
          <w:tcPr>
            <w:tcW w:w="2580" w:type="dxa"/>
            <w:vAlign w:val="bottom"/>
            <w:shd w:val="clear" w:color="auto" w:fill="EDEDED"/>
          </w:tcPr>
          <w:p>
            <w:pPr>
              <w:spacing w:after="0"/>
              <w:rPr>
                <w:sz w:val="16"/>
                <w:szCs w:val="16"/>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2025 PSUs</w:t>
            </w:r>
          </w:p>
        </w:tc>
        <w:tc>
          <w:tcPr>
            <w:tcW w:w="860" w:type="dxa"/>
            <w:vAlign w:val="bottom"/>
            <w:gridSpan w:val="2"/>
            <w:shd w:val="clear" w:color="auto" w:fill="EDEDED"/>
          </w:tcPr>
          <w:p>
            <w:pPr>
              <w:jc w:val="right"/>
              <w:ind w:right="6"/>
              <w:spacing w:after="0"/>
              <w:rPr>
                <w:sz w:val="20"/>
                <w:szCs w:val="20"/>
                <w:color w:val="auto"/>
              </w:rPr>
            </w:pPr>
            <w:r>
              <w:rPr>
                <w:rFonts w:ascii="Arial" w:cs="Arial" w:eastAsia="Arial" w:hAnsi="Arial"/>
                <w:sz w:val="15"/>
                <w:szCs w:val="15"/>
                <w:color w:val="auto"/>
              </w:rPr>
              <w:t>3/20/2025</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6"/>
                <w:szCs w:val="16"/>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11,890</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23,780</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47,561</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193,331</w:t>
            </w:r>
          </w:p>
        </w:tc>
        <w:tc>
          <w:tcPr>
            <w:tcW w:w="0" w:type="dxa"/>
            <w:vAlign w:val="bottom"/>
          </w:tcPr>
          <w:p>
            <w:pPr>
              <w:spacing w:after="0"/>
              <w:rPr>
                <w:sz w:val="1"/>
                <w:szCs w:val="1"/>
                <w:color w:val="auto"/>
              </w:rPr>
            </w:pPr>
          </w:p>
        </w:tc>
      </w:tr>
      <w:tr>
        <w:trPr>
          <w:trHeight w:val="189"/>
        </w:trPr>
        <w:tc>
          <w:tcPr>
            <w:tcW w:w="2580" w:type="dxa"/>
            <w:vAlign w:val="bottom"/>
            <w:shd w:val="clear" w:color="auto" w:fill="EDEDED"/>
          </w:tcPr>
          <w:p>
            <w:pPr>
              <w:spacing w:after="0"/>
              <w:rPr>
                <w:sz w:val="16"/>
                <w:szCs w:val="16"/>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2025 RSUs</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3/6/2025</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6"/>
                <w:szCs w:val="16"/>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14,313</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153,006</w:t>
            </w:r>
          </w:p>
        </w:tc>
        <w:tc>
          <w:tcPr>
            <w:tcW w:w="0" w:type="dxa"/>
            <w:vAlign w:val="bottom"/>
          </w:tcPr>
          <w:p>
            <w:pPr>
              <w:spacing w:after="0"/>
              <w:rPr>
                <w:sz w:val="1"/>
                <w:szCs w:val="1"/>
                <w:color w:val="auto"/>
              </w:rPr>
            </w:pPr>
          </w:p>
        </w:tc>
      </w:tr>
      <w:tr>
        <w:trPr>
          <w:trHeight w:val="206"/>
        </w:trPr>
        <w:tc>
          <w:tcPr>
            <w:tcW w:w="2580" w:type="dxa"/>
            <w:vAlign w:val="bottom"/>
            <w:shd w:val="clear" w:color="auto" w:fill="EDEDED"/>
          </w:tcPr>
          <w:p>
            <w:pPr>
              <w:spacing w:after="0"/>
              <w:rPr>
                <w:sz w:val="17"/>
                <w:szCs w:val="17"/>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2025 RSUs</w:t>
            </w:r>
          </w:p>
        </w:tc>
        <w:tc>
          <w:tcPr>
            <w:tcW w:w="100" w:type="dxa"/>
            <w:vAlign w:val="bottom"/>
            <w:shd w:val="clear" w:color="auto" w:fill="EDEDED"/>
          </w:tcPr>
          <w:p>
            <w:pPr>
              <w:spacing w:after="0"/>
              <w:rPr>
                <w:sz w:val="17"/>
                <w:szCs w:val="17"/>
                <w:color w:val="auto"/>
              </w:rPr>
            </w:pPr>
          </w:p>
        </w:tc>
        <w:tc>
          <w:tcPr>
            <w:tcW w:w="76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3/7/2025</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7"/>
                <w:szCs w:val="17"/>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7"/>
                <w:szCs w:val="17"/>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45,850</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489,678</w:t>
            </w:r>
          </w:p>
        </w:tc>
        <w:tc>
          <w:tcPr>
            <w:tcW w:w="0" w:type="dxa"/>
            <w:vAlign w:val="bottom"/>
          </w:tcPr>
          <w:p>
            <w:pPr>
              <w:spacing w:after="0"/>
              <w:rPr>
                <w:sz w:val="1"/>
                <w:szCs w:val="1"/>
                <w:color w:val="auto"/>
              </w:rPr>
            </w:pPr>
          </w:p>
        </w:tc>
      </w:tr>
      <w:tr>
        <w:trPr>
          <w:trHeight w:val="172"/>
        </w:trPr>
        <w:tc>
          <w:tcPr>
            <w:tcW w:w="2580" w:type="dxa"/>
            <w:vAlign w:val="bottom"/>
          </w:tcPr>
          <w:p>
            <w:pPr>
              <w:ind w:left="60"/>
              <w:spacing w:after="0"/>
              <w:rPr>
                <w:sz w:val="20"/>
                <w:szCs w:val="20"/>
                <w:color w:val="auto"/>
              </w:rPr>
            </w:pPr>
            <w:r>
              <w:rPr>
                <w:rFonts w:ascii="Arial" w:cs="Arial" w:eastAsia="Arial" w:hAnsi="Arial"/>
                <w:sz w:val="15"/>
                <w:szCs w:val="15"/>
                <w:color w:val="auto"/>
              </w:rPr>
              <w:t>Mark Morais</w:t>
            </w:r>
          </w:p>
        </w:tc>
        <w:tc>
          <w:tcPr>
            <w:tcW w:w="800" w:type="dxa"/>
            <w:vAlign w:val="bottom"/>
          </w:tcPr>
          <w:p>
            <w:pPr>
              <w:spacing w:after="0"/>
              <w:rPr>
                <w:sz w:val="20"/>
                <w:szCs w:val="20"/>
                <w:color w:val="auto"/>
              </w:rPr>
            </w:pPr>
            <w:r>
              <w:rPr>
                <w:rFonts w:ascii="Arial" w:cs="Arial" w:eastAsia="Arial" w:hAnsi="Arial"/>
                <w:sz w:val="15"/>
                <w:szCs w:val="15"/>
                <w:color w:val="auto"/>
              </w:rPr>
              <w:t>Fortrea</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Bonus Plan</w:t>
            </w:r>
          </w:p>
        </w:tc>
        <w:tc>
          <w:tcPr>
            <w:tcW w:w="10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$ 216,325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432,650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865,300</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2024 PSUs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3/20/2025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1,908</w:t>
            </w:r>
          </w:p>
        </w:tc>
        <w:tc>
          <w:tcPr>
            <w:tcW w:w="680" w:type="dxa"/>
            <w:vAlign w:val="bottom"/>
          </w:tcPr>
          <w:p>
            <w:pPr>
              <w:jc w:val="right"/>
              <w:spacing w:after="0"/>
              <w:rPr>
                <w:sz w:val="20"/>
                <w:szCs w:val="20"/>
                <w:color w:val="auto"/>
              </w:rPr>
            </w:pPr>
            <w:r>
              <w:rPr>
                <w:rFonts w:ascii="Arial" w:cs="Arial" w:eastAsia="Arial" w:hAnsi="Arial"/>
                <w:sz w:val="15"/>
                <w:szCs w:val="15"/>
                <w:color w:val="auto"/>
              </w:rPr>
              <w:t>3,816</w:t>
            </w:r>
          </w:p>
        </w:tc>
        <w:tc>
          <w:tcPr>
            <w:tcW w:w="740" w:type="dxa"/>
            <w:vAlign w:val="bottom"/>
          </w:tcPr>
          <w:p>
            <w:pPr>
              <w:jc w:val="right"/>
              <w:spacing w:after="0"/>
              <w:rPr>
                <w:sz w:val="20"/>
                <w:szCs w:val="20"/>
                <w:color w:val="auto"/>
              </w:rPr>
            </w:pPr>
            <w:r>
              <w:rPr>
                <w:rFonts w:ascii="Arial" w:cs="Arial" w:eastAsia="Arial" w:hAnsi="Arial"/>
                <w:sz w:val="15"/>
                <w:szCs w:val="15"/>
                <w:color w:val="auto"/>
              </w:rPr>
              <w:t>7,632</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26,979</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2025 PSUs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3/20/2025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10,865</w:t>
            </w:r>
          </w:p>
        </w:tc>
        <w:tc>
          <w:tcPr>
            <w:tcW w:w="680" w:type="dxa"/>
            <w:vAlign w:val="bottom"/>
          </w:tcPr>
          <w:p>
            <w:pPr>
              <w:jc w:val="right"/>
              <w:spacing w:after="0"/>
              <w:rPr>
                <w:sz w:val="20"/>
                <w:szCs w:val="20"/>
                <w:color w:val="auto"/>
              </w:rPr>
            </w:pPr>
            <w:r>
              <w:rPr>
                <w:rFonts w:ascii="Arial" w:cs="Arial" w:eastAsia="Arial" w:hAnsi="Arial"/>
                <w:sz w:val="15"/>
                <w:szCs w:val="15"/>
                <w:color w:val="auto"/>
              </w:rPr>
              <w:t>21,730</w:t>
            </w:r>
          </w:p>
        </w:tc>
        <w:tc>
          <w:tcPr>
            <w:tcW w:w="740" w:type="dxa"/>
            <w:vAlign w:val="bottom"/>
          </w:tcPr>
          <w:p>
            <w:pPr>
              <w:jc w:val="right"/>
              <w:spacing w:after="0"/>
              <w:rPr>
                <w:sz w:val="20"/>
                <w:szCs w:val="20"/>
                <w:color w:val="auto"/>
              </w:rPr>
            </w:pPr>
            <w:r>
              <w:rPr>
                <w:rFonts w:ascii="Arial" w:cs="Arial" w:eastAsia="Arial" w:hAnsi="Arial"/>
                <w:sz w:val="15"/>
                <w:szCs w:val="15"/>
                <w:color w:val="auto"/>
              </w:rPr>
              <w:t>43,461</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176,665</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2025 RSUs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3/6/2025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14,313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153,006</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2026 RSUs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3/7/2025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41,898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447,471</w:t>
            </w:r>
          </w:p>
        </w:tc>
        <w:tc>
          <w:tcPr>
            <w:tcW w:w="0" w:type="dxa"/>
            <w:vAlign w:val="bottom"/>
          </w:tcPr>
          <w:p>
            <w:pPr>
              <w:spacing w:after="0"/>
              <w:rPr>
                <w:sz w:val="1"/>
                <w:szCs w:val="1"/>
                <w:color w:val="auto"/>
              </w:rPr>
            </w:pPr>
          </w:p>
        </w:tc>
      </w:tr>
      <w:tr>
        <w:trPr>
          <w:trHeight w:val="175"/>
        </w:trPr>
        <w:tc>
          <w:tcPr>
            <w:tcW w:w="2580" w:type="dxa"/>
            <w:vAlign w:val="bottom"/>
            <w:shd w:val="clear" w:color="auto" w:fill="EDEDED"/>
          </w:tcPr>
          <w:p>
            <w:pPr>
              <w:ind w:left="60"/>
              <w:spacing w:after="0"/>
              <w:rPr>
                <w:sz w:val="20"/>
                <w:szCs w:val="20"/>
                <w:color w:val="auto"/>
              </w:rPr>
            </w:pPr>
            <w:r>
              <w:rPr>
                <w:rFonts w:ascii="Arial" w:cs="Arial" w:eastAsia="Arial" w:hAnsi="Arial"/>
                <w:sz w:val="15"/>
                <w:szCs w:val="15"/>
                <w:color w:val="auto"/>
              </w:rPr>
              <w:t>Thomas Pike</w:t>
            </w:r>
            <w:r>
              <w:rPr>
                <w:rFonts w:ascii="Arial" w:cs="Arial" w:eastAsia="Arial" w:hAnsi="Arial"/>
                <w:sz w:val="11"/>
                <w:szCs w:val="11"/>
                <w:color w:val="auto"/>
              </w:rPr>
              <w:t>(5)</w:t>
            </w: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Fortrea</w:t>
            </w:r>
          </w:p>
        </w:tc>
        <w:tc>
          <w:tcPr>
            <w:tcW w:w="1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800" w:type="dxa"/>
            <w:vAlign w:val="bottom"/>
            <w:shd w:val="clear" w:color="auto" w:fill="EDEDED"/>
          </w:tcPr>
          <w:p>
            <w:pPr>
              <w:spacing w:after="0"/>
              <w:rPr>
                <w:sz w:val="15"/>
                <w:szCs w:val="15"/>
                <w:color w:val="auto"/>
              </w:rPr>
            </w:pPr>
          </w:p>
        </w:tc>
        <w:tc>
          <w:tcPr>
            <w:tcW w:w="220" w:type="dxa"/>
            <w:vAlign w:val="bottom"/>
            <w:shd w:val="clear" w:color="auto" w:fill="EDEDED"/>
          </w:tcPr>
          <w:p>
            <w:pPr>
              <w:spacing w:after="0"/>
              <w:rPr>
                <w:sz w:val="15"/>
                <w:szCs w:val="15"/>
                <w:color w:val="auto"/>
              </w:rPr>
            </w:pPr>
          </w:p>
        </w:tc>
        <w:tc>
          <w:tcPr>
            <w:tcW w:w="840" w:type="dxa"/>
            <w:vAlign w:val="bottom"/>
            <w:shd w:val="clear" w:color="auto" w:fill="EDEDED"/>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800" w:type="dxa"/>
            <w:vAlign w:val="bottom"/>
            <w:shd w:val="clear" w:color="auto" w:fill="EDEDED"/>
          </w:tcPr>
          <w:p>
            <w:pPr>
              <w:spacing w:after="0"/>
              <w:rPr>
                <w:sz w:val="15"/>
                <w:szCs w:val="15"/>
                <w:color w:val="auto"/>
              </w:rPr>
            </w:pPr>
          </w:p>
        </w:tc>
        <w:tc>
          <w:tcPr>
            <w:tcW w:w="680" w:type="dxa"/>
            <w:vAlign w:val="bottom"/>
            <w:shd w:val="clear" w:color="auto" w:fill="EDEDED"/>
          </w:tcPr>
          <w:p>
            <w:pPr>
              <w:spacing w:after="0"/>
              <w:rPr>
                <w:sz w:val="15"/>
                <w:szCs w:val="15"/>
                <w:color w:val="auto"/>
              </w:rPr>
            </w:pPr>
          </w:p>
        </w:tc>
        <w:tc>
          <w:tcPr>
            <w:tcW w:w="740" w:type="dxa"/>
            <w:vAlign w:val="bottom"/>
            <w:shd w:val="clear" w:color="auto" w:fill="EDEDED"/>
          </w:tcPr>
          <w:p>
            <w:pPr>
              <w:spacing w:after="0"/>
              <w:rPr>
                <w:sz w:val="15"/>
                <w:szCs w:val="15"/>
                <w:color w:val="auto"/>
              </w:rPr>
            </w:pPr>
          </w:p>
        </w:tc>
        <w:tc>
          <w:tcPr>
            <w:tcW w:w="88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76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EDEDED"/>
          </w:tcPr>
          <w:p>
            <w:pPr>
              <w:spacing w:after="0"/>
              <w:rPr>
                <w:sz w:val="16"/>
                <w:szCs w:val="16"/>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Bonus Plan</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6"/>
                <w:szCs w:val="16"/>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spacing w:after="0"/>
              <w:rPr>
                <w:sz w:val="16"/>
                <w:szCs w:val="16"/>
                <w:color w:val="auto"/>
              </w:rPr>
            </w:pP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580" w:type="dxa"/>
            <w:vAlign w:val="bottom"/>
            <w:shd w:val="clear" w:color="auto" w:fill="EDEDED"/>
          </w:tcPr>
          <w:p>
            <w:pPr>
              <w:spacing w:after="0"/>
              <w:rPr>
                <w:sz w:val="17"/>
                <w:szCs w:val="17"/>
                <w:color w:val="auto"/>
              </w:rPr>
            </w:pPr>
          </w:p>
        </w:tc>
        <w:tc>
          <w:tcPr>
            <w:tcW w:w="800" w:type="dxa"/>
            <w:vAlign w:val="bottom"/>
            <w:shd w:val="clear" w:color="auto" w:fill="EDEDED"/>
          </w:tcPr>
          <w:p>
            <w:pPr>
              <w:spacing w:after="0"/>
              <w:rPr>
                <w:sz w:val="20"/>
                <w:szCs w:val="20"/>
                <w:color w:val="auto"/>
              </w:rPr>
            </w:pPr>
            <w:r>
              <w:rPr>
                <w:rFonts w:ascii="Arial" w:cs="Arial" w:eastAsia="Arial" w:hAnsi="Arial"/>
                <w:sz w:val="15"/>
                <w:szCs w:val="15"/>
                <w:color w:val="auto"/>
              </w:rPr>
              <w:t>2025 RSUs</w:t>
            </w:r>
          </w:p>
        </w:tc>
        <w:tc>
          <w:tcPr>
            <w:tcW w:w="860" w:type="dxa"/>
            <w:vAlign w:val="bottom"/>
            <w:gridSpan w:val="2"/>
            <w:shd w:val="clear" w:color="auto" w:fill="EDEDED"/>
          </w:tcPr>
          <w:p>
            <w:pPr>
              <w:jc w:val="right"/>
              <w:ind w:right="6"/>
              <w:spacing w:after="0"/>
              <w:rPr>
                <w:sz w:val="20"/>
                <w:szCs w:val="20"/>
                <w:color w:val="auto"/>
              </w:rPr>
            </w:pPr>
            <w:r>
              <w:rPr>
                <w:rFonts w:ascii="Arial" w:cs="Arial" w:eastAsia="Arial" w:hAnsi="Arial"/>
                <w:sz w:val="15"/>
                <w:szCs w:val="15"/>
                <w:color w:val="auto"/>
              </w:rPr>
              <w:t>3/20/2025</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EDEDED"/>
          </w:tcPr>
          <w:p>
            <w:pPr>
              <w:spacing w:after="0"/>
              <w:rPr>
                <w:sz w:val="17"/>
                <w:szCs w:val="17"/>
                <w:color w:val="auto"/>
              </w:rPr>
            </w:pPr>
          </w:p>
        </w:tc>
        <w:tc>
          <w:tcPr>
            <w:tcW w:w="840" w:type="dxa"/>
            <w:vAlign w:val="bottom"/>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EDEDED"/>
          </w:tcPr>
          <w:p>
            <w:pPr>
              <w:spacing w:after="0"/>
              <w:rPr>
                <w:sz w:val="17"/>
                <w:szCs w:val="17"/>
                <w:color w:val="auto"/>
              </w:rPr>
            </w:pPr>
          </w:p>
        </w:tc>
        <w:tc>
          <w:tcPr>
            <w:tcW w:w="7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5"/>
                <w:szCs w:val="15"/>
                <w:color w:val="auto"/>
              </w:rPr>
              <w:t>67,731</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DEDED"/>
          </w:tcPr>
          <w:p>
            <w:pPr>
              <w:jc w:val="right"/>
              <w:ind w:right="45"/>
              <w:spacing w:after="0"/>
              <w:rPr>
                <w:sz w:val="20"/>
                <w:szCs w:val="20"/>
                <w:color w:val="auto"/>
              </w:rPr>
            </w:pPr>
            <w:r>
              <w:rPr>
                <w:rFonts w:ascii="Arial" w:cs="Arial" w:eastAsia="Arial" w:hAnsi="Arial"/>
                <w:sz w:val="15"/>
                <w:szCs w:val="15"/>
                <w:color w:val="auto"/>
              </w:rPr>
              <w:t>594,000</w:t>
            </w:r>
          </w:p>
        </w:tc>
        <w:tc>
          <w:tcPr>
            <w:tcW w:w="0" w:type="dxa"/>
            <w:vAlign w:val="bottom"/>
          </w:tcPr>
          <w:p>
            <w:pPr>
              <w:spacing w:after="0"/>
              <w:rPr>
                <w:sz w:val="1"/>
                <w:szCs w:val="1"/>
                <w:color w:val="auto"/>
              </w:rPr>
            </w:pPr>
          </w:p>
        </w:tc>
      </w:tr>
      <w:tr>
        <w:trPr>
          <w:trHeight w:val="172"/>
        </w:trPr>
        <w:tc>
          <w:tcPr>
            <w:tcW w:w="2580" w:type="dxa"/>
            <w:vAlign w:val="bottom"/>
          </w:tcPr>
          <w:p>
            <w:pPr>
              <w:ind w:left="60"/>
              <w:spacing w:after="0"/>
              <w:rPr>
                <w:sz w:val="20"/>
                <w:szCs w:val="20"/>
                <w:color w:val="auto"/>
              </w:rPr>
            </w:pPr>
            <w:r>
              <w:rPr>
                <w:rFonts w:ascii="Arial" w:cs="Arial" w:eastAsia="Arial" w:hAnsi="Arial"/>
                <w:sz w:val="15"/>
                <w:szCs w:val="15"/>
                <w:color w:val="auto"/>
              </w:rPr>
              <w:t>Peter Neupert</w:t>
            </w:r>
            <w:r>
              <w:rPr>
                <w:rFonts w:ascii="Arial" w:cs="Arial" w:eastAsia="Arial" w:hAnsi="Arial"/>
                <w:sz w:val="11"/>
                <w:szCs w:val="11"/>
                <w:color w:val="auto"/>
              </w:rPr>
              <w:t>(6)</w:t>
            </w:r>
          </w:p>
        </w:tc>
        <w:tc>
          <w:tcPr>
            <w:tcW w:w="800" w:type="dxa"/>
            <w:vAlign w:val="bottom"/>
          </w:tcPr>
          <w:p>
            <w:pPr>
              <w:spacing w:after="0"/>
              <w:rPr>
                <w:sz w:val="20"/>
                <w:szCs w:val="20"/>
                <w:color w:val="auto"/>
              </w:rPr>
            </w:pPr>
            <w:r>
              <w:rPr>
                <w:rFonts w:ascii="Arial" w:cs="Arial" w:eastAsia="Arial" w:hAnsi="Arial"/>
                <w:sz w:val="15"/>
                <w:szCs w:val="15"/>
                <w:color w:val="auto"/>
              </w:rPr>
              <w:t>Fortrea</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Bonus Plan</w:t>
            </w:r>
          </w:p>
        </w:tc>
        <w:tc>
          <w:tcPr>
            <w:tcW w:w="10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2025 RSUs</w:t>
            </w:r>
          </w:p>
        </w:tc>
        <w:tc>
          <w:tcPr>
            <w:tcW w:w="860" w:type="dxa"/>
            <w:vAlign w:val="bottom"/>
            <w:gridSpan w:val="2"/>
          </w:tcPr>
          <w:p>
            <w:pPr>
              <w:jc w:val="right"/>
              <w:ind w:right="6"/>
              <w:spacing w:after="0"/>
              <w:rPr>
                <w:sz w:val="20"/>
                <w:szCs w:val="20"/>
                <w:color w:val="auto"/>
              </w:rPr>
            </w:pPr>
            <w:r>
              <w:rPr>
                <w:rFonts w:ascii="Arial" w:cs="Arial" w:eastAsia="Arial" w:hAnsi="Arial"/>
                <w:sz w:val="15"/>
                <w:szCs w:val="15"/>
                <w:color w:val="auto"/>
              </w:rPr>
              <w:t>5/14/2025</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148,536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710,000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-2969895</wp:posOffset>
            </wp:positionV>
            <wp:extent cx="30518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7" w:lineRule="exact"/>
        <w:rPr>
          <w:sz w:val="20"/>
          <w:szCs w:val="20"/>
          <w:color w:val="auto"/>
        </w:rPr>
      </w:pPr>
    </w:p>
    <w:p>
      <w:pPr>
        <w:ind w:left="440" w:right="160" w:hanging="324"/>
        <w:spacing w:after="0" w:line="259" w:lineRule="auto"/>
        <w:tabs>
          <w:tab w:leader="none" w:pos="4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Amounts represent the range of possible payouts denominated in dollars pursuant to the total amount of the Fortrea Bonus Plan, as established by Fortrea’s Management Development and Compensation Committee in February 2025. For 2025, actual amounts paid out pursuant to the plan were issued as restricted stock units and are included in the Stock Awards column of the Summary Compensation Table above. For a discussion of the performance criteria applicable to these awards, see “Compensation Discussion and Analysis —Annual Incentive Pay.”</w:t>
      </w:r>
    </w:p>
    <w:p>
      <w:pPr>
        <w:spacing w:after="0" w:line="39" w:lineRule="exact"/>
        <w:rPr>
          <w:rFonts w:ascii="Arial" w:cs="Arial" w:eastAsia="Arial" w:hAnsi="Arial"/>
          <w:sz w:val="12"/>
          <w:szCs w:val="12"/>
          <w:color w:val="auto"/>
        </w:rPr>
      </w:pPr>
    </w:p>
    <w:p>
      <w:pPr>
        <w:jc w:val="both"/>
        <w:ind w:left="440" w:right="340" w:hanging="324"/>
        <w:spacing w:after="0" w:line="233"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Estimated Future Payouts Under Equity Incentive Plan Awards represent the range of estimated potential shares to be earned under performance-based share awards. The payout of the performance share awards will be determined at the end of the performance period ending December 31, 2027, provided that certain performance metrics are met. For a discussion of the performance criteria applicable to these awards, see “Compensation Discussion and Analysis—Long-Term Incentive Awards” above.</w:t>
      </w:r>
    </w:p>
    <w:p>
      <w:pPr>
        <w:spacing w:after="0" w:line="50" w:lineRule="exact"/>
        <w:rPr>
          <w:rFonts w:ascii="Arial" w:cs="Arial" w:eastAsia="Arial" w:hAnsi="Arial"/>
          <w:sz w:val="13"/>
          <w:szCs w:val="13"/>
          <w:color w:val="auto"/>
        </w:rPr>
      </w:pPr>
    </w:p>
    <w:p>
      <w:pPr>
        <w:ind w:left="440" w:hanging="324"/>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Amounts represent restricted stock unit awards that vest ratably over three years, beginning on the first anniversary of the grant date, based on continued service.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Amounts represent the grant date fair value of computed in accordance with FASB ASC Topic 718.</w:t>
      </w:r>
    </w:p>
    <w:p>
      <w:pPr>
        <w:spacing w:after="0" w:line="67" w:lineRule="exact"/>
        <w:rPr>
          <w:sz w:val="20"/>
          <w:szCs w:val="20"/>
          <w:color w:val="auto"/>
        </w:rPr>
      </w:pPr>
    </w:p>
    <w:p>
      <w:pPr>
        <w:ind w:left="440" w:right="100" w:hanging="324"/>
        <w:spacing w:after="0" w:line="243"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Under FASB ASC Topic 718, the “grant date” for the PSU occurs only when objectively determinable performance goals are approved and therefore, the reported number of units is calculated for the various portions of the PSUs for which performance goals were set in 2025. The amounts referenced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2"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 xml:space="preserve">FORTREA  •  2026 Proxy Statement   </w:t>
      </w:r>
      <w:r>
        <w:rPr>
          <w:rFonts w:ascii="Arial" w:cs="Arial" w:eastAsia="Arial" w:hAnsi="Arial"/>
          <w:sz w:val="12"/>
          <w:szCs w:val="12"/>
          <w:b w:val="1"/>
          <w:bCs w:val="1"/>
          <w:color w:val="0BC11C"/>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8" w:lineRule="exact"/>
        <w:rPr>
          <w:sz w:val="20"/>
          <w:szCs w:val="20"/>
          <w:color w:val="auto"/>
        </w:rPr>
      </w:pPr>
    </w:p>
    <w:p>
      <w:pPr>
        <w:ind w:left="440" w:right="180"/>
        <w:spacing w:after="0" w:line="233" w:lineRule="auto"/>
        <w:rPr>
          <w:sz w:val="20"/>
          <w:szCs w:val="20"/>
          <w:color w:val="auto"/>
        </w:rPr>
      </w:pPr>
      <w:r>
        <w:rPr>
          <w:rFonts w:ascii="Arial" w:cs="Arial" w:eastAsia="Arial" w:hAnsi="Arial"/>
          <w:sz w:val="13"/>
          <w:szCs w:val="13"/>
          <w:color w:val="auto"/>
        </w:rPr>
        <w:t>footnote (4) represent the first tranche of the 2025 award year, which represent one-third of the total number of PSUs granted to the eligible NEOs. This tranche and subsequent tranches are deemed to be separate “grants” for fair value purposes and each is or will be deemed to have a “grant date” corresponding to when the underlying performance goals are objectively determinable.</w:t>
      </w:r>
    </w:p>
    <w:p>
      <w:pPr>
        <w:spacing w:after="0" w:line="51" w:lineRule="exact"/>
        <w:rPr>
          <w:sz w:val="20"/>
          <w:szCs w:val="20"/>
          <w:color w:val="auto"/>
        </w:rPr>
      </w:pPr>
    </w:p>
    <w:p>
      <w:pPr>
        <w:jc w:val="both"/>
        <w:ind w:left="440" w:right="240" w:hanging="324"/>
        <w:spacing w:after="0" w:line="233" w:lineRule="auto"/>
        <w:tabs>
          <w:tab w:leader="none" w:pos="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amounts shown in this column will likely vary from the amount realized by any NEO based on a number of factors, including the number of shares that ultimately vest, the satisfaction or failure to meet any performance criteria, the timing of any exercise or sale of shares, and the price of Fortrea’s common stock. The value of the PSUs granted in March 2025, as of the grant date if they are achieved at the maximum payout is as follows: Mr. Thakral - $4,908,337; Ms. McConnell - $386,663 and Mr. Morais - $353,330.</w:t>
      </w:r>
    </w:p>
    <w:p>
      <w:pPr>
        <w:spacing w:after="0" w:line="51"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Pike’s employment ended on August 4, 2025.</w:t>
      </w:r>
    </w:p>
    <w:p>
      <w:pPr>
        <w:spacing w:after="0" w:line="66" w:lineRule="exact"/>
        <w:rPr>
          <w:rFonts w:ascii="Arial" w:cs="Arial" w:eastAsia="Arial" w:hAnsi="Arial"/>
          <w:sz w:val="13"/>
          <w:szCs w:val="13"/>
          <w:color w:val="auto"/>
        </w:rPr>
      </w:pPr>
    </w:p>
    <w:p>
      <w:pPr>
        <w:ind w:left="440" w:right="60" w:hanging="324"/>
        <w:spacing w:after="0" w:line="233"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Neupert assumed the role of Interim CEO on May 13, 2025, and received a Restricted Stock Unit award for his time in the role. Mr. Neupert’s stock award was granted to him for the Interim CEO role. Mr. Neupert’s stock award was granted to him for the Interim CEO role. He did not receive the annual equity award that he otherwise would have received based on his Board of Director’s compensation.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auto"/>
        </w:rPr>
        <w:t>The following table provides information concerning outstanding equity awards (including underlying exercisable and unexercisable options, as well as unvested RSUs and unearned PSUs) for each of our NEOs as of December 31, 2025. As of December 31, 2025, the last trading day of 2025, the fair market value of a share of our common stock was $17.25.</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840" w:type="dxa"/>
            <w:vAlign w:val="bottom"/>
            <w:shd w:val="clear" w:color="auto" w:fill="0BC11C"/>
          </w:tcPr>
          <w:p>
            <w:pPr>
              <w:spacing w:after="0"/>
              <w:rPr>
                <w:sz w:val="21"/>
                <w:szCs w:val="21"/>
                <w:color w:val="auto"/>
              </w:rPr>
            </w:pPr>
          </w:p>
        </w:tc>
        <w:tc>
          <w:tcPr>
            <w:tcW w:w="320" w:type="dxa"/>
            <w:vAlign w:val="bottom"/>
            <w:shd w:val="clear" w:color="auto" w:fill="0BC11C"/>
          </w:tcPr>
          <w:p>
            <w:pPr>
              <w:spacing w:after="0"/>
              <w:rPr>
                <w:sz w:val="21"/>
                <w:szCs w:val="21"/>
                <w:color w:val="auto"/>
              </w:rPr>
            </w:pPr>
          </w:p>
        </w:tc>
        <w:tc>
          <w:tcPr>
            <w:tcW w:w="840" w:type="dxa"/>
            <w:vAlign w:val="bottom"/>
            <w:shd w:val="clear" w:color="auto" w:fill="0BC11C"/>
          </w:tcPr>
          <w:p>
            <w:pPr>
              <w:spacing w:after="0"/>
              <w:rPr>
                <w:sz w:val="21"/>
                <w:szCs w:val="21"/>
                <w:color w:val="auto"/>
              </w:rPr>
            </w:pPr>
          </w:p>
        </w:tc>
        <w:tc>
          <w:tcPr>
            <w:tcW w:w="280" w:type="dxa"/>
            <w:vAlign w:val="bottom"/>
            <w:shd w:val="clear" w:color="auto" w:fill="0BC11C"/>
          </w:tcPr>
          <w:p>
            <w:pPr>
              <w:spacing w:after="0"/>
              <w:rPr>
                <w:sz w:val="21"/>
                <w:szCs w:val="21"/>
                <w:color w:val="auto"/>
              </w:rPr>
            </w:pPr>
          </w:p>
        </w:tc>
        <w:tc>
          <w:tcPr>
            <w:tcW w:w="1340" w:type="dxa"/>
            <w:vAlign w:val="bottom"/>
            <w:shd w:val="clear" w:color="auto" w:fill="0BC11C"/>
          </w:tcPr>
          <w:p>
            <w:pPr>
              <w:spacing w:after="0"/>
              <w:rPr>
                <w:sz w:val="21"/>
                <w:szCs w:val="21"/>
                <w:color w:val="auto"/>
              </w:rPr>
            </w:pPr>
          </w:p>
        </w:tc>
        <w:tc>
          <w:tcPr>
            <w:tcW w:w="380" w:type="dxa"/>
            <w:vAlign w:val="bottom"/>
            <w:shd w:val="clear" w:color="auto" w:fill="0BC11C"/>
          </w:tcPr>
          <w:p>
            <w:pPr>
              <w:spacing w:after="0"/>
              <w:rPr>
                <w:sz w:val="21"/>
                <w:szCs w:val="21"/>
                <w:color w:val="auto"/>
              </w:rPr>
            </w:pPr>
          </w:p>
        </w:tc>
        <w:tc>
          <w:tcPr>
            <w:tcW w:w="2640" w:type="dxa"/>
            <w:vAlign w:val="bottom"/>
            <w:gridSpan w:val="2"/>
            <w:shd w:val="clear" w:color="auto" w:fill="0BC11C"/>
          </w:tcPr>
          <w:p>
            <w:pPr>
              <w:jc w:val="right"/>
              <w:ind w:right="864"/>
              <w:spacing w:after="0"/>
              <w:rPr>
                <w:sz w:val="20"/>
                <w:szCs w:val="20"/>
                <w:color w:val="auto"/>
              </w:rPr>
            </w:pPr>
            <w:r>
              <w:rPr>
                <w:rFonts w:ascii="Arial" w:cs="Arial" w:eastAsia="Arial" w:hAnsi="Arial"/>
                <w:sz w:val="13"/>
                <w:szCs w:val="13"/>
                <w:b w:val="1"/>
                <w:bCs w:val="1"/>
                <w:color w:val="FFFFFF"/>
              </w:rPr>
              <w:t>Stock Awards</w:t>
            </w:r>
          </w:p>
        </w:tc>
        <w:tc>
          <w:tcPr>
            <w:tcW w:w="560" w:type="dxa"/>
            <w:vAlign w:val="bottom"/>
            <w:shd w:val="clear" w:color="auto" w:fill="0BC11C"/>
          </w:tcPr>
          <w:p>
            <w:pPr>
              <w:spacing w:after="0"/>
              <w:rPr>
                <w:sz w:val="21"/>
                <w:szCs w:val="21"/>
                <w:color w:val="auto"/>
              </w:rPr>
            </w:pPr>
          </w:p>
        </w:tc>
        <w:tc>
          <w:tcPr>
            <w:tcW w:w="820" w:type="dxa"/>
            <w:vAlign w:val="bottom"/>
            <w:shd w:val="clear" w:color="auto" w:fill="0BC11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3840" w:type="dxa"/>
            <w:vAlign w:val="bottom"/>
            <w:shd w:val="clear" w:color="auto" w:fill="0BC11C"/>
          </w:tcPr>
          <w:p>
            <w:pPr>
              <w:spacing w:after="0"/>
              <w:rPr>
                <w:sz w:val="11"/>
                <w:szCs w:val="11"/>
                <w:color w:val="auto"/>
              </w:rPr>
            </w:pPr>
          </w:p>
        </w:tc>
        <w:tc>
          <w:tcPr>
            <w:tcW w:w="320" w:type="dxa"/>
            <w:vAlign w:val="bottom"/>
            <w:shd w:val="clear" w:color="auto" w:fill="0BC11C"/>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Equity Incentive</w:t>
            </w:r>
          </w:p>
        </w:tc>
        <w:tc>
          <w:tcPr>
            <w:tcW w:w="1400" w:type="dxa"/>
            <w:vAlign w:val="bottom"/>
            <w:gridSpan w:val="3"/>
          </w:tcPr>
          <w:p>
            <w:pPr>
              <w:jc w:val="center"/>
              <w:ind w:left="186"/>
              <w:spacing w:after="0" w:line="134" w:lineRule="exact"/>
              <w:rPr>
                <w:sz w:val="20"/>
                <w:szCs w:val="20"/>
                <w:color w:val="auto"/>
              </w:rPr>
            </w:pPr>
            <w:r>
              <w:rPr>
                <w:rFonts w:ascii="Arial" w:cs="Arial" w:eastAsia="Arial" w:hAnsi="Arial"/>
                <w:sz w:val="13"/>
                <w:szCs w:val="13"/>
                <w:b w:val="1"/>
                <w:bCs w:val="1"/>
                <w:color w:val="FFFFFF"/>
              </w:rPr>
              <w:t xml:space="preserve">Equity Incentive 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0" w:type="dxa"/>
            <w:vAlign w:val="bottom"/>
            <w:gridSpan w:val="3"/>
          </w:tcPr>
          <w:p>
            <w:pPr>
              <w:jc w:val="center"/>
              <w:ind w:left="166"/>
              <w:spacing w:after="0"/>
              <w:rPr>
                <w:sz w:val="20"/>
                <w:szCs w:val="20"/>
                <w:color w:val="auto"/>
              </w:rPr>
            </w:pPr>
            <w:r>
              <w:rPr>
                <w:rFonts w:ascii="Arial" w:cs="Arial" w:eastAsia="Arial" w:hAnsi="Arial"/>
                <w:sz w:val="13"/>
                <w:szCs w:val="13"/>
                <w:b w:val="1"/>
                <w:bCs w:val="1"/>
                <w:color w:val="FFFFFF"/>
              </w:rPr>
              <w:t xml:space="preserve">Plan Awards:   </w:t>
            </w:r>
          </w:p>
        </w:tc>
        <w:tc>
          <w:tcPr>
            <w:tcW w:w="0" w:type="dxa"/>
            <w:vAlign w:val="bottom"/>
          </w:tcPr>
          <w:p>
            <w:pPr>
              <w:spacing w:after="0"/>
              <w:rPr>
                <w:sz w:val="1"/>
                <w:szCs w:val="1"/>
                <w:color w:val="auto"/>
              </w:rPr>
            </w:pPr>
          </w:p>
        </w:tc>
      </w:tr>
      <w:tr>
        <w:trPr>
          <w:trHeight w:val="149"/>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Number of</w:t>
            </w:r>
          </w:p>
        </w:tc>
        <w:tc>
          <w:tcPr>
            <w:tcW w:w="14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FFFFFF"/>
              </w:rPr>
              <w:t>Market Value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Plan Awards:</w:t>
            </w:r>
          </w:p>
        </w:tc>
        <w:tc>
          <w:tcPr>
            <w:tcW w:w="140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FFFFFF"/>
              </w:rPr>
              <w:t xml:space="preserve">Market or 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Number of</w:t>
            </w:r>
          </w:p>
        </w:tc>
        <w:tc>
          <w:tcPr>
            <w:tcW w:w="140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FFFFFF"/>
              </w:rPr>
              <w:t xml:space="preserve">Payout Value of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Shares or</w:t>
            </w: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FFFFFF"/>
              </w:rPr>
              <w:t>of Shares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Unearned</w:t>
            </w:r>
          </w:p>
        </w:tc>
        <w:tc>
          <w:tcPr>
            <w:tcW w:w="140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FFFFFF"/>
              </w:rPr>
              <w:t xml:space="preserve">Unearned 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Units of</w:t>
            </w:r>
          </w:p>
        </w:tc>
        <w:tc>
          <w:tcPr>
            <w:tcW w:w="380" w:type="dxa"/>
            <w:vAlign w:val="bottom"/>
          </w:tcPr>
          <w:p>
            <w:pPr>
              <w:spacing w:after="0"/>
              <w:rPr>
                <w:sz w:val="12"/>
                <w:szCs w:val="12"/>
                <w:color w:val="auto"/>
              </w:rPr>
            </w:pPr>
          </w:p>
        </w:tc>
        <w:tc>
          <w:tcPr>
            <w:tcW w:w="1080" w:type="dxa"/>
            <w:vAlign w:val="bottom"/>
          </w:tcPr>
          <w:p>
            <w:pPr>
              <w:jc w:val="center"/>
              <w:ind w:right="322"/>
              <w:spacing w:after="0"/>
              <w:rPr>
                <w:sz w:val="20"/>
                <w:szCs w:val="20"/>
                <w:color w:val="auto"/>
              </w:rPr>
            </w:pPr>
            <w:r>
              <w:rPr>
                <w:rFonts w:ascii="Arial" w:cs="Arial" w:eastAsia="Arial" w:hAnsi="Arial"/>
                <w:sz w:val="13"/>
                <w:szCs w:val="13"/>
                <w:b w:val="1"/>
                <w:bCs w:val="1"/>
                <w:color w:val="FFFFFF"/>
              </w:rPr>
              <w:t>Units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Shares, Units or</w:t>
            </w:r>
          </w:p>
        </w:tc>
        <w:tc>
          <w:tcPr>
            <w:tcW w:w="140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FFFFFF"/>
              </w:rPr>
              <w:t xml:space="preserve">Shares, Units or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Stock that</w:t>
            </w:r>
          </w:p>
        </w:tc>
        <w:tc>
          <w:tcPr>
            <w:tcW w:w="380" w:type="dxa"/>
            <w:vAlign w:val="bottom"/>
          </w:tcPr>
          <w:p>
            <w:pPr>
              <w:spacing w:after="0"/>
              <w:rPr>
                <w:sz w:val="12"/>
                <w:szCs w:val="12"/>
                <w:color w:val="auto"/>
              </w:rPr>
            </w:pPr>
          </w:p>
        </w:tc>
        <w:tc>
          <w:tcPr>
            <w:tcW w:w="1080" w:type="dxa"/>
            <w:vAlign w:val="bottom"/>
          </w:tcPr>
          <w:p>
            <w:pPr>
              <w:jc w:val="center"/>
              <w:ind w:right="322"/>
              <w:spacing w:after="0"/>
              <w:rPr>
                <w:sz w:val="20"/>
                <w:szCs w:val="20"/>
                <w:color w:val="auto"/>
              </w:rPr>
            </w:pPr>
            <w:r>
              <w:rPr>
                <w:rFonts w:ascii="Arial" w:cs="Arial" w:eastAsia="Arial" w:hAnsi="Arial"/>
                <w:sz w:val="13"/>
                <w:szCs w:val="13"/>
                <w:b w:val="1"/>
                <w:bCs w:val="1"/>
                <w:color w:val="FFFFFF"/>
              </w:rPr>
              <w:t>Stock that</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Other Rights</w:t>
            </w:r>
          </w:p>
        </w:tc>
        <w:tc>
          <w:tcPr>
            <w:tcW w:w="1400" w:type="dxa"/>
            <w:vAlign w:val="bottom"/>
            <w:gridSpan w:val="3"/>
          </w:tcPr>
          <w:p>
            <w:pPr>
              <w:jc w:val="center"/>
              <w:ind w:left="166"/>
              <w:spacing w:after="0"/>
              <w:rPr>
                <w:sz w:val="20"/>
                <w:szCs w:val="20"/>
                <w:color w:val="auto"/>
              </w:rPr>
            </w:pPr>
            <w:r>
              <w:rPr>
                <w:rFonts w:ascii="Arial" w:cs="Arial" w:eastAsia="Arial" w:hAnsi="Arial"/>
                <w:sz w:val="13"/>
                <w:szCs w:val="13"/>
                <w:b w:val="1"/>
                <w:bCs w:val="1"/>
                <w:color w:val="FFFFFF"/>
              </w:rPr>
              <w:t xml:space="preserve">Other Rights   </w:t>
            </w:r>
          </w:p>
        </w:tc>
        <w:tc>
          <w:tcPr>
            <w:tcW w:w="0" w:type="dxa"/>
            <w:vAlign w:val="bottom"/>
          </w:tcPr>
          <w:p>
            <w:pPr>
              <w:spacing w:after="0"/>
              <w:rPr>
                <w:sz w:val="1"/>
                <w:szCs w:val="1"/>
                <w:color w:val="auto"/>
              </w:rPr>
            </w:pPr>
          </w:p>
        </w:tc>
      </w:tr>
      <w:tr>
        <w:trPr>
          <w:trHeight w:val="148"/>
        </w:trPr>
        <w:tc>
          <w:tcPr>
            <w:tcW w:w="3840" w:type="dxa"/>
            <w:vAlign w:val="bottom"/>
            <w:shd w:val="clear" w:color="auto" w:fill="0BC11C"/>
          </w:tcPr>
          <w:p>
            <w:pPr>
              <w:spacing w:after="0"/>
              <w:rPr>
                <w:sz w:val="12"/>
                <w:szCs w:val="12"/>
                <w:color w:val="auto"/>
              </w:rPr>
            </w:pPr>
          </w:p>
        </w:tc>
        <w:tc>
          <w:tcPr>
            <w:tcW w:w="320" w:type="dxa"/>
            <w:vAlign w:val="bottom"/>
            <w:shd w:val="clear" w:color="auto" w:fill="0BC11C"/>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have Not</w:t>
            </w:r>
          </w:p>
        </w:tc>
        <w:tc>
          <w:tcPr>
            <w:tcW w:w="1460" w:type="dxa"/>
            <w:vAlign w:val="bottom"/>
            <w:gridSpan w:val="2"/>
          </w:tcPr>
          <w:p>
            <w:pPr>
              <w:ind w:left="320"/>
              <w:spacing w:after="0"/>
              <w:rPr>
                <w:sz w:val="20"/>
                <w:szCs w:val="20"/>
                <w:color w:val="auto"/>
              </w:rPr>
            </w:pPr>
            <w:r>
              <w:rPr>
                <w:rFonts w:ascii="Arial" w:cs="Arial" w:eastAsia="Arial" w:hAnsi="Arial"/>
                <w:sz w:val="13"/>
                <w:szCs w:val="13"/>
                <w:b w:val="1"/>
                <w:bCs w:val="1"/>
                <w:color w:val="FFFFFF"/>
              </w:rPr>
              <w:t>have Not Yet</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That Have Not</w:t>
            </w:r>
          </w:p>
        </w:tc>
        <w:tc>
          <w:tcPr>
            <w:tcW w:w="1400" w:type="dxa"/>
            <w:vAlign w:val="bottom"/>
            <w:gridSpan w:val="3"/>
          </w:tcPr>
          <w:p>
            <w:pPr>
              <w:jc w:val="center"/>
              <w:ind w:left="186"/>
              <w:spacing w:after="0"/>
              <w:rPr>
                <w:sz w:val="20"/>
                <w:szCs w:val="20"/>
                <w:color w:val="auto"/>
              </w:rPr>
            </w:pPr>
            <w:r>
              <w:rPr>
                <w:rFonts w:ascii="Arial" w:cs="Arial" w:eastAsia="Arial" w:hAnsi="Arial"/>
                <w:sz w:val="13"/>
                <w:szCs w:val="13"/>
                <w:b w:val="1"/>
                <w:bCs w:val="1"/>
                <w:color w:val="FFFFFF"/>
              </w:rPr>
              <w:t xml:space="preserve">That Have Not   </w:t>
            </w:r>
          </w:p>
        </w:tc>
        <w:tc>
          <w:tcPr>
            <w:tcW w:w="0" w:type="dxa"/>
            <w:vAlign w:val="bottom"/>
          </w:tcPr>
          <w:p>
            <w:pPr>
              <w:spacing w:after="0"/>
              <w:rPr>
                <w:sz w:val="1"/>
                <w:szCs w:val="1"/>
                <w:color w:val="auto"/>
              </w:rPr>
            </w:pPr>
          </w:p>
        </w:tc>
      </w:tr>
      <w:tr>
        <w:trPr>
          <w:trHeight w:val="149"/>
        </w:trPr>
        <w:tc>
          <w:tcPr>
            <w:tcW w:w="3840" w:type="dxa"/>
            <w:vAlign w:val="bottom"/>
            <w:vMerge w:val="restart"/>
            <w:shd w:val="clear" w:color="auto" w:fill="0BC11C"/>
          </w:tcPr>
          <w:p>
            <w:pPr>
              <w:spacing w:after="0"/>
              <w:rPr>
                <w:sz w:val="20"/>
                <w:szCs w:val="20"/>
                <w:color w:val="auto"/>
              </w:rPr>
            </w:pPr>
            <w:r>
              <w:rPr>
                <w:rFonts w:ascii="Arial" w:cs="Arial" w:eastAsia="Arial" w:hAnsi="Arial"/>
                <w:sz w:val="13"/>
                <w:szCs w:val="13"/>
                <w:b w:val="1"/>
                <w:bCs w:val="1"/>
                <w:color w:val="FFFFFF"/>
              </w:rPr>
              <w:t>  Name</w:t>
            </w:r>
          </w:p>
        </w:tc>
        <w:tc>
          <w:tcPr>
            <w:tcW w:w="320" w:type="dxa"/>
            <w:vAlign w:val="bottom"/>
            <w:shd w:val="clear" w:color="auto" w:fill="0BC11C"/>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FFFFFF"/>
              </w:rPr>
              <w:t>Grant Date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Yet Vested</w:t>
            </w:r>
          </w:p>
        </w:tc>
        <w:tc>
          <w:tcPr>
            <w:tcW w:w="380" w:type="dxa"/>
            <w:vAlign w:val="bottom"/>
          </w:tcPr>
          <w:p>
            <w:pPr>
              <w:spacing w:after="0"/>
              <w:rPr>
                <w:sz w:val="12"/>
                <w:szCs w:val="12"/>
                <w:color w:val="auto"/>
              </w:rPr>
            </w:pPr>
          </w:p>
        </w:tc>
        <w:tc>
          <w:tcPr>
            <w:tcW w:w="1080" w:type="dxa"/>
            <w:vAlign w:val="bottom"/>
          </w:tcPr>
          <w:p>
            <w:pPr>
              <w:jc w:val="center"/>
              <w:ind w:right="322"/>
              <w:spacing w:after="0"/>
              <w:rPr>
                <w:sz w:val="20"/>
                <w:szCs w:val="20"/>
                <w:color w:val="auto"/>
              </w:rPr>
            </w:pPr>
            <w:r>
              <w:rPr>
                <w:rFonts w:ascii="Arial" w:cs="Arial" w:eastAsia="Arial" w:hAnsi="Arial"/>
                <w:sz w:val="13"/>
                <w:szCs w:val="13"/>
                <w:b w:val="1"/>
                <w:bCs w:val="1"/>
                <w:color w:val="FFFFFF"/>
              </w:rPr>
              <w:t>Vested</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Vested</w:t>
            </w:r>
          </w:p>
        </w:tc>
        <w:tc>
          <w:tcPr>
            <w:tcW w:w="56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FFFFFF"/>
                <w:w w:val="98"/>
              </w:rPr>
              <w:t>Vested</w:t>
            </w:r>
          </w:p>
        </w:tc>
        <w:tc>
          <w:tcPr>
            <w:tcW w:w="0" w:type="dxa"/>
            <w:vAlign w:val="bottom"/>
          </w:tcPr>
          <w:p>
            <w:pPr>
              <w:spacing w:after="0"/>
              <w:rPr>
                <w:sz w:val="1"/>
                <w:szCs w:val="1"/>
                <w:color w:val="auto"/>
              </w:rPr>
            </w:pPr>
          </w:p>
        </w:tc>
      </w:tr>
      <w:tr>
        <w:trPr>
          <w:trHeight w:val="197"/>
        </w:trPr>
        <w:tc>
          <w:tcPr>
            <w:tcW w:w="3840" w:type="dxa"/>
            <w:vAlign w:val="bottom"/>
            <w:tcBorders>
              <w:bottom w:val="single" w:sz="8" w:color="0BC11C"/>
            </w:tcBorders>
            <w:vMerge w:val="continue"/>
            <w:shd w:val="clear" w:color="auto" w:fill="0BC11C"/>
          </w:tcPr>
          <w:p>
            <w:pPr>
              <w:spacing w:after="0"/>
              <w:rPr>
                <w:sz w:val="17"/>
                <w:szCs w:val="17"/>
                <w:color w:val="auto"/>
              </w:rPr>
            </w:pPr>
          </w:p>
        </w:tc>
        <w:tc>
          <w:tcPr>
            <w:tcW w:w="320" w:type="dxa"/>
            <w:vAlign w:val="bottom"/>
            <w:tcBorders>
              <w:bottom w:val="single" w:sz="8" w:color="0BC11C"/>
            </w:tcBorders>
            <w:shd w:val="clear" w:color="auto" w:fill="0BC11C"/>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FFFFFF"/>
              </w:rPr>
              <w:t>(#)(1)</w:t>
            </w:r>
          </w:p>
        </w:tc>
        <w:tc>
          <w:tcPr>
            <w:tcW w:w="380" w:type="dxa"/>
            <w:vAlign w:val="bottom"/>
          </w:tcPr>
          <w:p>
            <w:pPr>
              <w:spacing w:after="0"/>
              <w:rPr>
                <w:sz w:val="17"/>
                <w:szCs w:val="17"/>
                <w:color w:val="auto"/>
              </w:rPr>
            </w:pPr>
          </w:p>
        </w:tc>
        <w:tc>
          <w:tcPr>
            <w:tcW w:w="1080" w:type="dxa"/>
            <w:vAlign w:val="bottom"/>
          </w:tcPr>
          <w:p>
            <w:pPr>
              <w:jc w:val="center"/>
              <w:ind w:right="322"/>
              <w:spacing w:after="0"/>
              <w:rPr>
                <w:sz w:val="20"/>
                <w:szCs w:val="20"/>
                <w:color w:val="auto"/>
              </w:rPr>
            </w:pPr>
            <w:r>
              <w:rPr>
                <w:rFonts w:ascii="Arial" w:cs="Arial" w:eastAsia="Arial" w:hAnsi="Arial"/>
                <w:sz w:val="13"/>
                <w:szCs w:val="13"/>
                <w:b w:val="1"/>
                <w:bCs w:val="1"/>
                <w:color w:val="FFFFFF"/>
              </w:rPr>
              <w:t>($)</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rPr>
              <w:t>(#)(2)(3)</w:t>
            </w:r>
          </w:p>
        </w:tc>
        <w:tc>
          <w:tcPr>
            <w:tcW w:w="56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FFFFFF"/>
                <w:w w:val="91"/>
              </w:rPr>
              <w:t>    ($)</w:t>
            </w:r>
          </w:p>
        </w:tc>
        <w:tc>
          <w:tcPr>
            <w:tcW w:w="0" w:type="dxa"/>
            <w:vAlign w:val="bottom"/>
          </w:tcPr>
          <w:p>
            <w:pPr>
              <w:spacing w:after="0"/>
              <w:rPr>
                <w:sz w:val="1"/>
                <w:szCs w:val="1"/>
                <w:color w:val="auto"/>
              </w:rPr>
            </w:pPr>
          </w:p>
        </w:tc>
      </w:tr>
      <w:tr>
        <w:trPr>
          <w:trHeight w:val="227"/>
        </w:trPr>
        <w:tc>
          <w:tcPr>
            <w:tcW w:w="3840" w:type="dxa"/>
            <w:vAlign w:val="bottom"/>
          </w:tcPr>
          <w:p>
            <w:pPr>
              <w:ind w:left="60"/>
              <w:spacing w:after="0"/>
              <w:rPr>
                <w:sz w:val="20"/>
                <w:szCs w:val="20"/>
                <w:color w:val="auto"/>
              </w:rPr>
            </w:pPr>
            <w:r>
              <w:rPr>
                <w:rFonts w:ascii="Arial" w:cs="Arial" w:eastAsia="Arial" w:hAnsi="Arial"/>
                <w:sz w:val="16"/>
                <w:szCs w:val="16"/>
                <w:color w:val="auto"/>
              </w:rPr>
              <w:t>Anshul Thakral</w:t>
            </w: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8/4/2025</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1,250,000</w:t>
            </w:r>
          </w:p>
        </w:tc>
        <w:tc>
          <w:tcPr>
            <w:tcW w:w="1460" w:type="dxa"/>
            <w:vAlign w:val="bottom"/>
            <w:gridSpan w:val="2"/>
          </w:tcPr>
          <w:p>
            <w:pPr>
              <w:jc w:val="right"/>
              <w:ind w:right="182"/>
              <w:spacing w:after="0"/>
              <w:rPr>
                <w:sz w:val="20"/>
                <w:szCs w:val="20"/>
                <w:color w:val="auto"/>
              </w:rPr>
            </w:pPr>
            <w:r>
              <w:rPr>
                <w:rFonts w:ascii="Arial" w:cs="Arial" w:eastAsia="Arial" w:hAnsi="Arial"/>
                <w:sz w:val="16"/>
                <w:szCs w:val="16"/>
                <w:color w:val="auto"/>
              </w:rPr>
              <w:t>$21,562,500</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833,333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$14,375,000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840" w:type="dxa"/>
            <w:vAlign w:val="bottom"/>
            <w:tcBorders>
              <w:bottom w:val="single" w:sz="8" w:color="EDEDED"/>
            </w:tcBorders>
          </w:tcPr>
          <w:p>
            <w:pPr>
              <w:spacing w:after="0"/>
              <w:rPr>
                <w:sz w:val="4"/>
                <w:szCs w:val="4"/>
                <w:color w:val="auto"/>
              </w:rPr>
            </w:pPr>
          </w:p>
        </w:tc>
        <w:tc>
          <w:tcPr>
            <w:tcW w:w="320" w:type="dxa"/>
            <w:vAlign w:val="bottom"/>
            <w:tcBorders>
              <w:bottom w:val="single" w:sz="8" w:color="EDEDED"/>
            </w:tcBorders>
          </w:tcPr>
          <w:p>
            <w:pPr>
              <w:spacing w:after="0"/>
              <w:rPr>
                <w:sz w:val="4"/>
                <w:szCs w:val="4"/>
                <w:color w:val="auto"/>
              </w:rPr>
            </w:pPr>
          </w:p>
        </w:tc>
        <w:tc>
          <w:tcPr>
            <w:tcW w:w="840" w:type="dxa"/>
            <w:vAlign w:val="bottom"/>
            <w:tcBorders>
              <w:bottom w:val="single" w:sz="8" w:color="EDEDED"/>
            </w:tcBorders>
          </w:tcPr>
          <w:p>
            <w:pPr>
              <w:spacing w:after="0"/>
              <w:rPr>
                <w:sz w:val="4"/>
                <w:szCs w:val="4"/>
                <w:color w:val="auto"/>
              </w:rPr>
            </w:pPr>
          </w:p>
        </w:tc>
        <w:tc>
          <w:tcPr>
            <w:tcW w:w="280" w:type="dxa"/>
            <w:vAlign w:val="bottom"/>
            <w:tcBorders>
              <w:bottom w:val="single" w:sz="8" w:color="EDEDED"/>
            </w:tcBorders>
          </w:tcPr>
          <w:p>
            <w:pPr>
              <w:spacing w:after="0"/>
              <w:rPr>
                <w:sz w:val="4"/>
                <w:szCs w:val="4"/>
                <w:color w:val="auto"/>
              </w:rPr>
            </w:pPr>
          </w:p>
        </w:tc>
        <w:tc>
          <w:tcPr>
            <w:tcW w:w="1340" w:type="dxa"/>
            <w:vAlign w:val="bottom"/>
            <w:tcBorders>
              <w:bottom w:val="single" w:sz="8" w:color="EDEDED"/>
            </w:tcBorders>
          </w:tcPr>
          <w:p>
            <w:pPr>
              <w:spacing w:after="0"/>
              <w:rPr>
                <w:sz w:val="4"/>
                <w:szCs w:val="4"/>
                <w:color w:val="auto"/>
              </w:rPr>
            </w:pPr>
          </w:p>
        </w:tc>
        <w:tc>
          <w:tcPr>
            <w:tcW w:w="380" w:type="dxa"/>
            <w:vAlign w:val="bottom"/>
            <w:tcBorders>
              <w:bottom w:val="single" w:sz="8" w:color="EDEDED"/>
            </w:tcBorders>
          </w:tcPr>
          <w:p>
            <w:pPr>
              <w:spacing w:after="0"/>
              <w:rPr>
                <w:sz w:val="4"/>
                <w:szCs w:val="4"/>
                <w:color w:val="auto"/>
              </w:rPr>
            </w:pPr>
          </w:p>
        </w:tc>
        <w:tc>
          <w:tcPr>
            <w:tcW w:w="1080" w:type="dxa"/>
            <w:vAlign w:val="bottom"/>
            <w:tcBorders>
              <w:bottom w:val="single" w:sz="8" w:color="EDEDED"/>
            </w:tcBorders>
          </w:tcPr>
          <w:p>
            <w:pPr>
              <w:spacing w:after="0"/>
              <w:rPr>
                <w:sz w:val="4"/>
                <w:szCs w:val="4"/>
                <w:color w:val="auto"/>
              </w:rPr>
            </w:pPr>
          </w:p>
        </w:tc>
        <w:tc>
          <w:tcPr>
            <w:tcW w:w="1560" w:type="dxa"/>
            <w:vAlign w:val="bottom"/>
            <w:tcBorders>
              <w:bottom w:val="single" w:sz="8" w:color="EDEDED"/>
            </w:tcBorders>
          </w:tcPr>
          <w:p>
            <w:pPr>
              <w:spacing w:after="0"/>
              <w:rPr>
                <w:sz w:val="4"/>
                <w:szCs w:val="4"/>
                <w:color w:val="auto"/>
              </w:rPr>
            </w:pPr>
          </w:p>
        </w:tc>
        <w:tc>
          <w:tcPr>
            <w:tcW w:w="560" w:type="dxa"/>
            <w:vAlign w:val="bottom"/>
            <w:tcBorders>
              <w:bottom w:val="single" w:sz="8" w:color="EDEDED"/>
            </w:tcBorders>
          </w:tcPr>
          <w:p>
            <w:pPr>
              <w:spacing w:after="0"/>
              <w:rPr>
                <w:sz w:val="4"/>
                <w:szCs w:val="4"/>
                <w:color w:val="auto"/>
              </w:rPr>
            </w:pPr>
          </w:p>
        </w:tc>
        <w:tc>
          <w:tcPr>
            <w:tcW w:w="820" w:type="dxa"/>
            <w:vAlign w:val="bottom"/>
            <w:tcBorders>
              <w:bottom w:val="single" w:sz="8" w:color="EDEDED"/>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840" w:type="dxa"/>
            <w:vAlign w:val="bottom"/>
            <w:shd w:val="clear" w:color="auto" w:fill="EDEDED"/>
          </w:tcPr>
          <w:p>
            <w:pPr>
              <w:ind w:left="60"/>
              <w:spacing w:after="0"/>
              <w:rPr>
                <w:sz w:val="20"/>
                <w:szCs w:val="20"/>
                <w:color w:val="auto"/>
              </w:rPr>
            </w:pPr>
            <w:r>
              <w:rPr>
                <w:rFonts w:ascii="Arial" w:cs="Arial" w:eastAsia="Arial" w:hAnsi="Arial"/>
                <w:sz w:val="16"/>
                <w:szCs w:val="16"/>
                <w:color w:val="auto"/>
              </w:rPr>
              <w:t>Jill McConnell</w:t>
            </w: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2/7/2023</w:t>
            </w:r>
          </w:p>
        </w:tc>
        <w:tc>
          <w:tcPr>
            <w:tcW w:w="280" w:type="dxa"/>
            <w:vAlign w:val="bottom"/>
            <w:shd w:val="clear" w:color="auto" w:fill="EDEDED"/>
          </w:tcPr>
          <w:p>
            <w:pPr>
              <w:spacing w:after="0"/>
              <w:rPr>
                <w:sz w:val="17"/>
                <w:szCs w:val="17"/>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1,685</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29,066</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spacing w:after="0"/>
              <w:rPr>
                <w:sz w:val="17"/>
                <w:szCs w:val="17"/>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EDEDED"/>
          </w:tcPr>
          <w:p>
            <w:pPr>
              <w:spacing w:after="0"/>
              <w:rPr>
                <w:sz w:val="21"/>
                <w:szCs w:val="21"/>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6/1/2023</w:t>
            </w:r>
          </w:p>
        </w:tc>
        <w:tc>
          <w:tcPr>
            <w:tcW w:w="280" w:type="dxa"/>
            <w:vAlign w:val="bottom"/>
            <w:shd w:val="clear" w:color="auto" w:fill="EDEDED"/>
          </w:tcPr>
          <w:p>
            <w:pPr>
              <w:spacing w:after="0"/>
              <w:rPr>
                <w:sz w:val="21"/>
                <w:szCs w:val="21"/>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11,006</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189,854</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spacing w:after="0"/>
              <w:rPr>
                <w:sz w:val="21"/>
                <w:szCs w:val="21"/>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EDEDED"/>
          </w:tcPr>
          <w:p>
            <w:pPr>
              <w:spacing w:after="0"/>
              <w:rPr>
                <w:sz w:val="21"/>
                <w:szCs w:val="21"/>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8/17/2023</w:t>
            </w:r>
          </w:p>
        </w:tc>
        <w:tc>
          <w:tcPr>
            <w:tcW w:w="280" w:type="dxa"/>
            <w:vAlign w:val="bottom"/>
            <w:shd w:val="clear" w:color="auto" w:fill="EDEDED"/>
          </w:tcPr>
          <w:p>
            <w:pPr>
              <w:spacing w:after="0"/>
              <w:rPr>
                <w:sz w:val="21"/>
                <w:szCs w:val="21"/>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11,313</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195,149</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spacing w:after="0"/>
              <w:rPr>
                <w:sz w:val="21"/>
                <w:szCs w:val="21"/>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EDEDED"/>
          </w:tcPr>
          <w:p>
            <w:pPr>
              <w:spacing w:after="0"/>
              <w:rPr>
                <w:sz w:val="21"/>
                <w:szCs w:val="21"/>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3/13/2024</w:t>
            </w:r>
          </w:p>
        </w:tc>
        <w:tc>
          <w:tcPr>
            <w:tcW w:w="280" w:type="dxa"/>
            <w:vAlign w:val="bottom"/>
            <w:shd w:val="clear" w:color="auto" w:fill="EDEDED"/>
          </w:tcPr>
          <w:p>
            <w:pPr>
              <w:spacing w:after="0"/>
              <w:rPr>
                <w:sz w:val="21"/>
                <w:szCs w:val="21"/>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8,568</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147,798</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15,264</w:t>
            </w:r>
          </w:p>
        </w:tc>
        <w:tc>
          <w:tcPr>
            <w:tcW w:w="5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263,304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EDEDED"/>
          </w:tcPr>
          <w:p>
            <w:pPr>
              <w:spacing w:after="0"/>
              <w:rPr>
                <w:sz w:val="21"/>
                <w:szCs w:val="21"/>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3/6/2025</w:t>
            </w:r>
          </w:p>
        </w:tc>
        <w:tc>
          <w:tcPr>
            <w:tcW w:w="280" w:type="dxa"/>
            <w:vAlign w:val="bottom"/>
            <w:shd w:val="clear" w:color="auto" w:fill="EDEDED"/>
          </w:tcPr>
          <w:p>
            <w:pPr>
              <w:spacing w:after="0"/>
              <w:rPr>
                <w:sz w:val="21"/>
                <w:szCs w:val="21"/>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7,157</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123,458</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spacing w:after="0"/>
              <w:rPr>
                <w:sz w:val="21"/>
                <w:szCs w:val="21"/>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EDEDED"/>
          </w:tcPr>
          <w:p>
            <w:pPr>
              <w:spacing w:after="0"/>
              <w:rPr>
                <w:sz w:val="21"/>
                <w:szCs w:val="21"/>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3/7/2025</w:t>
            </w:r>
          </w:p>
        </w:tc>
        <w:tc>
          <w:tcPr>
            <w:tcW w:w="280" w:type="dxa"/>
            <w:vAlign w:val="bottom"/>
            <w:shd w:val="clear" w:color="auto" w:fill="EDEDED"/>
          </w:tcPr>
          <w:p>
            <w:pPr>
              <w:spacing w:after="0"/>
              <w:rPr>
                <w:sz w:val="21"/>
                <w:szCs w:val="21"/>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45,850</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790,913</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spacing w:after="0"/>
              <w:rPr>
                <w:sz w:val="21"/>
                <w:szCs w:val="21"/>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40" w:type="dxa"/>
            <w:vAlign w:val="bottom"/>
            <w:shd w:val="clear" w:color="auto" w:fill="EDEDED"/>
          </w:tcPr>
          <w:p>
            <w:pPr>
              <w:spacing w:after="0"/>
              <w:rPr>
                <w:sz w:val="22"/>
                <w:szCs w:val="22"/>
                <w:color w:val="auto"/>
              </w:rPr>
            </w:pPr>
          </w:p>
        </w:tc>
        <w:tc>
          <w:tcPr>
            <w:tcW w:w="1160" w:type="dxa"/>
            <w:vAlign w:val="bottom"/>
            <w:gridSpan w:val="2"/>
            <w:shd w:val="clear" w:color="auto" w:fill="EDEDED"/>
          </w:tcPr>
          <w:p>
            <w:pPr>
              <w:jc w:val="right"/>
              <w:spacing w:after="0"/>
              <w:rPr>
                <w:sz w:val="20"/>
                <w:szCs w:val="20"/>
                <w:color w:val="auto"/>
              </w:rPr>
            </w:pPr>
            <w:r>
              <w:rPr>
                <w:rFonts w:ascii="Arial" w:cs="Arial" w:eastAsia="Arial" w:hAnsi="Arial"/>
                <w:sz w:val="16"/>
                <w:szCs w:val="16"/>
                <w:color w:val="auto"/>
              </w:rPr>
              <w:t>3/20/2025</w:t>
            </w:r>
          </w:p>
        </w:tc>
        <w:tc>
          <w:tcPr>
            <w:tcW w:w="280" w:type="dxa"/>
            <w:vAlign w:val="bottom"/>
            <w:shd w:val="clear" w:color="auto" w:fill="EDEDED"/>
          </w:tcPr>
          <w:p>
            <w:pPr>
              <w:spacing w:after="0"/>
              <w:rPr>
                <w:sz w:val="22"/>
                <w:szCs w:val="22"/>
                <w:color w:val="auto"/>
              </w:rPr>
            </w:pP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DED"/>
          </w:tcPr>
          <w:p>
            <w:pPr>
              <w:spacing w:after="0"/>
              <w:rPr>
                <w:sz w:val="22"/>
                <w:szCs w:val="22"/>
                <w:color w:val="auto"/>
              </w:rPr>
            </w:pP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47,560</w:t>
            </w:r>
          </w:p>
        </w:tc>
        <w:tc>
          <w:tcPr>
            <w:tcW w:w="5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820,410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60"/>
              <w:spacing w:after="0"/>
              <w:rPr>
                <w:sz w:val="20"/>
                <w:szCs w:val="20"/>
                <w:color w:val="auto"/>
              </w:rPr>
            </w:pPr>
            <w:r>
              <w:rPr>
                <w:rFonts w:ascii="Arial" w:cs="Arial" w:eastAsia="Arial" w:hAnsi="Arial"/>
                <w:sz w:val="16"/>
                <w:szCs w:val="16"/>
                <w:color w:val="auto"/>
              </w:rPr>
              <w:t>Mark Morais</w:t>
            </w: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2/7/2023</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2,255</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38,899</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6/1/2023</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11,006</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189,854</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8/17/2023</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11,313</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195,149</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3/13/2024</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8,568</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147,798</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15,264</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263,304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3/6/2025</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7,157</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123,458</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3/7/2025</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41,898</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722,741</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840" w:type="dxa"/>
            <w:vAlign w:val="bottom"/>
            <w:tcBorders>
              <w:bottom w:val="single" w:sz="8" w:color="EDEDED"/>
            </w:tcBorders>
          </w:tcPr>
          <w:p>
            <w:pPr>
              <w:spacing w:after="0"/>
              <w:rPr>
                <w:sz w:val="23"/>
                <w:szCs w:val="23"/>
                <w:color w:val="auto"/>
              </w:rPr>
            </w:pPr>
          </w:p>
        </w:tc>
        <w:tc>
          <w:tcPr>
            <w:tcW w:w="1440" w:type="dxa"/>
            <w:vAlign w:val="bottom"/>
            <w:tcBorders>
              <w:bottom w:val="single" w:sz="8" w:color="EDEDED"/>
            </w:tcBorders>
            <w:gridSpan w:val="3"/>
          </w:tcPr>
          <w:p>
            <w:pPr>
              <w:jc w:val="right"/>
              <w:ind w:right="280"/>
              <w:spacing w:after="0"/>
              <w:rPr>
                <w:sz w:val="20"/>
                <w:szCs w:val="20"/>
                <w:color w:val="auto"/>
              </w:rPr>
            </w:pPr>
            <w:r>
              <w:rPr>
                <w:rFonts w:ascii="Arial" w:cs="Arial" w:eastAsia="Arial" w:hAnsi="Arial"/>
                <w:sz w:val="16"/>
                <w:szCs w:val="16"/>
                <w:color w:val="auto"/>
              </w:rPr>
              <w:t>3/20/2025</w:t>
            </w:r>
          </w:p>
        </w:tc>
        <w:tc>
          <w:tcPr>
            <w:tcW w:w="1340" w:type="dxa"/>
            <w:vAlign w:val="bottom"/>
            <w:tcBorders>
              <w:bottom w:val="single" w:sz="8" w:color="EDEDED"/>
            </w:tcBorders>
          </w:tcPr>
          <w:p>
            <w:pPr>
              <w:jc w:val="right"/>
              <w:ind w:right="2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DEDED"/>
            </w:tcBorders>
          </w:tcPr>
          <w:p>
            <w:pPr>
              <w:spacing w:after="0"/>
              <w:rPr>
                <w:sz w:val="23"/>
                <w:szCs w:val="23"/>
                <w:color w:val="auto"/>
              </w:rPr>
            </w:pPr>
          </w:p>
        </w:tc>
        <w:tc>
          <w:tcPr>
            <w:tcW w:w="1080" w:type="dxa"/>
            <w:vAlign w:val="bottom"/>
            <w:tcBorders>
              <w:bottom w:val="single" w:sz="8" w:color="EDEDED"/>
            </w:tcBorders>
          </w:tcPr>
          <w:p>
            <w:pPr>
              <w:jc w:val="right"/>
              <w:ind w:right="18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DEDED"/>
            </w:tcBorders>
          </w:tcPr>
          <w:p>
            <w:pPr>
              <w:jc w:val="right"/>
              <w:ind w:right="184"/>
              <w:spacing w:after="0"/>
              <w:rPr>
                <w:sz w:val="20"/>
                <w:szCs w:val="20"/>
                <w:color w:val="auto"/>
              </w:rPr>
            </w:pPr>
            <w:r>
              <w:rPr>
                <w:rFonts w:ascii="Arial" w:cs="Arial" w:eastAsia="Arial" w:hAnsi="Arial"/>
                <w:sz w:val="16"/>
                <w:szCs w:val="16"/>
                <w:color w:val="auto"/>
              </w:rPr>
              <w:t>43,461</w:t>
            </w:r>
          </w:p>
        </w:tc>
        <w:tc>
          <w:tcPr>
            <w:tcW w:w="56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749,702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DEDED"/>
          </w:tcPr>
          <w:p>
            <w:pPr>
              <w:ind w:left="60"/>
              <w:spacing w:after="0" w:line="216" w:lineRule="exact"/>
              <w:rPr>
                <w:sz w:val="20"/>
                <w:szCs w:val="20"/>
                <w:color w:val="auto"/>
              </w:rPr>
            </w:pPr>
            <w:r>
              <w:rPr>
                <w:rFonts w:ascii="Arial" w:cs="Arial" w:eastAsia="Arial" w:hAnsi="Arial"/>
                <w:sz w:val="16"/>
                <w:szCs w:val="16"/>
                <w:color w:val="auto"/>
              </w:rPr>
              <w:t>Thomas Pike</w:t>
            </w:r>
            <w:r>
              <w:rPr>
                <w:rFonts w:ascii="Arial" w:cs="Arial" w:eastAsia="Arial" w:hAnsi="Arial"/>
                <w:sz w:val="24"/>
                <w:szCs w:val="24"/>
                <w:color w:val="auto"/>
                <w:vertAlign w:val="superscript"/>
              </w:rPr>
              <w:t>(4)</w:t>
            </w:r>
          </w:p>
        </w:tc>
        <w:tc>
          <w:tcPr>
            <w:tcW w:w="320" w:type="dxa"/>
            <w:vAlign w:val="bottom"/>
            <w:shd w:val="clear" w:color="auto" w:fill="EDEDED"/>
          </w:tcPr>
          <w:p>
            <w:pPr>
              <w:spacing w:after="0"/>
              <w:rPr>
                <w:sz w:val="18"/>
                <w:szCs w:val="18"/>
                <w:color w:val="auto"/>
              </w:rPr>
            </w:pPr>
          </w:p>
        </w:tc>
        <w:tc>
          <w:tcPr>
            <w:tcW w:w="1120" w:type="dxa"/>
            <w:vAlign w:val="bottom"/>
            <w:gridSpan w:val="2"/>
            <w:shd w:val="clear" w:color="auto" w:fill="EDEDED"/>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EDED"/>
          </w:tcPr>
          <w:p>
            <w:pPr>
              <w:jc w:val="right"/>
              <w:ind w:right="203"/>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D"/>
          </w:tcPr>
          <w:p>
            <w:pPr>
              <w:jc w:val="right"/>
              <w:ind w:right="182"/>
              <w:spacing w:after="0"/>
              <w:rPr>
                <w:sz w:val="20"/>
                <w:szCs w:val="20"/>
                <w:color w:val="auto"/>
              </w:rPr>
            </w:pPr>
            <w:r>
              <w:rPr>
                <w:rFonts w:ascii="Arial" w:cs="Arial" w:eastAsia="Arial" w:hAnsi="Arial"/>
                <w:sz w:val="16"/>
                <w:szCs w:val="16"/>
                <w:color w:val="auto"/>
              </w:rPr>
              <w:t>—</w:t>
            </w:r>
          </w:p>
        </w:tc>
        <w:tc>
          <w:tcPr>
            <w:tcW w:w="1560" w:type="dxa"/>
            <w:vAlign w:val="bottom"/>
            <w:shd w:val="clear" w:color="auto" w:fill="EDEDED"/>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840" w:type="dxa"/>
            <w:vAlign w:val="bottom"/>
          </w:tcPr>
          <w:p>
            <w:pPr>
              <w:ind w:left="60"/>
              <w:spacing w:after="0"/>
              <w:rPr>
                <w:sz w:val="20"/>
                <w:szCs w:val="20"/>
                <w:color w:val="auto"/>
              </w:rPr>
            </w:pPr>
            <w:r>
              <w:rPr>
                <w:rFonts w:ascii="Arial" w:cs="Arial" w:eastAsia="Arial" w:hAnsi="Arial"/>
                <w:sz w:val="16"/>
                <w:szCs w:val="16"/>
                <w:color w:val="auto"/>
              </w:rPr>
              <w:t>Peter Neupert</w:t>
            </w:r>
            <w:r>
              <w:rPr>
                <w:rFonts w:ascii="Arial" w:cs="Arial" w:eastAsia="Arial" w:hAnsi="Arial"/>
                <w:sz w:val="24"/>
                <w:szCs w:val="24"/>
                <w:color w:val="auto"/>
                <w:vertAlign w:val="superscript"/>
              </w:rPr>
              <w:t>(5)</w:t>
            </w: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5/14/2025</w:t>
            </w:r>
          </w:p>
        </w:tc>
        <w:tc>
          <w:tcPr>
            <w:tcW w:w="1340" w:type="dxa"/>
            <w:vAlign w:val="bottom"/>
          </w:tcPr>
          <w:p>
            <w:pPr>
              <w:jc w:val="right"/>
              <w:ind w:right="203"/>
              <w:spacing w:after="0"/>
              <w:rPr>
                <w:sz w:val="20"/>
                <w:szCs w:val="20"/>
                <w:color w:val="auto"/>
              </w:rPr>
            </w:pPr>
            <w:r>
              <w:rPr>
                <w:rFonts w:ascii="Arial" w:cs="Arial" w:eastAsia="Arial" w:hAnsi="Arial"/>
                <w:sz w:val="16"/>
                <w:szCs w:val="16"/>
                <w:color w:val="auto"/>
              </w:rPr>
              <w:t>148,536</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2,562,246</w:t>
            </w:r>
          </w:p>
        </w:tc>
        <w:tc>
          <w:tcPr>
            <w:tcW w:w="15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-3677285</wp:posOffset>
            </wp:positionV>
            <wp:extent cx="4354830" cy="9772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54830" cy="977265"/>
                    </a:xfrm>
                    <a:prstGeom prst="rect">
                      <a:avLst/>
                    </a:prstGeom>
                    <a:noFill/>
                  </pic:spPr>
                </pic:pic>
              </a:graphicData>
            </a:graphic>
          </wp:anchor>
        </w:drawing>
      </w:r>
    </w:p>
    <w:p>
      <w:pPr>
        <w:spacing w:after="0" w:line="16"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RSUs generally vest ratably over three years, beginning on the first anniversary of the grant date.</w:t>
      </w:r>
    </w:p>
    <w:p>
      <w:pPr>
        <w:spacing w:after="0" w:line="66" w:lineRule="exact"/>
        <w:rPr>
          <w:rFonts w:ascii="Arial" w:cs="Arial" w:eastAsia="Arial" w:hAnsi="Arial"/>
          <w:sz w:val="13"/>
          <w:szCs w:val="13"/>
          <w:color w:val="auto"/>
        </w:rPr>
      </w:pPr>
    </w:p>
    <w:p>
      <w:pPr>
        <w:ind w:left="440" w:right="480" w:hanging="324"/>
        <w:spacing w:after="0" w:line="259" w:lineRule="auto"/>
        <w:tabs>
          <w:tab w:leader="none" w:pos="4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Mr. Thakral was granted PSUs in connection with his appointment as CEO on August 4, 2025. The PSUs vest, if at all, at the end of a three-year vesting period and are contingent upon achieving certain performance goals tied to Revenue and Adjusted EBITDA margin using a formula that is generally consistent with the formula used for PSU grants to other Company employees, as determined by the Board, except that the goals for 2025 have been modified for the truncated 2025 performance year beginning with his start date.</w:t>
      </w:r>
    </w:p>
    <w:p>
      <w:pPr>
        <w:spacing w:after="0" w:line="39" w:lineRule="exact"/>
        <w:rPr>
          <w:rFonts w:ascii="Arial" w:cs="Arial" w:eastAsia="Arial" w:hAnsi="Arial"/>
          <w:sz w:val="12"/>
          <w:szCs w:val="12"/>
          <w:color w:val="auto"/>
        </w:rPr>
      </w:pPr>
    </w:p>
    <w:p>
      <w:pPr>
        <w:ind w:left="440" w:right="80" w:hanging="324"/>
        <w:spacing w:after="0" w:line="233" w:lineRule="auto"/>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PSUs vest, if at all, at the end of a three-year vesting period and are contingent upon achieving certain performance goals tied to Revenue and Adjusted EBITDA margin using a formula, as determined by the Board, The awards will be payable in shares of our common stock on the vesting date based on our achievement of the specified goals. The numbers above reflect payment at maximum level, which is 200% of the target number of stock units of the full award.</w:t>
      </w:r>
    </w:p>
    <w:p>
      <w:pPr>
        <w:spacing w:after="0" w:line="50" w:lineRule="exact"/>
        <w:rPr>
          <w:rFonts w:ascii="Arial" w:cs="Arial" w:eastAsia="Arial" w:hAnsi="Arial"/>
          <w:sz w:val="13"/>
          <w:szCs w:val="13"/>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Pike ended his employment with Fortrea on May 13, 2025. Please refer to “Pike Severance Payments and Consulting Agreement” section for further details.</w:t>
      </w:r>
    </w:p>
    <w:p>
      <w:pPr>
        <w:spacing w:after="0" w:line="66" w:lineRule="exact"/>
        <w:rPr>
          <w:rFonts w:ascii="Arial" w:cs="Arial" w:eastAsia="Arial" w:hAnsi="Arial"/>
          <w:sz w:val="13"/>
          <w:szCs w:val="13"/>
          <w:color w:val="auto"/>
        </w:rPr>
      </w:pPr>
    </w:p>
    <w:p>
      <w:pPr>
        <w:ind w:left="440" w:right="160" w:hanging="324"/>
        <w:spacing w:after="0" w:line="243" w:lineRule="auto"/>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Neupert’s stock award was granted to him for the Interim CEO role. Mr. Neupert did not receive the equity award that he otherwise would have received based on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42</w:t>
      </w:r>
      <w:r>
        <w:rPr>
          <w:rFonts w:ascii="Arial" w:cs="Arial" w:eastAsia="Arial" w:hAnsi="Arial"/>
          <w:sz w:val="12"/>
          <w:szCs w:val="12"/>
          <w:color w:val="000000"/>
        </w:rPr>
        <w:t xml:space="preserve">   2026 Proxy Statement  •  FORTREA</w:t>
      </w:r>
    </w:p>
    <w:p>
      <w:pPr>
        <w:sectPr>
          <w:pgSz w:w="11900" w:h="16838" w:orient="portrait"/>
          <w:cols w:equalWidth="0" w:num="1">
            <w:col w:w="11160"/>
          </w:cols>
          <w:pgMar w:left="320" w:top="482"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As previously disclosed, Mr. Pike resigned as our Chief Executive Officer effective as of May 13, 2025. In connection with his departure, Mr. Pike entered into a consulting agreement under which his RSUs continued to vest.</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option exercises and stock vested with respect to each of the NEOs during the fiscal year ended December 31, 2025:</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690" w:type="dxa"/>
            <w:vAlign w:val="bottom"/>
            <w:shd w:val="clear" w:color="auto" w:fill="0BC11C"/>
          </w:tcPr>
          <w:p>
            <w:pPr>
              <w:spacing w:after="0"/>
              <w:rPr>
                <w:sz w:val="16"/>
                <w:szCs w:val="16"/>
                <w:color w:val="auto"/>
              </w:rPr>
            </w:pPr>
          </w:p>
        </w:tc>
        <w:tc>
          <w:tcPr>
            <w:tcW w:w="4470" w:type="dxa"/>
            <w:vAlign w:val="bottom"/>
            <w:gridSpan w:val="2"/>
            <w:shd w:val="clear" w:color="auto" w:fill="0BC11C"/>
          </w:tcPr>
          <w:p>
            <w:pPr>
              <w:ind w:left="1690"/>
              <w:spacing w:after="0"/>
              <w:rPr>
                <w:sz w:val="20"/>
                <w:szCs w:val="20"/>
                <w:color w:val="auto"/>
              </w:rPr>
            </w:pPr>
            <w:r>
              <w:rPr>
                <w:rFonts w:ascii="Arial" w:cs="Arial" w:eastAsia="Arial" w:hAnsi="Arial"/>
                <w:sz w:val="16"/>
                <w:szCs w:val="16"/>
                <w:b w:val="1"/>
                <w:bCs w:val="1"/>
                <w:color w:val="FFFFFF"/>
              </w:rPr>
              <w:t>Option Awards</w:t>
            </w:r>
          </w:p>
        </w:tc>
        <w:tc>
          <w:tcPr>
            <w:tcW w:w="3520" w:type="dxa"/>
            <w:vAlign w:val="bottom"/>
            <w:gridSpan w:val="2"/>
            <w:shd w:val="clear" w:color="auto" w:fill="0BC11C"/>
          </w:tcPr>
          <w:p>
            <w:pPr>
              <w:jc w:val="right"/>
              <w:ind w:right="319"/>
              <w:spacing w:after="0"/>
              <w:rPr>
                <w:sz w:val="20"/>
                <w:szCs w:val="20"/>
                <w:color w:val="auto"/>
              </w:rPr>
            </w:pPr>
            <w:r>
              <w:rPr>
                <w:rFonts w:ascii="Arial" w:cs="Arial" w:eastAsia="Arial" w:hAnsi="Arial"/>
                <w:sz w:val="16"/>
                <w:szCs w:val="16"/>
                <w:b w:val="1"/>
                <w:bCs w:val="1"/>
                <w:color w:val="FFFFFF"/>
              </w:rPr>
              <w:t>Stock Awards</w:t>
            </w:r>
          </w:p>
        </w:tc>
        <w:tc>
          <w:tcPr>
            <w:tcW w:w="1340" w:type="dxa"/>
            <w:vAlign w:val="bottom"/>
            <w:shd w:val="clear" w:color="auto" w:fill="0BC11C"/>
          </w:tcPr>
          <w:p>
            <w:pPr>
              <w:spacing w:after="0"/>
              <w:rPr>
                <w:sz w:val="16"/>
                <w:szCs w:val="16"/>
                <w:color w:val="auto"/>
              </w:rPr>
            </w:pPr>
          </w:p>
        </w:tc>
      </w:tr>
      <w:tr>
        <w:trPr>
          <w:trHeight w:val="175"/>
        </w:trPr>
        <w:tc>
          <w:tcPr>
            <w:tcW w:w="1690" w:type="dxa"/>
            <w:vAlign w:val="bottom"/>
            <w:shd w:val="clear" w:color="auto" w:fill="0BC11C"/>
          </w:tcPr>
          <w:p>
            <w:pPr>
              <w:ind w:left="60"/>
              <w:spacing w:after="0" w:line="175" w:lineRule="exact"/>
              <w:rPr>
                <w:sz w:val="20"/>
                <w:szCs w:val="20"/>
                <w:color w:val="auto"/>
              </w:rPr>
            </w:pPr>
            <w:r>
              <w:rPr>
                <w:rFonts w:ascii="Arial" w:cs="Arial" w:eastAsia="Arial" w:hAnsi="Arial"/>
                <w:sz w:val="16"/>
                <w:szCs w:val="16"/>
                <w:b w:val="1"/>
                <w:bCs w:val="1"/>
                <w:color w:val="FFFFFF"/>
              </w:rPr>
              <w:t>Name</w:t>
            </w:r>
          </w:p>
        </w:tc>
        <w:tc>
          <w:tcPr>
            <w:tcW w:w="2470" w:type="dxa"/>
            <w:vAlign w:val="bottom"/>
            <w:shd w:val="clear" w:color="auto" w:fill="0BC11C"/>
          </w:tcPr>
          <w:p>
            <w:pPr>
              <w:jc w:val="center"/>
              <w:spacing w:after="0" w:line="175" w:lineRule="exact"/>
              <w:rPr>
                <w:sz w:val="20"/>
                <w:szCs w:val="20"/>
                <w:color w:val="auto"/>
              </w:rPr>
            </w:pPr>
            <w:r>
              <w:rPr>
                <w:rFonts w:ascii="Arial" w:cs="Arial" w:eastAsia="Arial" w:hAnsi="Arial"/>
                <w:sz w:val="16"/>
                <w:szCs w:val="16"/>
                <w:b w:val="1"/>
                <w:bCs w:val="1"/>
                <w:color w:val="FFFFFF"/>
              </w:rPr>
              <w:t>Number of Shares</w:t>
            </w:r>
          </w:p>
        </w:tc>
        <w:tc>
          <w:tcPr>
            <w:tcW w:w="2000" w:type="dxa"/>
            <w:vAlign w:val="bottom"/>
            <w:shd w:val="clear" w:color="auto" w:fill="0BC11C"/>
          </w:tcPr>
          <w:p>
            <w:pPr>
              <w:jc w:val="center"/>
              <w:spacing w:after="0" w:line="175" w:lineRule="exact"/>
              <w:rPr>
                <w:sz w:val="20"/>
                <w:szCs w:val="20"/>
                <w:color w:val="auto"/>
              </w:rPr>
            </w:pPr>
            <w:r>
              <w:rPr>
                <w:rFonts w:ascii="Arial" w:cs="Arial" w:eastAsia="Arial" w:hAnsi="Arial"/>
                <w:sz w:val="16"/>
                <w:szCs w:val="16"/>
                <w:b w:val="1"/>
                <w:bCs w:val="1"/>
                <w:color w:val="FFFFFF"/>
              </w:rPr>
              <w:t>Value Realized on</w:t>
            </w:r>
          </w:p>
        </w:tc>
        <w:tc>
          <w:tcPr>
            <w:tcW w:w="2580" w:type="dxa"/>
            <w:vAlign w:val="bottom"/>
            <w:shd w:val="clear" w:color="auto" w:fill="0BC11C"/>
          </w:tcPr>
          <w:p>
            <w:pPr>
              <w:jc w:val="right"/>
              <w:ind w:right="579"/>
              <w:spacing w:after="0" w:line="175" w:lineRule="exact"/>
              <w:rPr>
                <w:sz w:val="20"/>
                <w:szCs w:val="20"/>
                <w:color w:val="auto"/>
              </w:rPr>
            </w:pPr>
            <w:r>
              <w:rPr>
                <w:rFonts w:ascii="Arial" w:cs="Arial" w:eastAsia="Arial" w:hAnsi="Arial"/>
                <w:sz w:val="16"/>
                <w:szCs w:val="16"/>
                <w:b w:val="1"/>
                <w:bCs w:val="1"/>
                <w:color w:val="FFFFFF"/>
              </w:rPr>
              <w:t>Number of Shares</w:t>
            </w:r>
          </w:p>
        </w:tc>
        <w:tc>
          <w:tcPr>
            <w:tcW w:w="2280" w:type="dxa"/>
            <w:vAlign w:val="bottom"/>
            <w:gridSpan w:val="2"/>
            <w:shd w:val="clear" w:color="auto" w:fill="0BC11C"/>
          </w:tcPr>
          <w:p>
            <w:pPr>
              <w:jc w:val="right"/>
              <w:ind w:right="379"/>
              <w:spacing w:after="0" w:line="175" w:lineRule="exact"/>
              <w:rPr>
                <w:sz w:val="20"/>
                <w:szCs w:val="20"/>
                <w:color w:val="auto"/>
              </w:rPr>
            </w:pPr>
            <w:r>
              <w:rPr>
                <w:rFonts w:ascii="Arial" w:cs="Arial" w:eastAsia="Arial" w:hAnsi="Arial"/>
                <w:sz w:val="16"/>
                <w:szCs w:val="16"/>
                <w:b w:val="1"/>
                <w:bCs w:val="1"/>
                <w:color w:val="FFFFFF"/>
              </w:rPr>
              <w:t>Value Realized on</w:t>
            </w:r>
          </w:p>
        </w:tc>
      </w:tr>
      <w:tr>
        <w:trPr>
          <w:trHeight w:val="217"/>
        </w:trPr>
        <w:tc>
          <w:tcPr>
            <w:tcW w:w="1690" w:type="dxa"/>
            <w:vAlign w:val="bottom"/>
            <w:shd w:val="clear" w:color="auto" w:fill="0BC11C"/>
          </w:tcPr>
          <w:p>
            <w:pPr>
              <w:spacing w:after="0"/>
              <w:rPr>
                <w:sz w:val="18"/>
                <w:szCs w:val="18"/>
                <w:color w:val="auto"/>
              </w:rPr>
            </w:pPr>
          </w:p>
        </w:tc>
        <w:tc>
          <w:tcPr>
            <w:tcW w:w="247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Acquired on Exercise (#)</w:t>
            </w:r>
          </w:p>
        </w:tc>
        <w:tc>
          <w:tcPr>
            <w:tcW w:w="200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Exercise ($)</w:t>
            </w:r>
          </w:p>
        </w:tc>
        <w:tc>
          <w:tcPr>
            <w:tcW w:w="2580" w:type="dxa"/>
            <w:vAlign w:val="bottom"/>
            <w:shd w:val="clear" w:color="auto" w:fill="0BC11C"/>
          </w:tcPr>
          <w:p>
            <w:pPr>
              <w:jc w:val="right"/>
              <w:ind w:right="359"/>
              <w:spacing w:after="0"/>
              <w:rPr>
                <w:sz w:val="20"/>
                <w:szCs w:val="20"/>
                <w:color w:val="auto"/>
              </w:rPr>
            </w:pPr>
            <w:r>
              <w:rPr>
                <w:rFonts w:ascii="Arial" w:cs="Arial" w:eastAsia="Arial" w:hAnsi="Arial"/>
                <w:sz w:val="16"/>
                <w:szCs w:val="16"/>
                <w:b w:val="1"/>
                <w:bCs w:val="1"/>
                <w:color w:val="FFFFFF"/>
              </w:rPr>
              <w:t>Acquired on Vesting (#)</w:t>
            </w:r>
          </w:p>
        </w:tc>
        <w:tc>
          <w:tcPr>
            <w:tcW w:w="2280" w:type="dxa"/>
            <w:vAlign w:val="bottom"/>
            <w:gridSpan w:val="2"/>
            <w:shd w:val="clear" w:color="auto" w:fill="0BC11C"/>
          </w:tcPr>
          <w:p>
            <w:pPr>
              <w:jc w:val="right"/>
              <w:ind w:right="639"/>
              <w:spacing w:after="0"/>
              <w:rPr>
                <w:sz w:val="20"/>
                <w:szCs w:val="20"/>
                <w:color w:val="auto"/>
              </w:rPr>
            </w:pPr>
            <w:r>
              <w:rPr>
                <w:rFonts w:ascii="Arial" w:cs="Arial" w:eastAsia="Arial" w:hAnsi="Arial"/>
                <w:sz w:val="16"/>
                <w:szCs w:val="16"/>
                <w:b w:val="1"/>
                <w:bCs w:val="1"/>
                <w:color w:val="FFFFFF"/>
              </w:rPr>
              <w:t>Vesting ($)</w:t>
            </w:r>
          </w:p>
        </w:tc>
      </w:tr>
      <w:tr>
        <w:trPr>
          <w:trHeight w:val="243"/>
        </w:trPr>
        <w:tc>
          <w:tcPr>
            <w:tcW w:w="1690" w:type="dxa"/>
            <w:vAlign w:val="bottom"/>
          </w:tcPr>
          <w:p>
            <w:pPr>
              <w:ind w:left="60"/>
              <w:spacing w:after="0" w:line="243" w:lineRule="exact"/>
              <w:rPr>
                <w:sz w:val="20"/>
                <w:szCs w:val="20"/>
                <w:color w:val="auto"/>
              </w:rPr>
            </w:pPr>
            <w:r>
              <w:rPr>
                <w:rFonts w:ascii="Arial" w:cs="Arial" w:eastAsia="Arial" w:hAnsi="Arial"/>
                <w:sz w:val="16"/>
                <w:szCs w:val="16"/>
                <w:color w:val="auto"/>
              </w:rPr>
              <w:t>Thomas Pike</w:t>
            </w:r>
            <w:r>
              <w:rPr>
                <w:rFonts w:ascii="Arial" w:cs="Arial" w:eastAsia="Arial" w:hAnsi="Arial"/>
                <w:sz w:val="24"/>
                <w:szCs w:val="24"/>
                <w:color w:val="auto"/>
                <w:vertAlign w:val="superscript"/>
              </w:rPr>
              <w:t>(1)</w:t>
            </w:r>
          </w:p>
        </w:tc>
        <w:tc>
          <w:tcPr>
            <w:tcW w:w="2470" w:type="dxa"/>
            <w:vAlign w:val="bottom"/>
          </w:tcPr>
          <w:p>
            <w:pPr>
              <w:ind w:left="1170"/>
              <w:spacing w:after="0"/>
              <w:rPr>
                <w:sz w:val="20"/>
                <w:szCs w:val="20"/>
                <w:color w:val="auto"/>
              </w:rPr>
            </w:pPr>
            <w:r>
              <w:rPr>
                <w:rFonts w:ascii="Arial" w:cs="Arial" w:eastAsia="Arial" w:hAnsi="Arial"/>
                <w:sz w:val="16"/>
                <w:szCs w:val="16"/>
                <w:color w:val="auto"/>
              </w:rPr>
              <w:t>—</w:t>
            </w:r>
          </w:p>
        </w:tc>
        <w:tc>
          <w:tcPr>
            <w:tcW w:w="2000" w:type="dxa"/>
            <w:vAlign w:val="bottom"/>
          </w:tcPr>
          <w:p>
            <w:pPr>
              <w:ind w:left="960"/>
              <w:spacing w:after="0"/>
              <w:rPr>
                <w:sz w:val="20"/>
                <w:szCs w:val="20"/>
                <w:color w:val="auto"/>
              </w:rPr>
            </w:pPr>
            <w:r>
              <w:rPr>
                <w:rFonts w:ascii="Arial" w:cs="Arial" w:eastAsia="Arial" w:hAnsi="Arial"/>
                <w:sz w:val="16"/>
                <w:szCs w:val="16"/>
                <w:color w:val="auto"/>
              </w:rPr>
              <w:t>—</w:t>
            </w:r>
          </w:p>
        </w:tc>
        <w:tc>
          <w:tcPr>
            <w:tcW w:w="2580" w:type="dxa"/>
            <w:vAlign w:val="bottom"/>
          </w:tcPr>
          <w:p>
            <w:pPr>
              <w:jc w:val="right"/>
              <w:ind w:right="879"/>
              <w:spacing w:after="0"/>
              <w:rPr>
                <w:sz w:val="20"/>
                <w:szCs w:val="20"/>
                <w:color w:val="auto"/>
              </w:rPr>
            </w:pPr>
            <w:r>
              <w:rPr>
                <w:rFonts w:ascii="Arial" w:cs="Arial" w:eastAsia="Arial" w:hAnsi="Arial"/>
                <w:sz w:val="16"/>
                <w:szCs w:val="16"/>
                <w:color w:val="auto"/>
              </w:rPr>
              <w:t>399,562</w:t>
            </w:r>
          </w:p>
        </w:tc>
        <w:tc>
          <w:tcPr>
            <w:tcW w:w="2280" w:type="dxa"/>
            <w:vAlign w:val="bottom"/>
            <w:gridSpan w:val="2"/>
          </w:tcPr>
          <w:p>
            <w:pPr>
              <w:jc w:val="right"/>
              <w:ind w:right="599"/>
              <w:spacing w:after="0"/>
              <w:rPr>
                <w:sz w:val="20"/>
                <w:szCs w:val="20"/>
                <w:color w:val="auto"/>
              </w:rPr>
            </w:pPr>
            <w:r>
              <w:rPr>
                <w:rFonts w:ascii="Arial" w:cs="Arial" w:eastAsia="Arial" w:hAnsi="Arial"/>
                <w:sz w:val="16"/>
                <w:szCs w:val="16"/>
                <w:color w:val="auto"/>
              </w:rPr>
              <w:t>$3,735,731</w:t>
            </w:r>
          </w:p>
        </w:tc>
      </w:tr>
      <w:tr>
        <w:trPr>
          <w:trHeight w:val="243"/>
        </w:trPr>
        <w:tc>
          <w:tcPr>
            <w:tcW w:w="1690" w:type="dxa"/>
            <w:vAlign w:val="bottom"/>
            <w:shd w:val="clear" w:color="auto" w:fill="EDEDED"/>
          </w:tcPr>
          <w:p>
            <w:pPr>
              <w:ind w:left="60"/>
              <w:spacing w:after="0"/>
              <w:rPr>
                <w:sz w:val="20"/>
                <w:szCs w:val="20"/>
                <w:color w:val="auto"/>
              </w:rPr>
            </w:pPr>
            <w:r>
              <w:rPr>
                <w:rFonts w:ascii="Arial" w:cs="Arial" w:eastAsia="Arial" w:hAnsi="Arial"/>
                <w:sz w:val="16"/>
                <w:szCs w:val="16"/>
                <w:color w:val="auto"/>
              </w:rPr>
              <w:t>Jill McConnell</w:t>
            </w:r>
          </w:p>
        </w:tc>
        <w:tc>
          <w:tcPr>
            <w:tcW w:w="2470" w:type="dxa"/>
            <w:vAlign w:val="bottom"/>
            <w:shd w:val="clear" w:color="auto" w:fill="EDEDED"/>
          </w:tcPr>
          <w:p>
            <w:pPr>
              <w:ind w:left="1170"/>
              <w:spacing w:after="0"/>
              <w:rPr>
                <w:sz w:val="20"/>
                <w:szCs w:val="20"/>
                <w:color w:val="auto"/>
              </w:rPr>
            </w:pPr>
            <w:r>
              <w:rPr>
                <w:rFonts w:ascii="Arial" w:cs="Arial" w:eastAsia="Arial" w:hAnsi="Arial"/>
                <w:sz w:val="16"/>
                <w:szCs w:val="16"/>
                <w:color w:val="auto"/>
              </w:rPr>
              <w:t>—</w:t>
            </w:r>
          </w:p>
        </w:tc>
        <w:tc>
          <w:tcPr>
            <w:tcW w:w="2000" w:type="dxa"/>
            <w:vAlign w:val="bottom"/>
            <w:shd w:val="clear" w:color="auto" w:fill="EDEDED"/>
          </w:tcPr>
          <w:p>
            <w:pPr>
              <w:ind w:left="960"/>
              <w:spacing w:after="0"/>
              <w:rPr>
                <w:sz w:val="20"/>
                <w:szCs w:val="20"/>
                <w:color w:val="auto"/>
              </w:rPr>
            </w:pPr>
            <w:r>
              <w:rPr>
                <w:rFonts w:ascii="Arial" w:cs="Arial" w:eastAsia="Arial" w:hAnsi="Arial"/>
                <w:sz w:val="16"/>
                <w:szCs w:val="16"/>
                <w:color w:val="auto"/>
              </w:rPr>
              <w:t>—</w:t>
            </w:r>
          </w:p>
        </w:tc>
        <w:tc>
          <w:tcPr>
            <w:tcW w:w="2580" w:type="dxa"/>
            <w:vAlign w:val="bottom"/>
            <w:shd w:val="clear" w:color="auto" w:fill="EDEDED"/>
          </w:tcPr>
          <w:p>
            <w:pPr>
              <w:jc w:val="right"/>
              <w:ind w:right="879"/>
              <w:spacing w:after="0"/>
              <w:rPr>
                <w:sz w:val="20"/>
                <w:szCs w:val="20"/>
                <w:color w:val="auto"/>
              </w:rPr>
            </w:pPr>
            <w:r>
              <w:rPr>
                <w:rFonts w:ascii="Arial" w:cs="Arial" w:eastAsia="Arial" w:hAnsi="Arial"/>
                <w:sz w:val="16"/>
                <w:szCs w:val="16"/>
                <w:color w:val="auto"/>
              </w:rPr>
              <w:t>39,952</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EDED"/>
          </w:tcPr>
          <w:p>
            <w:pPr>
              <w:jc w:val="right"/>
              <w:ind w:right="599"/>
              <w:spacing w:after="0"/>
              <w:rPr>
                <w:sz w:val="20"/>
                <w:szCs w:val="20"/>
                <w:color w:val="auto"/>
              </w:rPr>
            </w:pPr>
            <w:r>
              <w:rPr>
                <w:rFonts w:ascii="Arial" w:cs="Arial" w:eastAsia="Arial" w:hAnsi="Arial"/>
                <w:sz w:val="16"/>
                <w:szCs w:val="16"/>
                <w:color w:val="auto"/>
              </w:rPr>
              <w:t>328,009</w:t>
            </w:r>
          </w:p>
        </w:tc>
      </w:tr>
      <w:tr>
        <w:trPr>
          <w:trHeight w:val="228"/>
        </w:trPr>
        <w:tc>
          <w:tcPr>
            <w:tcW w:w="1690" w:type="dxa"/>
            <w:vAlign w:val="bottom"/>
          </w:tcPr>
          <w:p>
            <w:pPr>
              <w:ind w:left="60"/>
              <w:spacing w:after="0"/>
              <w:rPr>
                <w:sz w:val="20"/>
                <w:szCs w:val="20"/>
                <w:color w:val="auto"/>
              </w:rPr>
            </w:pPr>
            <w:r>
              <w:rPr>
                <w:rFonts w:ascii="Arial" w:cs="Arial" w:eastAsia="Arial" w:hAnsi="Arial"/>
                <w:sz w:val="16"/>
                <w:szCs w:val="16"/>
                <w:color w:val="auto"/>
              </w:rPr>
              <w:t>Mark Morais</w:t>
            </w:r>
          </w:p>
        </w:tc>
        <w:tc>
          <w:tcPr>
            <w:tcW w:w="2470" w:type="dxa"/>
            <w:vAlign w:val="bottom"/>
          </w:tcPr>
          <w:p>
            <w:pPr>
              <w:ind w:left="1170"/>
              <w:spacing w:after="0"/>
              <w:rPr>
                <w:sz w:val="20"/>
                <w:szCs w:val="20"/>
                <w:color w:val="auto"/>
              </w:rPr>
            </w:pPr>
            <w:r>
              <w:rPr>
                <w:rFonts w:ascii="Arial" w:cs="Arial" w:eastAsia="Arial" w:hAnsi="Arial"/>
                <w:sz w:val="16"/>
                <w:szCs w:val="16"/>
                <w:color w:val="auto"/>
              </w:rPr>
              <w:t>—</w:t>
            </w:r>
          </w:p>
        </w:tc>
        <w:tc>
          <w:tcPr>
            <w:tcW w:w="2000" w:type="dxa"/>
            <w:vAlign w:val="bottom"/>
          </w:tcPr>
          <w:p>
            <w:pPr>
              <w:ind w:left="960"/>
              <w:spacing w:after="0"/>
              <w:rPr>
                <w:sz w:val="20"/>
                <w:szCs w:val="20"/>
                <w:color w:val="auto"/>
              </w:rPr>
            </w:pPr>
            <w:r>
              <w:rPr>
                <w:rFonts w:ascii="Arial" w:cs="Arial" w:eastAsia="Arial" w:hAnsi="Arial"/>
                <w:sz w:val="16"/>
                <w:szCs w:val="16"/>
                <w:color w:val="auto"/>
              </w:rPr>
              <w:t>—</w:t>
            </w:r>
          </w:p>
        </w:tc>
        <w:tc>
          <w:tcPr>
            <w:tcW w:w="2580" w:type="dxa"/>
            <w:vAlign w:val="bottom"/>
          </w:tcPr>
          <w:p>
            <w:pPr>
              <w:jc w:val="right"/>
              <w:ind w:right="879"/>
              <w:spacing w:after="0"/>
              <w:rPr>
                <w:sz w:val="20"/>
                <w:szCs w:val="20"/>
                <w:color w:val="auto"/>
              </w:rPr>
            </w:pPr>
            <w:r>
              <w:rPr>
                <w:rFonts w:ascii="Arial" w:cs="Arial" w:eastAsia="Arial" w:hAnsi="Arial"/>
                <w:sz w:val="16"/>
                <w:szCs w:val="16"/>
                <w:color w:val="auto"/>
              </w:rPr>
              <w:t>39,522</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9"/>
              <w:spacing w:after="0"/>
              <w:rPr>
                <w:sz w:val="20"/>
                <w:szCs w:val="20"/>
                <w:color w:val="auto"/>
              </w:rPr>
            </w:pPr>
            <w:r>
              <w:rPr>
                <w:rFonts w:ascii="Arial" w:cs="Arial" w:eastAsia="Arial" w:hAnsi="Arial"/>
                <w:sz w:val="16"/>
                <w:szCs w:val="16"/>
                <w:color w:val="auto"/>
              </w:rPr>
              <w:t>324,803</w:t>
            </w:r>
          </w:p>
        </w:tc>
      </w:tr>
    </w:tbl>
    <w:p>
      <w:pPr>
        <w:spacing w:after="0" w:line="119" w:lineRule="exact"/>
        <w:rPr>
          <w:sz w:val="20"/>
          <w:szCs w:val="20"/>
          <w:color w:val="auto"/>
        </w:rPr>
      </w:pPr>
    </w:p>
    <w:p>
      <w:pPr>
        <w:ind w:left="440" w:right="400" w:hanging="324"/>
        <w:spacing w:after="0" w:line="243"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Pike’s employment ended on May 14, 2025. He entered into a consulting agreement through September 30, 2025. Mr. Pike’s outstanding RSUs were accelerated; however, his stock options expired without being exercised.</w:t>
      </w:r>
    </w:p>
    <w:p>
      <w:pPr>
        <w:spacing w:after="0" w:line="48" w:lineRule="exact"/>
        <w:rPr>
          <w:rFonts w:ascii="Arial" w:cs="Arial" w:eastAsia="Arial" w:hAnsi="Arial"/>
          <w:sz w:val="13"/>
          <w:szCs w:val="13"/>
          <w:color w:val="auto"/>
        </w:rPr>
      </w:pPr>
    </w:p>
    <w:p>
      <w:pPr>
        <w:ind w:left="440" w:hanging="324"/>
        <w:spacing w:after="0"/>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Thakral and Mr. Neupert had no stock vesting during 2025; therefore, they are not included in this table.</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Retirement Benefits</w:t>
      </w:r>
    </w:p>
    <w:p>
      <w:pPr>
        <w:spacing w:after="0" w:line="11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We maintain market competitive retirement programs for our executives as retirement compensation is an essential component of an overall total executive compensation package in that it provides security for the future needs of the executives and their families. Our NEOs are eligible to participate in our 401(k) Plan and receive Company matching contributions in the same manner as all other Company employees. For 2025, the Company’s 401(k) plan provided matching contributions up to 4% of an executive’s base salary, which are immediately vested.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Nonqualified Deferred Compensation</w:t>
      </w:r>
    </w:p>
    <w:p>
      <w:pPr>
        <w:spacing w:after="0" w:line="113"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The Fortrea NQDC Plan allows participants to defer up to 50% of their base salary and up to 90% of their annual incentive or bonus. The Fortrea NQDC Plan provides for similar investment options as our 401(k) plan and does not provide any match on employee contributions. The Fortrea NQDC Plan accounts are paid based on the participant’s selection at the time of the deferral, subject to the requirements of Section 409A of the Internal Revenue Code and may be paid in a lump sum, or a series of annual installments. Participants may elect to receive these distributions upon separation from service or upon the occurrence of one or more specified dates. All Fortrea NQDC Plan accounts are considered unfunded general contractual obligations and are subject to the claims of our general, unsecured creditors.</w:t>
      </w:r>
    </w:p>
    <w:p>
      <w:pPr>
        <w:spacing w:after="0" w:line="11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Any amounts provided in Executive Contributions Last Fiscal Year shown in the table below are exclusively associated with the Fortrea NQDC Plan, which assumed contributions and balances from the Labcorp NQDC Plan. Amounts provided in the Aggregate Earnings In Last Fiscal Year shown in the table below are associated with investment performance of assets over the course of 2025 in both the Fortrea NQDC Plan as well as the frozen Covance Deferred Compensation Plan.</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260" w:type="dxa"/>
            <w:vAlign w:val="bottom"/>
            <w:shd w:val="clear" w:color="auto" w:fill="0BC11C"/>
          </w:tcPr>
          <w:p>
            <w:pPr>
              <w:spacing w:after="0"/>
              <w:rPr>
                <w:sz w:val="19"/>
                <w:szCs w:val="19"/>
                <w:color w:val="auto"/>
              </w:rPr>
            </w:pPr>
          </w:p>
        </w:tc>
        <w:tc>
          <w:tcPr>
            <w:tcW w:w="2820" w:type="dxa"/>
            <w:vAlign w:val="bottom"/>
            <w:shd w:val="clear" w:color="auto" w:fill="0BC11C"/>
          </w:tcPr>
          <w:p>
            <w:pPr>
              <w:spacing w:after="0"/>
              <w:rPr>
                <w:sz w:val="19"/>
                <w:szCs w:val="19"/>
                <w:color w:val="auto"/>
              </w:rPr>
            </w:pPr>
          </w:p>
        </w:tc>
        <w:tc>
          <w:tcPr>
            <w:tcW w:w="230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Aggregate Earnings</w:t>
            </w:r>
          </w:p>
        </w:tc>
        <w:tc>
          <w:tcPr>
            <w:tcW w:w="2660" w:type="dxa"/>
            <w:vAlign w:val="bottom"/>
            <w:shd w:val="clear" w:color="auto" w:fill="0BC11C"/>
          </w:tcPr>
          <w:p>
            <w:pPr>
              <w:jc w:val="right"/>
              <w:ind w:right="853"/>
              <w:spacing w:after="0"/>
              <w:rPr>
                <w:sz w:val="20"/>
                <w:szCs w:val="20"/>
                <w:color w:val="auto"/>
              </w:rPr>
            </w:pPr>
            <w:r>
              <w:rPr>
                <w:rFonts w:ascii="Arial" w:cs="Arial" w:eastAsia="Arial" w:hAnsi="Arial"/>
                <w:sz w:val="16"/>
                <w:szCs w:val="16"/>
                <w:b w:val="1"/>
                <w:bCs w:val="1"/>
                <w:color w:val="FFFFFF"/>
              </w:rPr>
              <w:t>Aggregate</w:t>
            </w:r>
          </w:p>
        </w:tc>
        <w:tc>
          <w:tcPr>
            <w:tcW w:w="198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1260" w:type="dxa"/>
            <w:vAlign w:val="bottom"/>
            <w:shd w:val="clear" w:color="auto" w:fill="0BC11C"/>
          </w:tcPr>
          <w:p>
            <w:pPr>
              <w:spacing w:after="0"/>
              <w:rPr>
                <w:sz w:val="16"/>
                <w:szCs w:val="16"/>
                <w:color w:val="auto"/>
              </w:rPr>
            </w:pPr>
          </w:p>
        </w:tc>
        <w:tc>
          <w:tcPr>
            <w:tcW w:w="2820" w:type="dxa"/>
            <w:vAlign w:val="bottom"/>
            <w:shd w:val="clear" w:color="auto" w:fill="0BC11C"/>
          </w:tcPr>
          <w:p>
            <w:pPr>
              <w:jc w:val="right"/>
              <w:ind w:right="353"/>
              <w:spacing w:after="0"/>
              <w:rPr>
                <w:sz w:val="20"/>
                <w:szCs w:val="20"/>
                <w:color w:val="auto"/>
              </w:rPr>
            </w:pPr>
            <w:r>
              <w:rPr>
                <w:rFonts w:ascii="Arial" w:cs="Arial" w:eastAsia="Arial" w:hAnsi="Arial"/>
                <w:sz w:val="16"/>
                <w:szCs w:val="16"/>
                <w:b w:val="1"/>
                <w:bCs w:val="1"/>
                <w:color w:val="FFFFFF"/>
              </w:rPr>
              <w:t>Executive Contributions</w:t>
            </w:r>
          </w:p>
        </w:tc>
        <w:tc>
          <w:tcPr>
            <w:tcW w:w="230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in Last Fiscal Year</w:t>
            </w:r>
          </w:p>
        </w:tc>
        <w:tc>
          <w:tcPr>
            <w:tcW w:w="2660" w:type="dxa"/>
            <w:vAlign w:val="bottom"/>
            <w:shd w:val="clear" w:color="auto" w:fill="0BC11C"/>
          </w:tcPr>
          <w:p>
            <w:pPr>
              <w:jc w:val="right"/>
              <w:ind w:right="253"/>
              <w:spacing w:after="0"/>
              <w:rPr>
                <w:sz w:val="20"/>
                <w:szCs w:val="20"/>
                <w:color w:val="auto"/>
              </w:rPr>
            </w:pPr>
            <w:r>
              <w:rPr>
                <w:rFonts w:ascii="Arial" w:cs="Arial" w:eastAsia="Arial" w:hAnsi="Arial"/>
                <w:sz w:val="16"/>
                <w:szCs w:val="16"/>
                <w:b w:val="1"/>
                <w:bCs w:val="1"/>
                <w:color w:val="FFFFFF"/>
              </w:rPr>
              <w:t>Withdrawals/Distributions</w:t>
            </w:r>
          </w:p>
        </w:tc>
        <w:tc>
          <w:tcPr>
            <w:tcW w:w="198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Balance at Last</w:t>
            </w:r>
          </w:p>
        </w:tc>
      </w:tr>
      <w:tr>
        <w:trPr>
          <w:trHeight w:val="244"/>
        </w:trPr>
        <w:tc>
          <w:tcPr>
            <w:tcW w:w="1260" w:type="dxa"/>
            <w:vAlign w:val="bottom"/>
            <w:shd w:val="clear" w:color="auto" w:fill="0BC11C"/>
          </w:tcPr>
          <w:p>
            <w:pPr>
              <w:ind w:left="60"/>
              <w:spacing w:after="0"/>
              <w:rPr>
                <w:sz w:val="20"/>
                <w:szCs w:val="20"/>
                <w:color w:val="auto"/>
              </w:rPr>
            </w:pPr>
            <w:r>
              <w:rPr>
                <w:rFonts w:ascii="Arial" w:cs="Arial" w:eastAsia="Arial" w:hAnsi="Arial"/>
                <w:sz w:val="16"/>
                <w:szCs w:val="16"/>
                <w:b w:val="1"/>
                <w:bCs w:val="1"/>
                <w:color w:val="FFFFFF"/>
              </w:rPr>
              <w:t>Name</w:t>
            </w:r>
          </w:p>
        </w:tc>
        <w:tc>
          <w:tcPr>
            <w:tcW w:w="2820" w:type="dxa"/>
            <w:vAlign w:val="bottom"/>
            <w:shd w:val="clear" w:color="auto" w:fill="0BC11C"/>
          </w:tcPr>
          <w:p>
            <w:pPr>
              <w:jc w:val="right"/>
              <w:ind w:right="453"/>
              <w:spacing w:after="0"/>
              <w:rPr>
                <w:sz w:val="20"/>
                <w:szCs w:val="20"/>
                <w:color w:val="auto"/>
              </w:rPr>
            </w:pPr>
            <w:r>
              <w:rPr>
                <w:rFonts w:ascii="Arial" w:cs="Arial" w:eastAsia="Arial" w:hAnsi="Arial"/>
                <w:sz w:val="16"/>
                <w:szCs w:val="16"/>
                <w:b w:val="1"/>
                <w:bCs w:val="1"/>
                <w:color w:val="FFFFFF"/>
              </w:rPr>
              <w:t>in Last Fiscal Year ($)</w:t>
            </w:r>
          </w:p>
        </w:tc>
        <w:tc>
          <w:tcPr>
            <w:tcW w:w="230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rPr>
              <w:t>($)</w:t>
            </w:r>
          </w:p>
        </w:tc>
        <w:tc>
          <w:tcPr>
            <w:tcW w:w="2660" w:type="dxa"/>
            <w:vAlign w:val="bottom"/>
            <w:shd w:val="clear" w:color="auto" w:fill="0BC11C"/>
          </w:tcPr>
          <w:p>
            <w:pPr>
              <w:jc w:val="right"/>
              <w:ind w:right="1153"/>
              <w:spacing w:after="0"/>
              <w:rPr>
                <w:sz w:val="20"/>
                <w:szCs w:val="20"/>
                <w:color w:val="auto"/>
              </w:rPr>
            </w:pPr>
            <w:r>
              <w:rPr>
                <w:rFonts w:ascii="Arial" w:cs="Arial" w:eastAsia="Arial" w:hAnsi="Arial"/>
                <w:sz w:val="16"/>
                <w:szCs w:val="16"/>
                <w:b w:val="1"/>
                <w:bCs w:val="1"/>
                <w:color w:val="FFFFFF"/>
              </w:rPr>
              <w:t>($)</w:t>
            </w:r>
          </w:p>
        </w:tc>
        <w:tc>
          <w:tcPr>
            <w:tcW w:w="1980" w:type="dxa"/>
            <w:vAlign w:val="bottom"/>
            <w:shd w:val="clear" w:color="auto" w:fill="0BC11C"/>
          </w:tcPr>
          <w:p>
            <w:pPr>
              <w:jc w:val="center"/>
              <w:spacing w:after="0"/>
              <w:rPr>
                <w:sz w:val="20"/>
                <w:szCs w:val="20"/>
                <w:color w:val="auto"/>
              </w:rPr>
            </w:pPr>
            <w:r>
              <w:rPr>
                <w:rFonts w:ascii="Arial" w:cs="Arial" w:eastAsia="Arial" w:hAnsi="Arial"/>
                <w:sz w:val="16"/>
                <w:szCs w:val="16"/>
                <w:b w:val="1"/>
                <w:bCs w:val="1"/>
                <w:color w:val="FFFFFF"/>
                <w:w w:val="99"/>
              </w:rPr>
              <w:t>Fiscal Year-End</w:t>
            </w:r>
          </w:p>
        </w:tc>
      </w:tr>
      <w:tr>
        <w:trPr>
          <w:trHeight w:val="211"/>
        </w:trPr>
        <w:tc>
          <w:tcPr>
            <w:tcW w:w="1260" w:type="dxa"/>
            <w:vAlign w:val="bottom"/>
          </w:tcPr>
          <w:p>
            <w:pPr>
              <w:ind w:left="60"/>
              <w:spacing w:after="0"/>
              <w:rPr>
                <w:sz w:val="20"/>
                <w:szCs w:val="20"/>
                <w:color w:val="auto"/>
              </w:rPr>
            </w:pPr>
            <w:r>
              <w:rPr>
                <w:rFonts w:ascii="Arial" w:cs="Arial" w:eastAsia="Arial" w:hAnsi="Arial"/>
                <w:sz w:val="18"/>
                <w:szCs w:val="18"/>
                <w:color w:val="auto"/>
              </w:rPr>
              <w:t>Anshul</w:t>
            </w:r>
          </w:p>
        </w:tc>
        <w:tc>
          <w:tcPr>
            <w:tcW w:w="2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44"/>
        </w:trPr>
        <w:tc>
          <w:tcPr>
            <w:tcW w:w="1260" w:type="dxa"/>
            <w:vAlign w:val="bottom"/>
          </w:tcPr>
          <w:p>
            <w:pPr>
              <w:ind w:left="240"/>
              <w:spacing w:after="0"/>
              <w:rPr>
                <w:sz w:val="20"/>
                <w:szCs w:val="20"/>
                <w:color w:val="auto"/>
              </w:rPr>
            </w:pPr>
            <w:r>
              <w:rPr>
                <w:rFonts w:ascii="Arial" w:cs="Arial" w:eastAsia="Arial" w:hAnsi="Arial"/>
                <w:sz w:val="18"/>
                <w:szCs w:val="18"/>
                <w:color w:val="auto"/>
              </w:rPr>
              <w:t>Thakral</w:t>
            </w:r>
          </w:p>
        </w:tc>
        <w:tc>
          <w:tcPr>
            <w:tcW w:w="282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133"/>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3"/>
              <w:spacing w:after="0"/>
              <w:rPr>
                <w:sz w:val="20"/>
                <w:szCs w:val="20"/>
                <w:color w:val="auto"/>
              </w:rPr>
            </w:pPr>
            <w:r>
              <w:rPr>
                <w:rFonts w:ascii="Arial" w:cs="Arial" w:eastAsia="Arial" w:hAnsi="Arial"/>
                <w:sz w:val="18"/>
                <w:szCs w:val="18"/>
                <w:color w:val="auto"/>
              </w:rPr>
              <w:t>—</w:t>
            </w:r>
          </w:p>
        </w:tc>
      </w:tr>
      <w:tr>
        <w:trPr>
          <w:trHeight w:val="261"/>
        </w:trPr>
        <w:tc>
          <w:tcPr>
            <w:tcW w:w="1260" w:type="dxa"/>
            <w:vAlign w:val="bottom"/>
            <w:shd w:val="clear" w:color="auto" w:fill="EDEDED"/>
          </w:tcPr>
          <w:p>
            <w:pPr>
              <w:ind w:left="60"/>
              <w:spacing w:after="0"/>
              <w:rPr>
                <w:sz w:val="20"/>
                <w:szCs w:val="20"/>
                <w:color w:val="auto"/>
              </w:rPr>
            </w:pPr>
            <w:r>
              <w:rPr>
                <w:rFonts w:ascii="Arial" w:cs="Arial" w:eastAsia="Arial" w:hAnsi="Arial"/>
                <w:sz w:val="18"/>
                <w:szCs w:val="18"/>
                <w:color w:val="auto"/>
              </w:rPr>
              <w:t>Jill McConnell</w:t>
            </w:r>
          </w:p>
        </w:tc>
        <w:tc>
          <w:tcPr>
            <w:tcW w:w="2820" w:type="dxa"/>
            <w:vAlign w:val="bottom"/>
            <w:shd w:val="clear" w:color="auto" w:fill="EDEDED"/>
          </w:tcPr>
          <w:p>
            <w:pPr>
              <w:jc w:val="right"/>
              <w:ind w:right="953"/>
              <w:spacing w:after="0"/>
              <w:rPr>
                <w:sz w:val="20"/>
                <w:szCs w:val="20"/>
                <w:color w:val="auto"/>
              </w:rPr>
            </w:pPr>
            <w:r>
              <w:rPr>
                <w:rFonts w:ascii="Arial" w:cs="Arial" w:eastAsia="Arial" w:hAnsi="Arial"/>
                <w:sz w:val="18"/>
                <w:szCs w:val="18"/>
                <w:color w:val="auto"/>
              </w:rPr>
              <w:t>—</w:t>
            </w:r>
          </w:p>
        </w:tc>
        <w:tc>
          <w:tcPr>
            <w:tcW w:w="2300" w:type="dxa"/>
            <w:vAlign w:val="bottom"/>
            <w:shd w:val="clear" w:color="auto" w:fill="EDEDED"/>
          </w:tcPr>
          <w:p>
            <w:pPr>
              <w:jc w:val="right"/>
              <w:ind w:right="693"/>
              <w:spacing w:after="0"/>
              <w:rPr>
                <w:sz w:val="20"/>
                <w:szCs w:val="20"/>
                <w:color w:val="auto"/>
              </w:rPr>
            </w:pPr>
            <w:r>
              <w:rPr>
                <w:rFonts w:ascii="Arial" w:cs="Arial" w:eastAsia="Arial" w:hAnsi="Arial"/>
                <w:sz w:val="18"/>
                <w:szCs w:val="18"/>
                <w:color w:val="auto"/>
              </w:rPr>
              <w:t>—</w:t>
            </w:r>
          </w:p>
        </w:tc>
        <w:tc>
          <w:tcPr>
            <w:tcW w:w="2660" w:type="dxa"/>
            <w:vAlign w:val="bottom"/>
            <w:shd w:val="clear" w:color="auto" w:fill="EDEDED"/>
          </w:tcPr>
          <w:p>
            <w:pPr>
              <w:jc w:val="right"/>
              <w:ind w:right="1133"/>
              <w:spacing w:after="0"/>
              <w:rPr>
                <w:sz w:val="20"/>
                <w:szCs w:val="20"/>
                <w:color w:val="auto"/>
              </w:rPr>
            </w:pPr>
            <w:r>
              <w:rPr>
                <w:rFonts w:ascii="Arial" w:cs="Arial" w:eastAsia="Arial" w:hAnsi="Arial"/>
                <w:sz w:val="18"/>
                <w:szCs w:val="18"/>
                <w:color w:val="auto"/>
              </w:rPr>
              <w:t>—</w:t>
            </w:r>
          </w:p>
        </w:tc>
        <w:tc>
          <w:tcPr>
            <w:tcW w:w="1980" w:type="dxa"/>
            <w:vAlign w:val="bottom"/>
            <w:shd w:val="clear" w:color="auto" w:fill="EDEDED"/>
          </w:tcPr>
          <w:p>
            <w:pPr>
              <w:jc w:val="right"/>
              <w:ind w:right="513"/>
              <w:spacing w:after="0"/>
              <w:rPr>
                <w:sz w:val="20"/>
                <w:szCs w:val="20"/>
                <w:color w:val="auto"/>
              </w:rPr>
            </w:pPr>
            <w:r>
              <w:rPr>
                <w:rFonts w:ascii="Arial" w:cs="Arial" w:eastAsia="Arial" w:hAnsi="Arial"/>
                <w:sz w:val="18"/>
                <w:szCs w:val="18"/>
                <w:color w:val="auto"/>
              </w:rPr>
              <w:t>—</w:t>
            </w:r>
          </w:p>
        </w:tc>
      </w:tr>
      <w:tr>
        <w:trPr>
          <w:trHeight w:val="252"/>
        </w:trPr>
        <w:tc>
          <w:tcPr>
            <w:tcW w:w="1260" w:type="dxa"/>
            <w:vAlign w:val="bottom"/>
          </w:tcPr>
          <w:p>
            <w:pPr>
              <w:ind w:left="60"/>
              <w:spacing w:after="0"/>
              <w:rPr>
                <w:sz w:val="20"/>
                <w:szCs w:val="20"/>
                <w:color w:val="auto"/>
              </w:rPr>
            </w:pPr>
            <w:r>
              <w:rPr>
                <w:rFonts w:ascii="Arial" w:cs="Arial" w:eastAsia="Arial" w:hAnsi="Arial"/>
                <w:sz w:val="18"/>
                <w:szCs w:val="18"/>
                <w:color w:val="auto"/>
              </w:rPr>
              <w:t>Mark Morais</w:t>
            </w:r>
          </w:p>
        </w:tc>
        <w:tc>
          <w:tcPr>
            <w:tcW w:w="2820" w:type="dxa"/>
            <w:vAlign w:val="bottom"/>
          </w:tcPr>
          <w:p>
            <w:pPr>
              <w:jc w:val="right"/>
              <w:ind w:right="953"/>
              <w:spacing w:after="0"/>
              <w:rPr>
                <w:sz w:val="20"/>
                <w:szCs w:val="20"/>
                <w:color w:val="auto"/>
              </w:rPr>
            </w:pPr>
            <w:r>
              <w:rPr>
                <w:rFonts w:ascii="Arial" w:cs="Arial" w:eastAsia="Arial" w:hAnsi="Arial"/>
                <w:sz w:val="18"/>
                <w:szCs w:val="18"/>
                <w:color w:val="auto"/>
              </w:rPr>
              <w:t>$25,329</w:t>
            </w:r>
          </w:p>
        </w:tc>
        <w:tc>
          <w:tcPr>
            <w:tcW w:w="2300" w:type="dxa"/>
            <w:vAlign w:val="bottom"/>
          </w:tcPr>
          <w:p>
            <w:pPr>
              <w:jc w:val="right"/>
              <w:ind w:right="693"/>
              <w:spacing w:after="0"/>
              <w:rPr>
                <w:sz w:val="20"/>
                <w:szCs w:val="20"/>
                <w:color w:val="auto"/>
              </w:rPr>
            </w:pPr>
            <w:r>
              <w:rPr>
                <w:rFonts w:ascii="Arial" w:cs="Arial" w:eastAsia="Arial" w:hAnsi="Arial"/>
                <w:sz w:val="18"/>
                <w:szCs w:val="18"/>
                <w:color w:val="auto"/>
              </w:rPr>
              <w:t>$27,252</w:t>
            </w:r>
          </w:p>
        </w:tc>
        <w:tc>
          <w:tcPr>
            <w:tcW w:w="2660" w:type="dxa"/>
            <w:vAlign w:val="bottom"/>
          </w:tcPr>
          <w:p>
            <w:pPr>
              <w:jc w:val="right"/>
              <w:ind w:right="1133"/>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3"/>
              <w:spacing w:after="0"/>
              <w:rPr>
                <w:sz w:val="20"/>
                <w:szCs w:val="20"/>
                <w:color w:val="auto"/>
              </w:rPr>
            </w:pPr>
            <w:r>
              <w:rPr>
                <w:rFonts w:ascii="Arial" w:cs="Arial" w:eastAsia="Arial" w:hAnsi="Arial"/>
                <w:sz w:val="18"/>
                <w:szCs w:val="18"/>
                <w:color w:val="auto"/>
              </w:rPr>
              <w:t>$217,310</w:t>
            </w:r>
          </w:p>
        </w:tc>
      </w:tr>
      <w:tr>
        <w:trPr>
          <w:trHeight w:val="261"/>
        </w:trPr>
        <w:tc>
          <w:tcPr>
            <w:tcW w:w="1260" w:type="dxa"/>
            <w:vAlign w:val="bottom"/>
            <w:shd w:val="clear" w:color="auto" w:fill="EDEDED"/>
          </w:tcPr>
          <w:p>
            <w:pPr>
              <w:ind w:left="60"/>
              <w:spacing w:after="0"/>
              <w:rPr>
                <w:sz w:val="20"/>
                <w:szCs w:val="20"/>
                <w:color w:val="auto"/>
              </w:rPr>
            </w:pPr>
            <w:r>
              <w:rPr>
                <w:rFonts w:ascii="Arial" w:cs="Arial" w:eastAsia="Arial" w:hAnsi="Arial"/>
                <w:sz w:val="18"/>
                <w:szCs w:val="18"/>
                <w:color w:val="auto"/>
              </w:rPr>
              <w:t>Thomas Pike</w:t>
            </w:r>
          </w:p>
        </w:tc>
        <w:tc>
          <w:tcPr>
            <w:tcW w:w="2820" w:type="dxa"/>
            <w:vAlign w:val="bottom"/>
            <w:shd w:val="clear" w:color="auto" w:fill="EDEDED"/>
          </w:tcPr>
          <w:p>
            <w:pPr>
              <w:jc w:val="right"/>
              <w:ind w:right="953"/>
              <w:spacing w:after="0"/>
              <w:rPr>
                <w:sz w:val="20"/>
                <w:szCs w:val="20"/>
                <w:color w:val="auto"/>
              </w:rPr>
            </w:pPr>
            <w:r>
              <w:rPr>
                <w:rFonts w:ascii="Arial" w:cs="Arial" w:eastAsia="Arial" w:hAnsi="Arial"/>
                <w:sz w:val="18"/>
                <w:szCs w:val="18"/>
                <w:color w:val="auto"/>
              </w:rPr>
              <w:t>—</w:t>
            </w:r>
          </w:p>
        </w:tc>
        <w:tc>
          <w:tcPr>
            <w:tcW w:w="2300" w:type="dxa"/>
            <w:vAlign w:val="bottom"/>
            <w:shd w:val="clear" w:color="auto" w:fill="EDEDED"/>
          </w:tcPr>
          <w:p>
            <w:pPr>
              <w:jc w:val="right"/>
              <w:ind w:right="693"/>
              <w:spacing w:after="0"/>
              <w:rPr>
                <w:sz w:val="20"/>
                <w:szCs w:val="20"/>
                <w:color w:val="auto"/>
              </w:rPr>
            </w:pPr>
            <w:r>
              <w:rPr>
                <w:rFonts w:ascii="Arial" w:cs="Arial" w:eastAsia="Arial" w:hAnsi="Arial"/>
                <w:sz w:val="18"/>
                <w:szCs w:val="18"/>
                <w:color w:val="auto"/>
              </w:rPr>
              <w:t>—</w:t>
            </w:r>
          </w:p>
        </w:tc>
        <w:tc>
          <w:tcPr>
            <w:tcW w:w="2660" w:type="dxa"/>
            <w:vAlign w:val="bottom"/>
            <w:shd w:val="clear" w:color="auto" w:fill="EDEDED"/>
          </w:tcPr>
          <w:p>
            <w:pPr>
              <w:jc w:val="right"/>
              <w:ind w:right="1133"/>
              <w:spacing w:after="0"/>
              <w:rPr>
                <w:sz w:val="20"/>
                <w:szCs w:val="20"/>
                <w:color w:val="auto"/>
              </w:rPr>
            </w:pPr>
            <w:r>
              <w:rPr>
                <w:rFonts w:ascii="Arial" w:cs="Arial" w:eastAsia="Arial" w:hAnsi="Arial"/>
                <w:sz w:val="18"/>
                <w:szCs w:val="18"/>
                <w:color w:val="auto"/>
              </w:rPr>
              <w:t>—</w:t>
            </w:r>
          </w:p>
        </w:tc>
        <w:tc>
          <w:tcPr>
            <w:tcW w:w="1980" w:type="dxa"/>
            <w:vAlign w:val="bottom"/>
            <w:shd w:val="clear" w:color="auto" w:fill="EDEDED"/>
          </w:tcPr>
          <w:p>
            <w:pPr>
              <w:jc w:val="right"/>
              <w:ind w:right="513"/>
              <w:spacing w:after="0"/>
              <w:rPr>
                <w:sz w:val="20"/>
                <w:szCs w:val="20"/>
                <w:color w:val="auto"/>
              </w:rPr>
            </w:pPr>
            <w:r>
              <w:rPr>
                <w:rFonts w:ascii="Arial" w:cs="Arial" w:eastAsia="Arial" w:hAnsi="Arial"/>
                <w:sz w:val="18"/>
                <w:szCs w:val="18"/>
                <w:color w:val="auto"/>
              </w:rPr>
              <w:t>—</w:t>
            </w:r>
          </w:p>
        </w:tc>
      </w:tr>
      <w:tr>
        <w:trPr>
          <w:trHeight w:val="247"/>
        </w:trPr>
        <w:tc>
          <w:tcPr>
            <w:tcW w:w="1260" w:type="dxa"/>
            <w:vAlign w:val="bottom"/>
          </w:tcPr>
          <w:p>
            <w:pPr>
              <w:ind w:left="60"/>
              <w:spacing w:after="0"/>
              <w:rPr>
                <w:sz w:val="20"/>
                <w:szCs w:val="20"/>
                <w:color w:val="auto"/>
              </w:rPr>
            </w:pPr>
            <w:r>
              <w:rPr>
                <w:rFonts w:ascii="Arial" w:cs="Arial" w:eastAsia="Arial" w:hAnsi="Arial"/>
                <w:sz w:val="18"/>
                <w:szCs w:val="18"/>
                <w:color w:val="auto"/>
              </w:rPr>
              <w:t>Peter Neupert</w:t>
            </w:r>
          </w:p>
        </w:tc>
        <w:tc>
          <w:tcPr>
            <w:tcW w:w="282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133"/>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3"/>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Executive contributions are included in the salary for 2025 in the Summary Compensation Table. Mr. Morais has $87,280.07 associated with the Fortrea NQDC Plan; and $130,029.66 associated with the frozen Covance NQDC Plan. Mr. Morais is the only NEO participating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tables that follow provide information related to compensation payable to each NEO, assuming termination of such executive’s employment on December 31, 2025, or assuming a change in control with a corresponding qualifying termination occurring on December 31, 2025. Amounts also assume the price of our common stock was $17.25, the closing price on December 31, 2025, the last trading day of 2025.</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Potential Payments Upon Termination per Executive Severance Plan</w:t>
      </w:r>
    </w:p>
    <w:p>
      <w:pPr>
        <w:spacing w:after="0" w:line="11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Mr. Thakral, Ms. McConnell, and Mr. Morais are eligible to participate in the Executive Severance Plan adopted by Fortrea in connection with the Spin and as amended by the Board in connection with Mr. Thakral’s appointment as President and Chief Executive Officer, which provides participants with financial protection in circumstances involving a qualifying termination (which will generally include an involuntary termination without “cause” or voluntary termination with “good reason” (as such terms are defined in the Executive Severance Plan)). The severance payments for executives employed at or above Executive Vice President under the Executive Severance Plan in the event of a qualifying termination will be equal to the sum of the executive’s annual base salary and annual target bonus for the year of the qualifying termination (or, in the event that the qualifying termination occurs within 24 months following a “change in control” (as defined in the Executive Severance Plan), two times the sum of the executive’s annual base salary and annual target bonus for the year of the qualifying termination).</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00" w:type="dxa"/>
            <w:vAlign w:val="bottom"/>
            <w:shd w:val="clear" w:color="auto" w:fill="0BC11C"/>
          </w:tcPr>
          <w:p>
            <w:pPr>
              <w:spacing w:after="0"/>
              <w:rPr>
                <w:sz w:val="17"/>
                <w:szCs w:val="17"/>
                <w:color w:val="auto"/>
              </w:rPr>
            </w:pPr>
          </w:p>
        </w:tc>
        <w:tc>
          <w:tcPr>
            <w:tcW w:w="2360" w:type="dxa"/>
            <w:vAlign w:val="bottom"/>
            <w:shd w:val="clear" w:color="auto" w:fill="0BC11C"/>
          </w:tcPr>
          <w:p>
            <w:pPr>
              <w:spacing w:after="0"/>
              <w:rPr>
                <w:sz w:val="17"/>
                <w:szCs w:val="17"/>
                <w:color w:val="auto"/>
              </w:rPr>
            </w:pPr>
          </w:p>
        </w:tc>
        <w:tc>
          <w:tcPr>
            <w:tcW w:w="1080" w:type="dxa"/>
            <w:vAlign w:val="bottom"/>
            <w:shd w:val="clear" w:color="auto" w:fill="0BC11C"/>
          </w:tcPr>
          <w:p>
            <w:pPr>
              <w:spacing w:after="0"/>
              <w:rPr>
                <w:sz w:val="17"/>
                <w:szCs w:val="17"/>
                <w:color w:val="auto"/>
              </w:rPr>
            </w:pPr>
          </w:p>
        </w:tc>
        <w:tc>
          <w:tcPr>
            <w:tcW w:w="1280" w:type="dxa"/>
            <w:vAlign w:val="bottom"/>
            <w:gridSpan w:val="2"/>
            <w:shd w:val="clear" w:color="auto" w:fill="0BC11C"/>
          </w:tcPr>
          <w:p>
            <w:pPr>
              <w:jc w:val="center"/>
              <w:spacing w:after="0"/>
              <w:rPr>
                <w:sz w:val="20"/>
                <w:szCs w:val="20"/>
                <w:color w:val="auto"/>
              </w:rPr>
            </w:pPr>
            <w:r>
              <w:rPr>
                <w:rFonts w:ascii="Arial" w:cs="Arial" w:eastAsia="Arial" w:hAnsi="Arial"/>
                <w:sz w:val="14"/>
                <w:szCs w:val="14"/>
                <w:b w:val="1"/>
                <w:bCs w:val="1"/>
                <w:color w:val="FFFFFF"/>
              </w:rPr>
              <w:t>Involuntary Not</w:t>
            </w:r>
          </w:p>
        </w:tc>
        <w:tc>
          <w:tcPr>
            <w:tcW w:w="1000" w:type="dxa"/>
            <w:vAlign w:val="bottom"/>
            <w:shd w:val="clear" w:color="auto" w:fill="0BC11C"/>
          </w:tcPr>
          <w:p>
            <w:pPr>
              <w:spacing w:after="0"/>
              <w:rPr>
                <w:sz w:val="17"/>
                <w:szCs w:val="17"/>
                <w:color w:val="auto"/>
              </w:rPr>
            </w:pPr>
          </w:p>
        </w:tc>
        <w:tc>
          <w:tcPr>
            <w:tcW w:w="260" w:type="dxa"/>
            <w:vAlign w:val="bottom"/>
            <w:shd w:val="clear" w:color="auto" w:fill="0BC11C"/>
          </w:tcPr>
          <w:p>
            <w:pPr>
              <w:spacing w:after="0"/>
              <w:rPr>
                <w:sz w:val="17"/>
                <w:szCs w:val="17"/>
                <w:color w:val="auto"/>
              </w:rPr>
            </w:pPr>
          </w:p>
        </w:tc>
        <w:tc>
          <w:tcPr>
            <w:tcW w:w="880" w:type="dxa"/>
            <w:vAlign w:val="bottom"/>
            <w:shd w:val="clear" w:color="auto" w:fill="0BC11C"/>
          </w:tcPr>
          <w:p>
            <w:pPr>
              <w:spacing w:after="0"/>
              <w:rPr>
                <w:sz w:val="17"/>
                <w:szCs w:val="17"/>
                <w:color w:val="auto"/>
              </w:rPr>
            </w:pPr>
          </w:p>
        </w:tc>
        <w:tc>
          <w:tcPr>
            <w:tcW w:w="200" w:type="dxa"/>
            <w:vAlign w:val="bottom"/>
            <w:shd w:val="clear" w:color="auto" w:fill="0BC11C"/>
          </w:tcPr>
          <w:p>
            <w:pPr>
              <w:spacing w:after="0"/>
              <w:rPr>
                <w:sz w:val="17"/>
                <w:szCs w:val="17"/>
                <w:color w:val="auto"/>
              </w:rPr>
            </w:pPr>
          </w:p>
        </w:tc>
        <w:tc>
          <w:tcPr>
            <w:tcW w:w="900" w:type="dxa"/>
            <w:vAlign w:val="bottom"/>
            <w:shd w:val="clear" w:color="auto" w:fill="0BC11C"/>
          </w:tcPr>
          <w:p>
            <w:pPr>
              <w:spacing w:after="0"/>
              <w:rPr>
                <w:sz w:val="17"/>
                <w:szCs w:val="17"/>
                <w:color w:val="auto"/>
              </w:rPr>
            </w:pPr>
          </w:p>
        </w:tc>
        <w:tc>
          <w:tcPr>
            <w:tcW w:w="200" w:type="dxa"/>
            <w:vAlign w:val="bottom"/>
            <w:shd w:val="clear" w:color="auto" w:fill="0BC11C"/>
          </w:tcPr>
          <w:p>
            <w:pPr>
              <w:spacing w:after="0"/>
              <w:rPr>
                <w:sz w:val="17"/>
                <w:szCs w:val="17"/>
                <w:color w:val="auto"/>
              </w:rPr>
            </w:pPr>
          </w:p>
        </w:tc>
        <w:tc>
          <w:tcPr>
            <w:tcW w:w="860" w:type="dxa"/>
            <w:vAlign w:val="bottom"/>
            <w:shd w:val="clear" w:color="auto" w:fill="0BC11C"/>
          </w:tcPr>
          <w:p>
            <w:pPr>
              <w:spacing w:after="0"/>
              <w:rPr>
                <w:sz w:val="17"/>
                <w:szCs w:val="17"/>
                <w:color w:val="auto"/>
              </w:rPr>
            </w:pPr>
          </w:p>
        </w:tc>
      </w:tr>
      <w:tr>
        <w:trPr>
          <w:trHeight w:val="162"/>
        </w:trPr>
        <w:tc>
          <w:tcPr>
            <w:tcW w:w="2000" w:type="dxa"/>
            <w:vAlign w:val="bottom"/>
            <w:shd w:val="clear" w:color="auto" w:fill="0BC11C"/>
          </w:tcPr>
          <w:p>
            <w:pPr>
              <w:spacing w:after="0"/>
              <w:rPr>
                <w:sz w:val="14"/>
                <w:szCs w:val="14"/>
                <w:color w:val="auto"/>
              </w:rPr>
            </w:pPr>
          </w:p>
        </w:tc>
        <w:tc>
          <w:tcPr>
            <w:tcW w:w="2360" w:type="dxa"/>
            <w:vAlign w:val="bottom"/>
            <w:shd w:val="clear" w:color="auto" w:fill="0BC11C"/>
          </w:tcPr>
          <w:p>
            <w:pPr>
              <w:spacing w:after="0"/>
              <w:rPr>
                <w:sz w:val="14"/>
                <w:szCs w:val="14"/>
                <w:color w:val="auto"/>
              </w:rPr>
            </w:pPr>
          </w:p>
        </w:tc>
        <w:tc>
          <w:tcPr>
            <w:tcW w:w="1080" w:type="dxa"/>
            <w:vAlign w:val="bottom"/>
            <w:shd w:val="clear" w:color="auto" w:fill="0BC11C"/>
          </w:tcPr>
          <w:p>
            <w:pPr>
              <w:jc w:val="center"/>
              <w:spacing w:after="0"/>
              <w:rPr>
                <w:sz w:val="20"/>
                <w:szCs w:val="20"/>
                <w:color w:val="auto"/>
              </w:rPr>
            </w:pPr>
            <w:r>
              <w:rPr>
                <w:rFonts w:ascii="Arial" w:cs="Arial" w:eastAsia="Arial" w:hAnsi="Arial"/>
                <w:sz w:val="14"/>
                <w:szCs w:val="14"/>
                <w:b w:val="1"/>
                <w:bCs w:val="1"/>
                <w:color w:val="FFFFFF"/>
              </w:rPr>
              <w:t>Early or</w:t>
            </w:r>
          </w:p>
        </w:tc>
        <w:tc>
          <w:tcPr>
            <w:tcW w:w="1280" w:type="dxa"/>
            <w:vAlign w:val="bottom"/>
            <w:gridSpan w:val="2"/>
            <w:shd w:val="clear" w:color="auto" w:fill="0BC11C"/>
          </w:tcPr>
          <w:p>
            <w:pPr>
              <w:jc w:val="center"/>
              <w:spacing w:after="0"/>
              <w:rPr>
                <w:sz w:val="20"/>
                <w:szCs w:val="20"/>
                <w:color w:val="auto"/>
              </w:rPr>
            </w:pPr>
            <w:r>
              <w:rPr>
                <w:rFonts w:ascii="Arial" w:cs="Arial" w:eastAsia="Arial" w:hAnsi="Arial"/>
                <w:sz w:val="14"/>
                <w:szCs w:val="14"/>
                <w:b w:val="1"/>
                <w:bCs w:val="1"/>
                <w:color w:val="FFFFFF"/>
              </w:rPr>
              <w:t>for Cause or</w:t>
            </w:r>
          </w:p>
        </w:tc>
        <w:tc>
          <w:tcPr>
            <w:tcW w:w="1000" w:type="dxa"/>
            <w:vAlign w:val="bottom"/>
            <w:shd w:val="clear" w:color="auto" w:fill="0BC11C"/>
          </w:tcPr>
          <w:p>
            <w:pPr>
              <w:spacing w:after="0"/>
              <w:rPr>
                <w:sz w:val="14"/>
                <w:szCs w:val="14"/>
                <w:color w:val="auto"/>
              </w:rPr>
            </w:pPr>
          </w:p>
        </w:tc>
        <w:tc>
          <w:tcPr>
            <w:tcW w:w="260" w:type="dxa"/>
            <w:vAlign w:val="bottom"/>
            <w:shd w:val="clear" w:color="auto" w:fill="0BC11C"/>
          </w:tcPr>
          <w:p>
            <w:pPr>
              <w:spacing w:after="0"/>
              <w:rPr>
                <w:sz w:val="14"/>
                <w:szCs w:val="14"/>
                <w:color w:val="auto"/>
              </w:rPr>
            </w:pPr>
          </w:p>
        </w:tc>
        <w:tc>
          <w:tcPr>
            <w:tcW w:w="880" w:type="dxa"/>
            <w:vAlign w:val="bottom"/>
            <w:shd w:val="clear" w:color="auto" w:fill="0BC11C"/>
          </w:tcPr>
          <w:p>
            <w:pPr>
              <w:spacing w:after="0"/>
              <w:rPr>
                <w:sz w:val="14"/>
                <w:szCs w:val="14"/>
                <w:color w:val="auto"/>
              </w:rPr>
            </w:pPr>
          </w:p>
        </w:tc>
        <w:tc>
          <w:tcPr>
            <w:tcW w:w="200" w:type="dxa"/>
            <w:vAlign w:val="bottom"/>
            <w:shd w:val="clear" w:color="auto" w:fill="0BC11C"/>
          </w:tcPr>
          <w:p>
            <w:pPr>
              <w:spacing w:after="0"/>
              <w:rPr>
                <w:sz w:val="14"/>
                <w:szCs w:val="14"/>
                <w:color w:val="auto"/>
              </w:rPr>
            </w:pPr>
          </w:p>
        </w:tc>
        <w:tc>
          <w:tcPr>
            <w:tcW w:w="900" w:type="dxa"/>
            <w:vAlign w:val="bottom"/>
            <w:shd w:val="clear" w:color="auto" w:fill="0BC11C"/>
          </w:tcPr>
          <w:p>
            <w:pPr>
              <w:spacing w:after="0"/>
              <w:rPr>
                <w:sz w:val="14"/>
                <w:szCs w:val="14"/>
                <w:color w:val="auto"/>
              </w:rPr>
            </w:pPr>
          </w:p>
        </w:tc>
        <w:tc>
          <w:tcPr>
            <w:tcW w:w="200" w:type="dxa"/>
            <w:vAlign w:val="bottom"/>
            <w:shd w:val="clear" w:color="auto" w:fill="0BC11C"/>
          </w:tcPr>
          <w:p>
            <w:pPr>
              <w:spacing w:after="0"/>
              <w:rPr>
                <w:sz w:val="14"/>
                <w:szCs w:val="14"/>
                <w:color w:val="auto"/>
              </w:rPr>
            </w:pPr>
          </w:p>
        </w:tc>
        <w:tc>
          <w:tcPr>
            <w:tcW w:w="860" w:type="dxa"/>
            <w:vAlign w:val="bottom"/>
            <w:shd w:val="clear" w:color="auto" w:fill="0BC11C"/>
          </w:tcPr>
          <w:p>
            <w:pPr>
              <w:spacing w:after="0"/>
              <w:rPr>
                <w:sz w:val="14"/>
                <w:szCs w:val="14"/>
                <w:color w:val="auto"/>
              </w:rPr>
            </w:pPr>
          </w:p>
        </w:tc>
      </w:tr>
      <w:tr>
        <w:trPr>
          <w:trHeight w:val="158"/>
        </w:trPr>
        <w:tc>
          <w:tcPr>
            <w:tcW w:w="2000" w:type="dxa"/>
            <w:vAlign w:val="bottom"/>
            <w:shd w:val="clear" w:color="auto" w:fill="0BC11C"/>
          </w:tcPr>
          <w:p>
            <w:pPr>
              <w:spacing w:after="0"/>
              <w:rPr>
                <w:sz w:val="13"/>
                <w:szCs w:val="13"/>
                <w:color w:val="auto"/>
              </w:rPr>
            </w:pPr>
          </w:p>
        </w:tc>
        <w:tc>
          <w:tcPr>
            <w:tcW w:w="2360" w:type="dxa"/>
            <w:vAlign w:val="bottom"/>
            <w:shd w:val="clear" w:color="auto" w:fill="0BC11C"/>
          </w:tcPr>
          <w:p>
            <w:pPr>
              <w:spacing w:after="0"/>
              <w:rPr>
                <w:sz w:val="13"/>
                <w:szCs w:val="13"/>
                <w:color w:val="auto"/>
              </w:rPr>
            </w:pPr>
          </w:p>
        </w:tc>
        <w:tc>
          <w:tcPr>
            <w:tcW w:w="1080" w:type="dxa"/>
            <w:vAlign w:val="bottom"/>
            <w:shd w:val="clear" w:color="auto" w:fill="0BC11C"/>
          </w:tcPr>
          <w:p>
            <w:pPr>
              <w:jc w:val="center"/>
              <w:spacing w:after="0" w:line="158" w:lineRule="exact"/>
              <w:rPr>
                <w:sz w:val="20"/>
                <w:szCs w:val="20"/>
                <w:color w:val="auto"/>
              </w:rPr>
            </w:pPr>
            <w:r>
              <w:rPr>
                <w:rFonts w:ascii="Arial" w:cs="Arial" w:eastAsia="Arial" w:hAnsi="Arial"/>
                <w:sz w:val="14"/>
                <w:szCs w:val="14"/>
                <w:b w:val="1"/>
                <w:bCs w:val="1"/>
                <w:color w:val="FFFFFF"/>
              </w:rPr>
              <w:t>Normal</w:t>
            </w:r>
          </w:p>
        </w:tc>
        <w:tc>
          <w:tcPr>
            <w:tcW w:w="1280" w:type="dxa"/>
            <w:vAlign w:val="bottom"/>
            <w:gridSpan w:val="2"/>
            <w:shd w:val="clear" w:color="auto" w:fill="0BC11C"/>
          </w:tcPr>
          <w:p>
            <w:pPr>
              <w:jc w:val="center"/>
              <w:spacing w:after="0" w:line="158" w:lineRule="exact"/>
              <w:rPr>
                <w:sz w:val="20"/>
                <w:szCs w:val="20"/>
                <w:color w:val="auto"/>
              </w:rPr>
            </w:pPr>
            <w:r>
              <w:rPr>
                <w:rFonts w:ascii="Arial" w:cs="Arial" w:eastAsia="Arial" w:hAnsi="Arial"/>
                <w:sz w:val="14"/>
                <w:szCs w:val="14"/>
                <w:b w:val="1"/>
                <w:bCs w:val="1"/>
                <w:color w:val="FFFFFF"/>
              </w:rPr>
              <w:t>Good Reason</w:t>
            </w:r>
          </w:p>
        </w:tc>
        <w:tc>
          <w:tcPr>
            <w:tcW w:w="1000" w:type="dxa"/>
            <w:vAlign w:val="bottom"/>
            <w:shd w:val="clear" w:color="auto" w:fill="0BC11C"/>
          </w:tcPr>
          <w:p>
            <w:pPr>
              <w:spacing w:after="0"/>
              <w:rPr>
                <w:sz w:val="13"/>
                <w:szCs w:val="13"/>
                <w:color w:val="auto"/>
              </w:rPr>
            </w:pPr>
          </w:p>
        </w:tc>
        <w:tc>
          <w:tcPr>
            <w:tcW w:w="1140" w:type="dxa"/>
            <w:vAlign w:val="bottom"/>
            <w:gridSpan w:val="2"/>
            <w:shd w:val="clear" w:color="auto" w:fill="0BC11C"/>
          </w:tcPr>
          <w:p>
            <w:pPr>
              <w:jc w:val="right"/>
              <w:ind w:right="124"/>
              <w:spacing w:after="0" w:line="158" w:lineRule="exact"/>
              <w:rPr>
                <w:sz w:val="20"/>
                <w:szCs w:val="20"/>
                <w:color w:val="auto"/>
              </w:rPr>
            </w:pPr>
            <w:r>
              <w:rPr>
                <w:rFonts w:ascii="Arial" w:cs="Arial" w:eastAsia="Arial" w:hAnsi="Arial"/>
                <w:sz w:val="14"/>
                <w:szCs w:val="14"/>
                <w:b w:val="1"/>
                <w:bCs w:val="1"/>
                <w:color w:val="FFFFFF"/>
              </w:rPr>
              <w:t>Change-In-</w:t>
            </w:r>
          </w:p>
        </w:tc>
        <w:tc>
          <w:tcPr>
            <w:tcW w:w="200" w:type="dxa"/>
            <w:vAlign w:val="bottom"/>
            <w:shd w:val="clear" w:color="auto" w:fill="0BC11C"/>
          </w:tcPr>
          <w:p>
            <w:pPr>
              <w:spacing w:after="0"/>
              <w:rPr>
                <w:sz w:val="13"/>
                <w:szCs w:val="13"/>
                <w:color w:val="auto"/>
              </w:rPr>
            </w:pPr>
          </w:p>
        </w:tc>
        <w:tc>
          <w:tcPr>
            <w:tcW w:w="900" w:type="dxa"/>
            <w:vAlign w:val="bottom"/>
            <w:shd w:val="clear" w:color="auto" w:fill="0BC11C"/>
          </w:tcPr>
          <w:p>
            <w:pPr>
              <w:spacing w:after="0"/>
              <w:rPr>
                <w:sz w:val="13"/>
                <w:szCs w:val="13"/>
                <w:color w:val="auto"/>
              </w:rPr>
            </w:pPr>
          </w:p>
        </w:tc>
        <w:tc>
          <w:tcPr>
            <w:tcW w:w="200" w:type="dxa"/>
            <w:vAlign w:val="bottom"/>
            <w:shd w:val="clear" w:color="auto" w:fill="0BC11C"/>
          </w:tcPr>
          <w:p>
            <w:pPr>
              <w:spacing w:after="0"/>
              <w:rPr>
                <w:sz w:val="13"/>
                <w:szCs w:val="13"/>
                <w:color w:val="auto"/>
              </w:rPr>
            </w:pPr>
          </w:p>
        </w:tc>
        <w:tc>
          <w:tcPr>
            <w:tcW w:w="860" w:type="dxa"/>
            <w:vAlign w:val="bottom"/>
            <w:shd w:val="clear" w:color="auto" w:fill="0BC11C"/>
          </w:tcPr>
          <w:p>
            <w:pPr>
              <w:spacing w:after="0"/>
              <w:rPr>
                <w:sz w:val="13"/>
                <w:szCs w:val="13"/>
                <w:color w:val="auto"/>
              </w:rPr>
            </w:pPr>
          </w:p>
        </w:tc>
      </w:tr>
      <w:tr>
        <w:trPr>
          <w:trHeight w:val="229"/>
        </w:trPr>
        <w:tc>
          <w:tcPr>
            <w:tcW w:w="200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2360" w:type="dxa"/>
            <w:vAlign w:val="bottom"/>
            <w:shd w:val="clear" w:color="auto" w:fill="0BC11C"/>
          </w:tcPr>
          <w:p>
            <w:pPr>
              <w:ind w:left="160"/>
              <w:spacing w:after="0"/>
              <w:rPr>
                <w:sz w:val="20"/>
                <w:szCs w:val="20"/>
                <w:color w:val="auto"/>
              </w:rPr>
            </w:pPr>
            <w:r>
              <w:rPr>
                <w:rFonts w:ascii="Arial" w:cs="Arial" w:eastAsia="Arial" w:hAnsi="Arial"/>
                <w:sz w:val="14"/>
                <w:szCs w:val="14"/>
                <w:b w:val="1"/>
                <w:bCs w:val="1"/>
                <w:color w:val="FFFFFF"/>
              </w:rPr>
              <w:t>Benefit</w:t>
            </w:r>
          </w:p>
        </w:tc>
        <w:tc>
          <w:tcPr>
            <w:tcW w:w="1080" w:type="dxa"/>
            <w:vAlign w:val="bottom"/>
            <w:shd w:val="clear" w:color="auto" w:fill="0BC11C"/>
          </w:tcPr>
          <w:p>
            <w:pPr>
              <w:jc w:val="center"/>
              <w:spacing w:after="0" w:line="229" w:lineRule="exact"/>
              <w:rPr>
                <w:sz w:val="20"/>
                <w:szCs w:val="20"/>
                <w:color w:val="auto"/>
              </w:rPr>
            </w:pPr>
            <w:r>
              <w:rPr>
                <w:rFonts w:ascii="Arial" w:cs="Arial" w:eastAsia="Arial" w:hAnsi="Arial"/>
                <w:sz w:val="14"/>
                <w:szCs w:val="14"/>
                <w:b w:val="1"/>
                <w:bCs w:val="1"/>
                <w:color w:val="FFFFFF"/>
                <w:w w:val="97"/>
              </w:rPr>
              <w:t>Retirement</w:t>
            </w:r>
            <w:r>
              <w:rPr>
                <w:rFonts w:ascii="Arial" w:cs="Arial" w:eastAsia="Arial" w:hAnsi="Arial"/>
                <w:sz w:val="21"/>
                <w:szCs w:val="21"/>
                <w:b w:val="1"/>
                <w:bCs w:val="1"/>
                <w:color w:val="FFFFFF"/>
                <w:w w:val="97"/>
                <w:vertAlign w:val="superscript"/>
              </w:rPr>
              <w:t>(3)</w:t>
            </w:r>
          </w:p>
        </w:tc>
        <w:tc>
          <w:tcPr>
            <w:tcW w:w="1280" w:type="dxa"/>
            <w:vAlign w:val="bottom"/>
            <w:gridSpan w:val="2"/>
            <w:shd w:val="clear" w:color="auto" w:fill="0BC11C"/>
          </w:tcPr>
          <w:p>
            <w:pPr>
              <w:jc w:val="center"/>
              <w:spacing w:after="0" w:line="229" w:lineRule="exact"/>
              <w:rPr>
                <w:sz w:val="20"/>
                <w:szCs w:val="20"/>
                <w:color w:val="auto"/>
              </w:rPr>
            </w:pPr>
            <w:r>
              <w:rPr>
                <w:rFonts w:ascii="Arial" w:cs="Arial" w:eastAsia="Arial" w:hAnsi="Arial"/>
                <w:sz w:val="14"/>
                <w:szCs w:val="14"/>
                <w:b w:val="1"/>
                <w:bCs w:val="1"/>
                <w:color w:val="FFFFFF"/>
                <w:w w:val="96"/>
              </w:rPr>
              <w:t>Termination</w:t>
            </w:r>
            <w:r>
              <w:rPr>
                <w:rFonts w:ascii="Arial" w:cs="Arial" w:eastAsia="Arial" w:hAnsi="Arial"/>
                <w:sz w:val="21"/>
                <w:szCs w:val="21"/>
                <w:b w:val="1"/>
                <w:bCs w:val="1"/>
                <w:color w:val="FFFFFF"/>
                <w:w w:val="96"/>
                <w:vertAlign w:val="superscript"/>
              </w:rPr>
              <w:t>(4)</w:t>
            </w:r>
          </w:p>
        </w:tc>
        <w:tc>
          <w:tcPr>
            <w:tcW w:w="1000" w:type="dxa"/>
            <w:vAlign w:val="bottom"/>
            <w:shd w:val="clear" w:color="auto" w:fill="0BC11C"/>
          </w:tcPr>
          <w:p>
            <w:pPr>
              <w:ind w:left="140"/>
              <w:spacing w:after="0"/>
              <w:rPr>
                <w:sz w:val="20"/>
                <w:szCs w:val="20"/>
                <w:color w:val="auto"/>
              </w:rPr>
            </w:pPr>
            <w:r>
              <w:rPr>
                <w:rFonts w:ascii="Arial" w:cs="Arial" w:eastAsia="Arial" w:hAnsi="Arial"/>
                <w:sz w:val="14"/>
                <w:szCs w:val="14"/>
                <w:b w:val="1"/>
                <w:bCs w:val="1"/>
                <w:color w:val="FFFFFF"/>
              </w:rPr>
              <w:t>For Cause</w:t>
            </w:r>
          </w:p>
        </w:tc>
        <w:tc>
          <w:tcPr>
            <w:tcW w:w="260" w:type="dxa"/>
            <w:vAlign w:val="bottom"/>
            <w:shd w:val="clear" w:color="auto" w:fill="0BC11C"/>
          </w:tcPr>
          <w:p>
            <w:pPr>
              <w:spacing w:after="0"/>
              <w:rPr>
                <w:sz w:val="19"/>
                <w:szCs w:val="19"/>
                <w:color w:val="auto"/>
              </w:rPr>
            </w:pPr>
          </w:p>
        </w:tc>
        <w:tc>
          <w:tcPr>
            <w:tcW w:w="880" w:type="dxa"/>
            <w:vAlign w:val="bottom"/>
            <w:shd w:val="clear" w:color="auto" w:fill="0BC11C"/>
          </w:tcPr>
          <w:p>
            <w:pPr>
              <w:jc w:val="right"/>
              <w:ind w:right="244"/>
              <w:spacing w:after="0"/>
              <w:rPr>
                <w:sz w:val="20"/>
                <w:szCs w:val="20"/>
                <w:color w:val="auto"/>
              </w:rPr>
            </w:pPr>
            <w:r>
              <w:rPr>
                <w:rFonts w:ascii="Arial" w:cs="Arial" w:eastAsia="Arial" w:hAnsi="Arial"/>
                <w:sz w:val="14"/>
                <w:szCs w:val="14"/>
                <w:b w:val="1"/>
                <w:bCs w:val="1"/>
                <w:color w:val="FFFFFF"/>
              </w:rPr>
              <w:t>Control</w:t>
            </w:r>
          </w:p>
        </w:tc>
        <w:tc>
          <w:tcPr>
            <w:tcW w:w="1100" w:type="dxa"/>
            <w:vAlign w:val="bottom"/>
            <w:gridSpan w:val="2"/>
            <w:shd w:val="clear" w:color="auto" w:fill="0BC11C"/>
          </w:tcPr>
          <w:p>
            <w:pPr>
              <w:ind w:left="140"/>
              <w:spacing w:after="0" w:line="229" w:lineRule="exact"/>
              <w:rPr>
                <w:sz w:val="20"/>
                <w:szCs w:val="20"/>
                <w:color w:val="auto"/>
              </w:rPr>
            </w:pPr>
            <w:r>
              <w:rPr>
                <w:rFonts w:ascii="Arial" w:cs="Arial" w:eastAsia="Arial" w:hAnsi="Arial"/>
                <w:sz w:val="14"/>
                <w:szCs w:val="14"/>
                <w:b w:val="1"/>
                <w:bCs w:val="1"/>
                <w:color w:val="FFFFFF"/>
              </w:rPr>
              <w:t>Disability</w:t>
            </w:r>
            <w:r>
              <w:rPr>
                <w:rFonts w:ascii="Arial" w:cs="Arial" w:eastAsia="Arial" w:hAnsi="Arial"/>
                <w:sz w:val="21"/>
                <w:szCs w:val="21"/>
                <w:b w:val="1"/>
                <w:bCs w:val="1"/>
                <w:color w:val="FFFFFF"/>
                <w:vertAlign w:val="superscript"/>
              </w:rPr>
              <w:t>(5)</w:t>
            </w:r>
          </w:p>
        </w:tc>
        <w:tc>
          <w:tcPr>
            <w:tcW w:w="200" w:type="dxa"/>
            <w:vAlign w:val="bottom"/>
            <w:shd w:val="clear" w:color="auto" w:fill="0BC11C"/>
          </w:tcPr>
          <w:p>
            <w:pPr>
              <w:spacing w:after="0"/>
              <w:rPr>
                <w:sz w:val="19"/>
                <w:szCs w:val="19"/>
                <w:color w:val="auto"/>
              </w:rPr>
            </w:pPr>
          </w:p>
        </w:tc>
        <w:tc>
          <w:tcPr>
            <w:tcW w:w="860" w:type="dxa"/>
            <w:vAlign w:val="bottom"/>
            <w:shd w:val="clear" w:color="auto" w:fill="0BC11C"/>
          </w:tcPr>
          <w:p>
            <w:pPr>
              <w:jc w:val="right"/>
              <w:ind w:right="104"/>
              <w:spacing w:after="0" w:line="229" w:lineRule="exact"/>
              <w:rPr>
                <w:sz w:val="20"/>
                <w:szCs w:val="20"/>
                <w:color w:val="auto"/>
              </w:rPr>
            </w:pPr>
            <w:r>
              <w:rPr>
                <w:rFonts w:ascii="Arial" w:cs="Arial" w:eastAsia="Arial" w:hAnsi="Arial"/>
                <w:sz w:val="14"/>
                <w:szCs w:val="14"/>
                <w:b w:val="1"/>
                <w:bCs w:val="1"/>
                <w:color w:val="FFFFFF"/>
              </w:rPr>
              <w:t>Death</w:t>
            </w:r>
            <w:r>
              <w:rPr>
                <w:rFonts w:ascii="Arial" w:cs="Arial" w:eastAsia="Arial" w:hAnsi="Arial"/>
                <w:sz w:val="21"/>
                <w:szCs w:val="21"/>
                <w:b w:val="1"/>
                <w:bCs w:val="1"/>
                <w:color w:val="FFFFFF"/>
                <w:vertAlign w:val="superscript"/>
              </w:rPr>
              <w:t>(6)</w:t>
            </w:r>
            <w:r>
              <w:rPr>
                <w:rFonts w:ascii="Arial" w:cs="Arial" w:eastAsia="Arial" w:hAnsi="Arial"/>
                <w:sz w:val="14"/>
                <w:szCs w:val="14"/>
                <w:b w:val="1"/>
                <w:bCs w:val="1"/>
                <w:color w:val="FFFFFF"/>
              </w:rPr>
              <w:t xml:space="preserve">   </w:t>
            </w:r>
          </w:p>
        </w:tc>
      </w:tr>
      <w:tr>
        <w:trPr>
          <w:trHeight w:val="239"/>
        </w:trPr>
        <w:tc>
          <w:tcPr>
            <w:tcW w:w="2000" w:type="dxa"/>
            <w:vAlign w:val="bottom"/>
          </w:tcPr>
          <w:p>
            <w:pPr>
              <w:ind w:left="60"/>
              <w:spacing w:after="0"/>
              <w:rPr>
                <w:sz w:val="20"/>
                <w:szCs w:val="20"/>
                <w:color w:val="auto"/>
              </w:rPr>
            </w:pPr>
            <w:r>
              <w:rPr>
                <w:rFonts w:ascii="Arial" w:cs="Arial" w:eastAsia="Arial" w:hAnsi="Arial"/>
                <w:sz w:val="15"/>
                <w:szCs w:val="15"/>
                <w:color w:val="auto"/>
              </w:rPr>
              <w:t>Anshul Thakral</w:t>
            </w:r>
          </w:p>
        </w:tc>
        <w:tc>
          <w:tcPr>
            <w:tcW w:w="2360" w:type="dxa"/>
            <w:vAlign w:val="bottom"/>
          </w:tcPr>
          <w:p>
            <w:pPr>
              <w:ind w:left="160"/>
              <w:spacing w:after="0"/>
              <w:rPr>
                <w:sz w:val="20"/>
                <w:szCs w:val="20"/>
                <w:color w:val="auto"/>
              </w:rPr>
            </w:pPr>
            <w:r>
              <w:rPr>
                <w:rFonts w:ascii="Arial" w:cs="Arial" w:eastAsia="Arial" w:hAnsi="Arial"/>
                <w:sz w:val="15"/>
                <w:szCs w:val="15"/>
                <w:color w:val="auto"/>
              </w:rPr>
              <w:t>Severance – Base Salary</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2,200,000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3,300,000</w:t>
            </w:r>
          </w:p>
        </w:tc>
        <w:tc>
          <w:tcPr>
            <w:tcW w:w="200" w:type="dxa"/>
            <w:vAlign w:val="bottom"/>
          </w:tcPr>
          <w:p>
            <w:pPr>
              <w:spacing w:after="0"/>
              <w:rPr>
                <w:sz w:val="20"/>
                <w:szCs w:val="20"/>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62"/>
        </w:trPr>
        <w:tc>
          <w:tcPr>
            <w:tcW w:w="2000" w:type="dxa"/>
            <w:vAlign w:val="bottom"/>
          </w:tcPr>
          <w:p>
            <w:pPr>
              <w:spacing w:after="0"/>
              <w:rPr>
                <w:sz w:val="14"/>
                <w:szCs w:val="14"/>
                <w:color w:val="auto"/>
              </w:rPr>
            </w:pPr>
          </w:p>
        </w:tc>
        <w:tc>
          <w:tcPr>
            <w:tcW w:w="2360" w:type="dxa"/>
            <w:vAlign w:val="bottom"/>
          </w:tcPr>
          <w:p>
            <w:pPr>
              <w:ind w:left="160"/>
              <w:spacing w:after="0" w:line="162" w:lineRule="exact"/>
              <w:rPr>
                <w:sz w:val="20"/>
                <w:szCs w:val="20"/>
                <w:color w:val="auto"/>
              </w:rPr>
            </w:pPr>
            <w:r>
              <w:rPr>
                <w:rFonts w:ascii="Arial" w:cs="Arial" w:eastAsia="Arial" w:hAnsi="Arial"/>
                <w:sz w:val="15"/>
                <w:szCs w:val="15"/>
                <w:color w:val="auto"/>
              </w:rPr>
              <w:t>Severance – Fortrea Bonus</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Plan</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4,950,000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6,600,000</w:t>
            </w:r>
          </w:p>
        </w:tc>
        <w:tc>
          <w:tcPr>
            <w:tcW w:w="2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Restricted Stock Units</w:t>
            </w:r>
            <w:r>
              <w:rPr>
                <w:rFonts w:ascii="Arial" w:cs="Arial" w:eastAsia="Arial" w:hAnsi="Arial"/>
                <w:sz w:val="11"/>
                <w:szCs w:val="11"/>
                <w:color w:val="auto"/>
              </w:rPr>
              <w:t>(1)</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w w:val="98"/>
              </w:rPr>
              <w:t>21,562,500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21,562,500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21,562,500</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Performance Shares</w:t>
            </w:r>
            <w:r>
              <w:rPr>
                <w:rFonts w:ascii="Arial" w:cs="Arial" w:eastAsia="Arial" w:hAnsi="Arial"/>
                <w:sz w:val="11"/>
                <w:szCs w:val="11"/>
                <w:color w:val="auto"/>
              </w:rPr>
              <w:t>(1)</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w w:val="98"/>
              </w:rPr>
              <w:t>21,562,500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21,562,500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21,562,500</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Health &amp; Welfare Plans</w:t>
            </w:r>
            <w:r>
              <w:rPr>
                <w:rFonts w:ascii="Arial" w:cs="Arial" w:eastAsia="Arial" w:hAnsi="Arial"/>
                <w:sz w:val="11"/>
                <w:szCs w:val="11"/>
                <w:color w:val="auto"/>
              </w:rPr>
              <w:t>(2)</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75,596</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75,596</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700,000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1,500,000</w:t>
            </w:r>
          </w:p>
        </w:tc>
      </w:tr>
      <w:tr>
        <w:trPr>
          <w:trHeight w:val="200"/>
        </w:trPr>
        <w:tc>
          <w:tcPr>
            <w:tcW w:w="2000" w:type="dxa"/>
            <w:vAlign w:val="bottom"/>
          </w:tcPr>
          <w:p>
            <w:pPr>
              <w:spacing w:after="0"/>
              <w:rPr>
                <w:sz w:val="17"/>
                <w:szCs w:val="17"/>
                <w:color w:val="auto"/>
              </w:rPr>
            </w:pPr>
          </w:p>
        </w:tc>
        <w:tc>
          <w:tcPr>
            <w:tcW w:w="2360" w:type="dxa"/>
            <w:vAlign w:val="bottom"/>
          </w:tcPr>
          <w:p>
            <w:pPr>
              <w:ind w:left="1960"/>
              <w:spacing w:after="0"/>
              <w:rPr>
                <w:sz w:val="20"/>
                <w:szCs w:val="20"/>
                <w:color w:val="auto"/>
              </w:rPr>
            </w:pPr>
            <w:r>
              <w:rPr>
                <w:rFonts w:ascii="Arial" w:cs="Arial" w:eastAsia="Arial" w:hAnsi="Arial"/>
                <w:sz w:val="15"/>
                <w:szCs w:val="15"/>
                <w:color w:val="auto"/>
              </w:rPr>
              <w:t>Total</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7,225,596</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w w:val="98"/>
              </w:rPr>
              <w:t>53,100,596</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43,825,000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44,625,000</w:t>
            </w:r>
          </w:p>
        </w:tc>
      </w:tr>
      <w:tr>
        <w:trPr>
          <w:trHeight w:val="33"/>
        </w:trPr>
        <w:tc>
          <w:tcPr>
            <w:tcW w:w="2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000" w:type="dxa"/>
            <w:vAlign w:val="bottom"/>
            <w:shd w:val="clear" w:color="auto" w:fill="EDEDED"/>
          </w:tcPr>
          <w:p>
            <w:pPr>
              <w:ind w:left="60"/>
              <w:spacing w:after="0"/>
              <w:rPr>
                <w:sz w:val="20"/>
                <w:szCs w:val="20"/>
                <w:color w:val="auto"/>
              </w:rPr>
            </w:pPr>
            <w:r>
              <w:rPr>
                <w:rFonts w:ascii="Arial" w:cs="Arial" w:eastAsia="Arial" w:hAnsi="Arial"/>
                <w:sz w:val="15"/>
                <w:szCs w:val="15"/>
                <w:color w:val="auto"/>
              </w:rPr>
              <w:t>Jill McConnell</w:t>
            </w: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Severance – Base Salary</w:t>
            </w:r>
          </w:p>
        </w:tc>
        <w:tc>
          <w:tcPr>
            <w:tcW w:w="1080" w:type="dxa"/>
            <w:vAlign w:val="bottom"/>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DEDED"/>
          </w:tcPr>
          <w:p>
            <w:pPr>
              <w:jc w:val="right"/>
              <w:ind w:right="64"/>
              <w:spacing w:after="0"/>
              <w:rPr>
                <w:sz w:val="20"/>
                <w:szCs w:val="20"/>
                <w:color w:val="auto"/>
              </w:rPr>
            </w:pPr>
            <w:r>
              <w:rPr>
                <w:rFonts w:ascii="Arial" w:cs="Arial" w:eastAsia="Arial" w:hAnsi="Arial"/>
                <w:sz w:val="15"/>
                <w:szCs w:val="15"/>
                <w:color w:val="auto"/>
              </w:rPr>
              <w:t>509,000</w:t>
            </w:r>
          </w:p>
        </w:tc>
        <w:tc>
          <w:tcPr>
            <w:tcW w:w="1000" w:type="dxa"/>
            <w:vAlign w:val="bottom"/>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1,018,000</w:t>
            </w:r>
          </w:p>
        </w:tc>
        <w:tc>
          <w:tcPr>
            <w:tcW w:w="200" w:type="dxa"/>
            <w:vAlign w:val="bottom"/>
            <w:shd w:val="clear" w:color="auto" w:fill="EDEDED"/>
          </w:tcPr>
          <w:p>
            <w:pPr>
              <w:spacing w:after="0"/>
              <w:rPr>
                <w:sz w:val="19"/>
                <w:szCs w:val="19"/>
                <w:color w:val="auto"/>
              </w:rPr>
            </w:pPr>
          </w:p>
        </w:tc>
        <w:tc>
          <w:tcPr>
            <w:tcW w:w="90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spacing w:after="0"/>
              <w:rPr>
                <w:sz w:val="19"/>
                <w:szCs w:val="19"/>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— </w:t>
            </w:r>
          </w:p>
        </w:tc>
      </w:tr>
      <w:tr>
        <w:trPr>
          <w:trHeight w:val="172"/>
        </w:trPr>
        <w:tc>
          <w:tcPr>
            <w:tcW w:w="2000" w:type="dxa"/>
            <w:vAlign w:val="bottom"/>
            <w:shd w:val="clear" w:color="auto" w:fill="EDEDED"/>
          </w:tcPr>
          <w:p>
            <w:pPr>
              <w:spacing w:after="0"/>
              <w:rPr>
                <w:sz w:val="14"/>
                <w:szCs w:val="14"/>
                <w:color w:val="auto"/>
              </w:rPr>
            </w:pP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Severance – Fortrea Bonus</w:t>
            </w:r>
          </w:p>
        </w:tc>
        <w:tc>
          <w:tcPr>
            <w:tcW w:w="1080" w:type="dxa"/>
            <w:vAlign w:val="bottom"/>
            <w:shd w:val="clear" w:color="auto" w:fill="EDEDED"/>
          </w:tcPr>
          <w:p>
            <w:pPr>
              <w:spacing w:after="0"/>
              <w:rPr>
                <w:sz w:val="14"/>
                <w:szCs w:val="14"/>
                <w:color w:val="auto"/>
              </w:rPr>
            </w:pPr>
          </w:p>
        </w:tc>
        <w:tc>
          <w:tcPr>
            <w:tcW w:w="46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1000" w:type="dxa"/>
            <w:vAlign w:val="bottom"/>
            <w:shd w:val="clear" w:color="auto" w:fill="EDEDED"/>
          </w:tcPr>
          <w:p>
            <w:pPr>
              <w:spacing w:after="0"/>
              <w:rPr>
                <w:sz w:val="14"/>
                <w:szCs w:val="14"/>
                <w:color w:val="auto"/>
              </w:rPr>
            </w:pPr>
          </w:p>
        </w:tc>
        <w:tc>
          <w:tcPr>
            <w:tcW w:w="260" w:type="dxa"/>
            <w:vAlign w:val="bottom"/>
            <w:shd w:val="clear" w:color="auto" w:fill="EDEDED"/>
          </w:tcPr>
          <w:p>
            <w:pPr>
              <w:spacing w:after="0"/>
              <w:rPr>
                <w:sz w:val="14"/>
                <w:szCs w:val="14"/>
                <w:color w:val="auto"/>
              </w:rPr>
            </w:pPr>
          </w:p>
        </w:tc>
        <w:tc>
          <w:tcPr>
            <w:tcW w:w="880" w:type="dxa"/>
            <w:vAlign w:val="bottom"/>
            <w:shd w:val="clear" w:color="auto" w:fill="EDEDED"/>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900" w:type="dxa"/>
            <w:vAlign w:val="bottom"/>
            <w:shd w:val="clear" w:color="auto" w:fill="EDEDED"/>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860" w:type="dxa"/>
            <w:vAlign w:val="bottom"/>
            <w:shd w:val="clear" w:color="auto" w:fill="EDEDED"/>
          </w:tcPr>
          <w:p>
            <w:pPr>
              <w:spacing w:after="0"/>
              <w:rPr>
                <w:sz w:val="14"/>
                <w:szCs w:val="14"/>
                <w:color w:val="auto"/>
              </w:rPr>
            </w:pPr>
          </w:p>
        </w:tc>
      </w:tr>
      <w:tr>
        <w:trPr>
          <w:trHeight w:val="179"/>
        </w:trPr>
        <w:tc>
          <w:tcPr>
            <w:tcW w:w="2000" w:type="dxa"/>
            <w:vAlign w:val="bottom"/>
            <w:shd w:val="clear" w:color="auto" w:fill="EDEDED"/>
          </w:tcPr>
          <w:p>
            <w:pPr>
              <w:spacing w:after="0"/>
              <w:rPr>
                <w:sz w:val="15"/>
                <w:szCs w:val="15"/>
                <w:color w:val="auto"/>
              </w:rPr>
            </w:pP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Plan</w:t>
            </w:r>
          </w:p>
        </w:tc>
        <w:tc>
          <w:tcPr>
            <w:tcW w:w="1080" w:type="dxa"/>
            <w:vAlign w:val="bottom"/>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DEDED"/>
          </w:tcPr>
          <w:p>
            <w:pPr>
              <w:jc w:val="right"/>
              <w:ind w:right="64"/>
              <w:spacing w:after="0"/>
              <w:rPr>
                <w:sz w:val="20"/>
                <w:szCs w:val="20"/>
                <w:color w:val="auto"/>
              </w:rPr>
            </w:pPr>
            <w:r>
              <w:rPr>
                <w:rFonts w:ascii="Arial" w:cs="Arial" w:eastAsia="Arial" w:hAnsi="Arial"/>
                <w:sz w:val="15"/>
                <w:szCs w:val="15"/>
                <w:color w:val="auto"/>
              </w:rPr>
              <w:t>432,650</w:t>
            </w:r>
          </w:p>
        </w:tc>
        <w:tc>
          <w:tcPr>
            <w:tcW w:w="1000" w:type="dxa"/>
            <w:vAlign w:val="bottom"/>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865,300</w:t>
            </w:r>
          </w:p>
        </w:tc>
        <w:tc>
          <w:tcPr>
            <w:tcW w:w="200" w:type="dxa"/>
            <w:vAlign w:val="bottom"/>
            <w:shd w:val="clear" w:color="auto" w:fill="EDEDED"/>
          </w:tcPr>
          <w:p>
            <w:pPr>
              <w:spacing w:after="0"/>
              <w:rPr>
                <w:sz w:val="15"/>
                <w:szCs w:val="15"/>
                <w:color w:val="auto"/>
              </w:rPr>
            </w:pPr>
          </w:p>
        </w:tc>
        <w:tc>
          <w:tcPr>
            <w:tcW w:w="90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EDEDED"/>
          </w:tcPr>
          <w:p>
            <w:pPr>
              <w:spacing w:after="0"/>
              <w:rPr>
                <w:sz w:val="15"/>
                <w:szCs w:val="15"/>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2000" w:type="dxa"/>
            <w:vAlign w:val="bottom"/>
            <w:shd w:val="clear" w:color="auto" w:fill="EDEDED"/>
          </w:tcPr>
          <w:p>
            <w:pPr>
              <w:spacing w:after="0"/>
              <w:rPr>
                <w:sz w:val="16"/>
                <w:szCs w:val="16"/>
                <w:color w:val="auto"/>
              </w:rPr>
            </w:pP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Restricted Stock Units</w:t>
            </w:r>
            <w:r>
              <w:rPr>
                <w:rFonts w:ascii="Arial" w:cs="Arial" w:eastAsia="Arial" w:hAnsi="Arial"/>
                <w:sz w:val="11"/>
                <w:szCs w:val="11"/>
                <w:color w:val="auto"/>
              </w:rPr>
              <w:t>(1)</w:t>
            </w:r>
          </w:p>
        </w:tc>
        <w:tc>
          <w:tcPr>
            <w:tcW w:w="1080" w:type="dxa"/>
            <w:vAlign w:val="bottom"/>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DEDED"/>
          </w:tcPr>
          <w:p>
            <w:pPr>
              <w:jc w:val="right"/>
              <w:ind w:right="64"/>
              <w:spacing w:after="0"/>
              <w:rPr>
                <w:sz w:val="20"/>
                <w:szCs w:val="20"/>
                <w:color w:val="auto"/>
              </w:rPr>
            </w:pPr>
            <w:r>
              <w:rPr>
                <w:rFonts w:ascii="Arial" w:cs="Arial" w:eastAsia="Arial" w:hAnsi="Arial"/>
                <w:sz w:val="15"/>
                <w:szCs w:val="15"/>
                <w:color w:val="auto"/>
              </w:rPr>
              <w:t>872,427</w:t>
            </w:r>
          </w:p>
        </w:tc>
        <w:tc>
          <w:tcPr>
            <w:tcW w:w="1000" w:type="dxa"/>
            <w:vAlign w:val="bottom"/>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1,476,238</w:t>
            </w:r>
          </w:p>
        </w:tc>
        <w:tc>
          <w:tcPr>
            <w:tcW w:w="200" w:type="dxa"/>
            <w:vAlign w:val="bottom"/>
            <w:shd w:val="clear" w:color="auto" w:fill="EDEDED"/>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1,476,238</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1,476,238</w:t>
            </w:r>
          </w:p>
        </w:tc>
      </w:tr>
      <w:tr>
        <w:trPr>
          <w:trHeight w:val="189"/>
        </w:trPr>
        <w:tc>
          <w:tcPr>
            <w:tcW w:w="2000" w:type="dxa"/>
            <w:vAlign w:val="bottom"/>
            <w:shd w:val="clear" w:color="auto" w:fill="EDEDED"/>
          </w:tcPr>
          <w:p>
            <w:pPr>
              <w:spacing w:after="0"/>
              <w:rPr>
                <w:sz w:val="16"/>
                <w:szCs w:val="16"/>
                <w:color w:val="auto"/>
              </w:rPr>
            </w:pP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Performance Shares</w:t>
            </w:r>
            <w:r>
              <w:rPr>
                <w:rFonts w:ascii="Arial" w:cs="Arial" w:eastAsia="Arial" w:hAnsi="Arial"/>
                <w:sz w:val="11"/>
                <w:szCs w:val="11"/>
                <w:color w:val="auto"/>
              </w:rPr>
              <w:t>(1)</w:t>
            </w:r>
          </w:p>
        </w:tc>
        <w:tc>
          <w:tcPr>
            <w:tcW w:w="1080" w:type="dxa"/>
            <w:vAlign w:val="bottom"/>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DEDED"/>
          </w:tcPr>
          <w:p>
            <w:pPr>
              <w:jc w:val="right"/>
              <w:ind w:right="64"/>
              <w:spacing w:after="0"/>
              <w:rPr>
                <w:sz w:val="20"/>
                <w:szCs w:val="20"/>
                <w:color w:val="auto"/>
              </w:rPr>
            </w:pPr>
            <w:r>
              <w:rPr>
                <w:rFonts w:ascii="Arial" w:cs="Arial" w:eastAsia="Arial" w:hAnsi="Arial"/>
                <w:sz w:val="15"/>
                <w:szCs w:val="15"/>
                <w:color w:val="auto"/>
              </w:rPr>
              <w:t>541,851</w:t>
            </w:r>
          </w:p>
        </w:tc>
        <w:tc>
          <w:tcPr>
            <w:tcW w:w="1000" w:type="dxa"/>
            <w:vAlign w:val="bottom"/>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1,428,093</w:t>
            </w:r>
          </w:p>
        </w:tc>
        <w:tc>
          <w:tcPr>
            <w:tcW w:w="200" w:type="dxa"/>
            <w:vAlign w:val="bottom"/>
            <w:shd w:val="clear" w:color="auto" w:fill="EDEDED"/>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1,428,093</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1,428,093</w:t>
            </w:r>
          </w:p>
        </w:tc>
      </w:tr>
      <w:tr>
        <w:trPr>
          <w:trHeight w:val="189"/>
        </w:trPr>
        <w:tc>
          <w:tcPr>
            <w:tcW w:w="2000" w:type="dxa"/>
            <w:vAlign w:val="bottom"/>
            <w:shd w:val="clear" w:color="auto" w:fill="EDEDED"/>
          </w:tcPr>
          <w:p>
            <w:pPr>
              <w:spacing w:after="0"/>
              <w:rPr>
                <w:sz w:val="16"/>
                <w:szCs w:val="16"/>
                <w:color w:val="auto"/>
              </w:rPr>
            </w:pPr>
          </w:p>
        </w:tc>
        <w:tc>
          <w:tcPr>
            <w:tcW w:w="2360" w:type="dxa"/>
            <w:vAlign w:val="bottom"/>
            <w:shd w:val="clear" w:color="auto" w:fill="EDEDED"/>
          </w:tcPr>
          <w:p>
            <w:pPr>
              <w:ind w:left="160"/>
              <w:spacing w:after="0"/>
              <w:rPr>
                <w:sz w:val="20"/>
                <w:szCs w:val="20"/>
                <w:color w:val="auto"/>
              </w:rPr>
            </w:pPr>
            <w:r>
              <w:rPr>
                <w:rFonts w:ascii="Arial" w:cs="Arial" w:eastAsia="Arial" w:hAnsi="Arial"/>
                <w:sz w:val="15"/>
                <w:szCs w:val="15"/>
                <w:color w:val="auto"/>
              </w:rPr>
              <w:t>Health &amp; Welfare Plans</w:t>
            </w:r>
            <w:r>
              <w:rPr>
                <w:rFonts w:ascii="Arial" w:cs="Arial" w:eastAsia="Arial" w:hAnsi="Arial"/>
                <w:sz w:val="11"/>
                <w:szCs w:val="11"/>
                <w:color w:val="auto"/>
              </w:rPr>
              <w:t>(2)</w:t>
            </w:r>
          </w:p>
        </w:tc>
        <w:tc>
          <w:tcPr>
            <w:tcW w:w="1080" w:type="dxa"/>
            <w:vAlign w:val="bottom"/>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DEDED"/>
          </w:tcPr>
          <w:p>
            <w:pPr>
              <w:jc w:val="right"/>
              <w:ind w:right="64"/>
              <w:spacing w:after="0"/>
              <w:rPr>
                <w:sz w:val="20"/>
                <w:szCs w:val="20"/>
                <w:color w:val="auto"/>
              </w:rPr>
            </w:pPr>
            <w:r>
              <w:rPr>
                <w:rFonts w:ascii="Arial" w:cs="Arial" w:eastAsia="Arial" w:hAnsi="Arial"/>
                <w:sz w:val="15"/>
                <w:szCs w:val="15"/>
                <w:color w:val="auto"/>
              </w:rPr>
              <w:t>48,959</w:t>
            </w:r>
          </w:p>
        </w:tc>
        <w:tc>
          <w:tcPr>
            <w:tcW w:w="1000" w:type="dxa"/>
            <w:vAlign w:val="bottom"/>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48,959</w:t>
            </w:r>
          </w:p>
        </w:tc>
        <w:tc>
          <w:tcPr>
            <w:tcW w:w="200" w:type="dxa"/>
            <w:vAlign w:val="bottom"/>
            <w:shd w:val="clear" w:color="auto" w:fill="EDEDED"/>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DEDED"/>
          </w:tcPr>
          <w:p>
            <w:pPr>
              <w:jc w:val="right"/>
              <w:ind w:right="44"/>
              <w:spacing w:after="0"/>
              <w:rPr>
                <w:sz w:val="20"/>
                <w:szCs w:val="20"/>
                <w:color w:val="auto"/>
              </w:rPr>
            </w:pPr>
            <w:r>
              <w:rPr>
                <w:rFonts w:ascii="Arial" w:cs="Arial" w:eastAsia="Arial" w:hAnsi="Arial"/>
                <w:sz w:val="15"/>
                <w:szCs w:val="15"/>
                <w:color w:val="auto"/>
              </w:rPr>
              <w:t>404,500</w:t>
            </w:r>
          </w:p>
        </w:tc>
        <w:tc>
          <w:tcPr>
            <w:tcW w:w="200" w:type="dxa"/>
            <w:vAlign w:val="bottom"/>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DEDED"/>
          </w:tcPr>
          <w:p>
            <w:pPr>
              <w:jc w:val="right"/>
              <w:ind w:right="4"/>
              <w:spacing w:after="0"/>
              <w:rPr>
                <w:sz w:val="20"/>
                <w:szCs w:val="20"/>
                <w:color w:val="auto"/>
              </w:rPr>
            </w:pPr>
            <w:r>
              <w:rPr>
                <w:rFonts w:ascii="Arial" w:cs="Arial" w:eastAsia="Arial" w:hAnsi="Arial"/>
                <w:sz w:val="15"/>
                <w:szCs w:val="15"/>
                <w:color w:val="auto"/>
              </w:rPr>
              <w:t>1,018,000</w:t>
            </w:r>
          </w:p>
        </w:tc>
      </w:tr>
      <w:tr>
        <w:trPr>
          <w:trHeight w:val="223"/>
        </w:trPr>
        <w:tc>
          <w:tcPr>
            <w:tcW w:w="2000" w:type="dxa"/>
            <w:vAlign w:val="bottom"/>
            <w:tcBorders>
              <w:bottom w:val="single" w:sz="8" w:color="EDEDED"/>
            </w:tcBorders>
            <w:shd w:val="clear" w:color="auto" w:fill="EDEDED"/>
          </w:tcPr>
          <w:p>
            <w:pPr>
              <w:spacing w:after="0"/>
              <w:rPr>
                <w:sz w:val="19"/>
                <w:szCs w:val="19"/>
                <w:color w:val="auto"/>
              </w:rPr>
            </w:pPr>
          </w:p>
        </w:tc>
        <w:tc>
          <w:tcPr>
            <w:tcW w:w="2360" w:type="dxa"/>
            <w:vAlign w:val="bottom"/>
            <w:tcBorders>
              <w:bottom w:val="single" w:sz="8" w:color="EDEDED"/>
            </w:tcBorders>
            <w:shd w:val="clear" w:color="auto" w:fill="EDEDED"/>
          </w:tcPr>
          <w:p>
            <w:pPr>
              <w:ind w:left="1960"/>
              <w:spacing w:after="0"/>
              <w:rPr>
                <w:sz w:val="20"/>
                <w:szCs w:val="20"/>
                <w:color w:val="auto"/>
              </w:rPr>
            </w:pPr>
            <w:r>
              <w:rPr>
                <w:rFonts w:ascii="Arial" w:cs="Arial" w:eastAsia="Arial" w:hAnsi="Arial"/>
                <w:sz w:val="15"/>
                <w:szCs w:val="15"/>
                <w:color w:val="auto"/>
              </w:rPr>
              <w:t>Total</w:t>
            </w:r>
          </w:p>
        </w:tc>
        <w:tc>
          <w:tcPr>
            <w:tcW w:w="1080" w:type="dxa"/>
            <w:vAlign w:val="bottom"/>
            <w:tcBorders>
              <w:bottom w:val="single" w:sz="8" w:color="EDEDED"/>
            </w:tcBorders>
            <w:shd w:val="clear" w:color="auto" w:fill="EDEDED"/>
          </w:tcPr>
          <w:p>
            <w:pPr>
              <w:ind w:left="5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DEDED"/>
            </w:tcBorders>
            <w:shd w:val="clear" w:color="auto" w:fill="EDEDED"/>
          </w:tcPr>
          <w:p>
            <w:pPr>
              <w:jc w:val="right"/>
              <w:ind w:right="64"/>
              <w:spacing w:after="0"/>
              <w:rPr>
                <w:sz w:val="20"/>
                <w:szCs w:val="20"/>
                <w:color w:val="auto"/>
              </w:rPr>
            </w:pPr>
            <w:r>
              <w:rPr>
                <w:rFonts w:ascii="Arial" w:cs="Arial" w:eastAsia="Arial" w:hAnsi="Arial"/>
                <w:sz w:val="15"/>
                <w:szCs w:val="15"/>
                <w:color w:val="auto"/>
                <w:w w:val="98"/>
              </w:rPr>
              <w:t>2,404,888</w:t>
            </w:r>
          </w:p>
        </w:tc>
        <w:tc>
          <w:tcPr>
            <w:tcW w:w="1000" w:type="dxa"/>
            <w:vAlign w:val="bottom"/>
            <w:tcBorders>
              <w:bottom w:val="single" w:sz="8" w:color="EDEDED"/>
            </w:tcBorders>
            <w:shd w:val="clear" w:color="auto" w:fill="EDEDED"/>
          </w:tcPr>
          <w:p>
            <w:pPr>
              <w:ind w:left="4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5"/>
                <w:szCs w:val="15"/>
                <w:color w:val="auto"/>
              </w:rPr>
              <w:t>4,836,590</w:t>
            </w:r>
          </w:p>
        </w:tc>
        <w:tc>
          <w:tcPr>
            <w:tcW w:w="2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5"/>
                <w:szCs w:val="15"/>
                <w:color w:val="auto"/>
              </w:rPr>
              <w:t>3,308,831</w:t>
            </w:r>
          </w:p>
        </w:tc>
        <w:tc>
          <w:tcPr>
            <w:tcW w:w="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EDEDED"/>
            </w:tcBorders>
            <w:shd w:val="clear" w:color="auto" w:fill="EDEDED"/>
          </w:tcPr>
          <w:p>
            <w:pPr>
              <w:jc w:val="right"/>
              <w:ind w:right="4"/>
              <w:spacing w:after="0"/>
              <w:rPr>
                <w:sz w:val="20"/>
                <w:szCs w:val="20"/>
                <w:color w:val="auto"/>
              </w:rPr>
            </w:pPr>
            <w:r>
              <w:rPr>
                <w:rFonts w:ascii="Arial" w:cs="Arial" w:eastAsia="Arial" w:hAnsi="Arial"/>
                <w:sz w:val="15"/>
                <w:szCs w:val="15"/>
                <w:color w:val="auto"/>
              </w:rPr>
              <w:t>3,922,331</w:t>
            </w:r>
          </w:p>
        </w:tc>
      </w:tr>
      <w:tr>
        <w:trPr>
          <w:trHeight w:val="239"/>
        </w:trPr>
        <w:tc>
          <w:tcPr>
            <w:tcW w:w="2000" w:type="dxa"/>
            <w:vAlign w:val="bottom"/>
          </w:tcPr>
          <w:p>
            <w:pPr>
              <w:ind w:left="60"/>
              <w:spacing w:after="0"/>
              <w:rPr>
                <w:sz w:val="20"/>
                <w:szCs w:val="20"/>
                <w:color w:val="auto"/>
              </w:rPr>
            </w:pPr>
            <w:r>
              <w:rPr>
                <w:rFonts w:ascii="Arial" w:cs="Arial" w:eastAsia="Arial" w:hAnsi="Arial"/>
                <w:sz w:val="15"/>
                <w:szCs w:val="15"/>
                <w:color w:val="auto"/>
              </w:rPr>
              <w:t>Mark Morais</w:t>
            </w:r>
          </w:p>
        </w:tc>
        <w:tc>
          <w:tcPr>
            <w:tcW w:w="2360" w:type="dxa"/>
            <w:vAlign w:val="bottom"/>
          </w:tcPr>
          <w:p>
            <w:pPr>
              <w:ind w:left="160"/>
              <w:spacing w:after="0"/>
              <w:rPr>
                <w:sz w:val="20"/>
                <w:szCs w:val="20"/>
                <w:color w:val="auto"/>
              </w:rPr>
            </w:pPr>
            <w:r>
              <w:rPr>
                <w:rFonts w:ascii="Arial" w:cs="Arial" w:eastAsia="Arial" w:hAnsi="Arial"/>
                <w:sz w:val="15"/>
                <w:szCs w:val="15"/>
                <w:color w:val="auto"/>
              </w:rPr>
              <w:t>Severance – Base Salary</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509,000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1,018,000</w:t>
            </w:r>
          </w:p>
        </w:tc>
        <w:tc>
          <w:tcPr>
            <w:tcW w:w="200" w:type="dxa"/>
            <w:vAlign w:val="bottom"/>
          </w:tcPr>
          <w:p>
            <w:pPr>
              <w:spacing w:after="0"/>
              <w:rPr>
                <w:sz w:val="20"/>
                <w:szCs w:val="20"/>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62"/>
        </w:trPr>
        <w:tc>
          <w:tcPr>
            <w:tcW w:w="2000" w:type="dxa"/>
            <w:vAlign w:val="bottom"/>
          </w:tcPr>
          <w:p>
            <w:pPr>
              <w:spacing w:after="0"/>
              <w:rPr>
                <w:sz w:val="14"/>
                <w:szCs w:val="14"/>
                <w:color w:val="auto"/>
              </w:rPr>
            </w:pPr>
          </w:p>
        </w:tc>
        <w:tc>
          <w:tcPr>
            <w:tcW w:w="2360" w:type="dxa"/>
            <w:vAlign w:val="bottom"/>
          </w:tcPr>
          <w:p>
            <w:pPr>
              <w:ind w:left="160"/>
              <w:spacing w:after="0" w:line="162" w:lineRule="exact"/>
              <w:rPr>
                <w:sz w:val="20"/>
                <w:szCs w:val="20"/>
                <w:color w:val="auto"/>
              </w:rPr>
            </w:pPr>
            <w:r>
              <w:rPr>
                <w:rFonts w:ascii="Arial" w:cs="Arial" w:eastAsia="Arial" w:hAnsi="Arial"/>
                <w:sz w:val="15"/>
                <w:szCs w:val="15"/>
                <w:color w:val="auto"/>
              </w:rPr>
              <w:t>Severance – Fortrea Bonus</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Plan</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432,650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865,300</w:t>
            </w:r>
          </w:p>
        </w:tc>
        <w:tc>
          <w:tcPr>
            <w:tcW w:w="2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Restricted Stock Units</w:t>
            </w:r>
            <w:r>
              <w:rPr>
                <w:rFonts w:ascii="Arial" w:cs="Arial" w:eastAsia="Arial" w:hAnsi="Arial"/>
                <w:sz w:val="11"/>
                <w:szCs w:val="11"/>
                <w:color w:val="auto"/>
              </w:rPr>
              <w:t>(1)</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859,763</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1,417,898</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1,417,898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1,417,898</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Performance Shares</w:t>
            </w:r>
            <w:r>
              <w:rPr>
                <w:rFonts w:ascii="Arial" w:cs="Arial" w:eastAsia="Arial" w:hAnsi="Arial"/>
                <w:sz w:val="11"/>
                <w:szCs w:val="11"/>
                <w:color w:val="auto"/>
              </w:rPr>
              <w:t>(1)</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506,489</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1,322,006</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1,322,006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1,322,006</w:t>
            </w:r>
          </w:p>
        </w:tc>
      </w:tr>
      <w:tr>
        <w:trPr>
          <w:trHeight w:val="189"/>
        </w:trPr>
        <w:tc>
          <w:tcPr>
            <w:tcW w:w="2000" w:type="dxa"/>
            <w:vAlign w:val="bottom"/>
          </w:tcPr>
          <w:p>
            <w:pPr>
              <w:spacing w:after="0"/>
              <w:rPr>
                <w:sz w:val="16"/>
                <w:szCs w:val="16"/>
                <w:color w:val="auto"/>
              </w:rPr>
            </w:pPr>
          </w:p>
        </w:tc>
        <w:tc>
          <w:tcPr>
            <w:tcW w:w="2360" w:type="dxa"/>
            <w:vAlign w:val="bottom"/>
          </w:tcPr>
          <w:p>
            <w:pPr>
              <w:ind w:left="160"/>
              <w:spacing w:after="0"/>
              <w:rPr>
                <w:sz w:val="20"/>
                <w:szCs w:val="20"/>
                <w:color w:val="auto"/>
              </w:rPr>
            </w:pPr>
            <w:r>
              <w:rPr>
                <w:rFonts w:ascii="Arial" w:cs="Arial" w:eastAsia="Arial" w:hAnsi="Arial"/>
                <w:sz w:val="15"/>
                <w:szCs w:val="15"/>
                <w:color w:val="auto"/>
              </w:rPr>
              <w:t>Health &amp; Welfare Plans</w:t>
            </w:r>
            <w:r>
              <w:rPr>
                <w:rFonts w:ascii="Arial" w:cs="Arial" w:eastAsia="Arial" w:hAnsi="Arial"/>
                <w:sz w:val="11"/>
                <w:szCs w:val="11"/>
                <w:color w:val="auto"/>
              </w:rPr>
              <w:t>(2)</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27,370</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27,370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404,500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1,018,000</w:t>
            </w:r>
          </w:p>
        </w:tc>
      </w:tr>
      <w:tr>
        <w:trPr>
          <w:trHeight w:val="200"/>
        </w:trPr>
        <w:tc>
          <w:tcPr>
            <w:tcW w:w="2000" w:type="dxa"/>
            <w:vAlign w:val="bottom"/>
          </w:tcPr>
          <w:p>
            <w:pPr>
              <w:spacing w:after="0"/>
              <w:rPr>
                <w:sz w:val="17"/>
                <w:szCs w:val="17"/>
                <w:color w:val="auto"/>
              </w:rPr>
            </w:pPr>
          </w:p>
        </w:tc>
        <w:tc>
          <w:tcPr>
            <w:tcW w:w="2360" w:type="dxa"/>
            <w:vAlign w:val="bottom"/>
          </w:tcPr>
          <w:p>
            <w:pPr>
              <w:ind w:left="1960"/>
              <w:spacing w:after="0"/>
              <w:rPr>
                <w:sz w:val="20"/>
                <w:szCs w:val="20"/>
                <w:color w:val="auto"/>
              </w:rPr>
            </w:pPr>
            <w:r>
              <w:rPr>
                <w:rFonts w:ascii="Arial" w:cs="Arial" w:eastAsia="Arial" w:hAnsi="Arial"/>
                <w:sz w:val="15"/>
                <w:szCs w:val="15"/>
                <w:color w:val="auto"/>
              </w:rPr>
              <w:t>Total</w:t>
            </w:r>
          </w:p>
        </w:tc>
        <w:tc>
          <w:tcPr>
            <w:tcW w:w="1080" w:type="dxa"/>
            <w:vAlign w:val="bottom"/>
          </w:tcPr>
          <w:p>
            <w:pPr>
              <w:ind w:left="5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2,335,271</w:t>
            </w:r>
          </w:p>
        </w:tc>
        <w:tc>
          <w:tcPr>
            <w:tcW w:w="1000" w:type="dxa"/>
            <w:vAlign w:val="bottom"/>
          </w:tcPr>
          <w:p>
            <w:pPr>
              <w:ind w:left="44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4,650,573</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3,144,404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3,757,904</w:t>
            </w:r>
          </w:p>
        </w:tc>
      </w:tr>
    </w:tbl>
    <w:p>
      <w:pPr>
        <w:spacing w:after="0" w:line="164"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represented by RSUs include 2021 and 2022 PSUs that converted to RSUs at time of Spin</w:t>
      </w:r>
    </w:p>
    <w:p>
      <w:pPr>
        <w:spacing w:after="0" w:line="67"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executive perquisites are cancelled effective date of separation; however, executives are eligible for reimbursement of eligible expenses up to effective date of termination.</w:t>
      </w:r>
    </w:p>
    <w:p>
      <w:pPr>
        <w:spacing w:after="0" w:line="66" w:lineRule="exact"/>
        <w:rPr>
          <w:rFonts w:ascii="Arial" w:cs="Arial" w:eastAsia="Arial" w:hAnsi="Arial"/>
          <w:sz w:val="13"/>
          <w:szCs w:val="13"/>
          <w:color w:val="auto"/>
        </w:rPr>
      </w:pPr>
    </w:p>
    <w:p>
      <w:pPr>
        <w:ind w:left="120"/>
        <w:spacing w:after="0"/>
        <w:rPr>
          <w:rFonts w:ascii="Arial" w:cs="Arial" w:eastAsia="Arial" w:hAnsi="Arial"/>
          <w:sz w:val="13"/>
          <w:szCs w:val="13"/>
          <w:color w:val="auto"/>
        </w:rPr>
      </w:pPr>
      <w:r>
        <w:rPr>
          <w:rFonts w:ascii="Arial" w:cs="Arial" w:eastAsia="Arial" w:hAnsi="Arial"/>
          <w:sz w:val="13"/>
          <w:szCs w:val="13"/>
          <w:color w:val="auto"/>
        </w:rPr>
        <w:t>3</w:t>
      </w:r>
      <w:r>
        <w:rPr>
          <w:rFonts w:ascii="Arial" w:cs="Arial" w:eastAsia="Arial" w:hAnsi="Arial"/>
          <w:sz w:val="12"/>
          <w:szCs w:val="12"/>
          <w:color w:val="auto"/>
        </w:rPr>
        <w:t>None of the NEOs are retirement eligible.</w:t>
      </w:r>
    </w:p>
    <w:p>
      <w:pPr>
        <w:spacing w:after="0" w:line="67" w:lineRule="exact"/>
        <w:rPr>
          <w:sz w:val="20"/>
          <w:szCs w:val="20"/>
          <w:color w:val="auto"/>
        </w:rPr>
      </w:pPr>
    </w:p>
    <w:p>
      <w:pPr>
        <w:ind w:left="440" w:right="160" w:hanging="324"/>
        <w:spacing w:after="0" w:line="283" w:lineRule="auto"/>
        <w:tabs>
          <w:tab w:leader="none" w:pos="4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Under Involuntary Not for Cause or Good Reason as well as Change-in-Control, Health &amp; Welfare represent one year of reimbursement of executive for COBRA coverage for medical, dental and vision, an additional Medical Stipend equal to the cost of COBRA coverage for medical, dental, and vision, and outplacement services with such reimbursement capped at $3,000.</w:t>
      </w:r>
    </w:p>
    <w:p>
      <w:pPr>
        <w:spacing w:after="0" w:line="26" w:lineRule="exact"/>
        <w:rPr>
          <w:sz w:val="20"/>
          <w:szCs w:val="20"/>
          <w:color w:val="auto"/>
        </w:rPr>
      </w:pPr>
    </w:p>
    <w:p>
      <w:pPr>
        <w:ind w:left="440" w:right="340" w:hanging="324"/>
        <w:spacing w:after="0" w:line="259" w:lineRule="auto"/>
        <w:tabs>
          <w:tab w:leader="none" w:pos="4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Under Disability, amounts represent the what is to be paid to respective executive under Fortrea’s short and long-term disability plans. Fortrea’s short-term disability allows for 100% of the executive’s salary to be paid for 6 months. Fortrea’s supplemental long-term disability program, which the NEOs are eligible for, allows for a payment of up to $25,000 per month, with the maximum benefit to be determined by the length of eligibility and age. For the sake of this calculation, a term of one year has been used to determine the amount paid to the executive.</w:t>
      </w:r>
    </w:p>
    <w:p>
      <w:pPr>
        <w:spacing w:after="0" w:line="39"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Under Death, amount represents the death benefit under Fortrea’s company-sponsored life insurance plan—2x an employees annual base pay with a maximum of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44</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Pike Severance Payments and Consulting Agreement</w:t>
      </w:r>
    </w:p>
    <w:p>
      <w:pPr>
        <w:spacing w:after="0" w:line="133"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connection with his departure, Mr. Pike received severance as provided in Section 7(e) of the Pike Employment Agreement, dated as of January 4, 2023. Mr. Pike received $3,894,000 in cash severance, paid in equal installments in 2025 and 2026. In connection with Mr. Pike’s departure, the Company and Mr. Pike also entered into a consulting agreement, effective May 13, 2025, pursuant to which Mr. Pike served as a special consultant to the Company and performed such reasonable duties mutually agreed to between Mr. Pike and the Company until September 30, 2025. Pursuant to Mr. Pike’s consulting agreement, the Company retained Mr. Pike as a “Service Provider” (as defined in the Incentive Plan) and, as a result, Mr. Pike’s RSUs granted under the Incentive Plan continued to vest during the term of the Consulting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CEO Pay Ratio</w:t>
      </w:r>
    </w:p>
    <w:p>
      <w:pPr>
        <w:spacing w:after="0" w:line="149"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For 2025, as required by Item 402(u) of Regulation S-K, the Company identified a new median employee using our global employee population, excluding our CEO, as of December 1, 2025, which included all global full-time, part-time, temporary, and seasonal employees who were employed on that date. We used base salary as our consistently applied compensation measure across the employee population. The following jurisdictions constituting 5% of the Company’s total employees were excluded under the 5% de minimis rule: Philippines (169), Russia (27), Malaysia (17), Turkey (82), Columbia (38), Ukraine (149), Guatemala (16), South Africa (48), Taiwan (67), Costa Rica (47), Latvia (10), Switzerland (11), and Thailand (33).</w:t>
      </w:r>
    </w:p>
    <w:p>
      <w:pPr>
        <w:spacing w:after="0" w:line="112"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6"/>
          <w:szCs w:val="16"/>
          <w:color w:val="auto"/>
        </w:rPr>
        <w:t>From the remaining employees, we leveraged a valid statistical sampling approach to produce a sample of employees who were paid within a 5% range of the estimated median base salary and selected an employee from within that group as our median employee. We determined the median employee’s annual total compensation using the methodology for the Company’s Summary Compensation Table, as set forth in Item 402(c)(2)(x) of Regulation S-K and compared it to the total compensation of our CEO, in order to arrive at the pay ratio disclosed below.</w:t>
      </w:r>
    </w:p>
    <w:p>
      <w:pPr>
        <w:spacing w:after="0" w:line="97"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Pursuant to the Pay Ratio rules, in the event a company has multiple individuals serving as CEO during the applicable fiscal year, it is permissible to calculate the CEO pay ratio based on the annualized compensation of the individual serving as the CEO on the median employee identification date. As noted above, Mr. Thakral was appointed our President and CEO effective August 4, 2025 and served in such capacity through December 31, 2025, the date on which we identified our median employee for purposes of calculating the CEO pay ratio for 2025. As such, for purposes of the CEO pay ratio calculation, given that Mr. Thakral did not commence employment until August 4, 2025, we annualized certain elements of his compensation, including base salary and the value of health and welfare insurance premiums. The compensation for Mr. Thakral in 2025, as reported in the Summary Compensation Table with necessary adjustments to annualize his compensation, was $12,282,560. The compensation of our median employee for 2025 was $62,683. Based upon the total CEO compensation and median employee compensation for 2025, our CEO to median employee pay ratio is estimated at 196:1.</w:t>
      </w:r>
    </w:p>
    <w:p>
      <w:pPr>
        <w:spacing w:after="0" w:line="11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This ratio is a reasonable estimate calculated using a methodology consistent with SEC rules, as described above. As the SEC rules for identifying the median employee allow companies to adopt a variety of methodologies, and to use reasonable estimates and assumptions that reflect their compensation practices, pay ratios reported by other companies may not be comparable to the Company’s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5"/>
          <w:szCs w:val="25"/>
          <w:color w:val="auto"/>
        </w:rPr>
        <w:t>Pay versus Performance</w:t>
      </w:r>
    </w:p>
    <w:p>
      <w:pPr>
        <w:spacing w:after="0" w:line="153"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disclosure included in this section is prescribed by SEC rules and does not necessarily align with how the Company or the MDCC views the link between our performance and our NEOs’ pay. The MDCC did not consider the pay versus performance disclosure below in making its pay decisions. For a complete discussion of how the Company views its executive compensation structure, including alignment with Company performance and how pay was determined, see the Compensation Discussion and Analysis beginning on page 27.</w:t>
      </w:r>
    </w:p>
    <w:p>
      <w:pPr>
        <w:spacing w:after="0" w:line="110"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accordance with SEC rules, the following table sets forth information concerning compensation actually paid (“CAP”), Total Stockholder Return (“TSR”), Net Income, and Adjusted EBITDA. These disclosures and the calculation of CAP are required by the SEC’s rules. Neither CAP nor the amount reported in the Summary Compensation Table (“SCT”) reflect the amount of compensation actually paid, earned or received during the applicable year. Per SEC rules, CAP was calculated by adjusting SCT Total values for the applicable year as described in the footnotes to the following table.</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Borders>
              <w:top w:val="single" w:sz="8" w:color="auto"/>
            </w:tcBorders>
            <w:shd w:val="clear" w:color="auto" w:fill="0BC11C"/>
          </w:tcPr>
          <w:p>
            <w:pPr>
              <w:spacing w:after="0"/>
              <w:rPr>
                <w:sz w:val="14"/>
                <w:szCs w:val="14"/>
                <w:color w:val="auto"/>
              </w:rPr>
            </w:pPr>
          </w:p>
        </w:tc>
        <w:tc>
          <w:tcPr>
            <w:tcW w:w="200" w:type="dxa"/>
            <w:vAlign w:val="bottom"/>
            <w:tcBorders>
              <w:top w:val="single" w:sz="8" w:color="auto"/>
            </w:tcBorders>
            <w:shd w:val="clear" w:color="auto" w:fill="0BC11C"/>
          </w:tcPr>
          <w:p>
            <w:pPr>
              <w:spacing w:after="0"/>
              <w:rPr>
                <w:sz w:val="14"/>
                <w:szCs w:val="14"/>
                <w:color w:val="auto"/>
              </w:rPr>
            </w:pPr>
          </w:p>
        </w:tc>
        <w:tc>
          <w:tcPr>
            <w:tcW w:w="620" w:type="dxa"/>
            <w:vAlign w:val="bottom"/>
            <w:tcBorders>
              <w:top w:val="single" w:sz="8" w:color="auto"/>
            </w:tcBorders>
            <w:shd w:val="clear" w:color="auto" w:fill="0BC11C"/>
          </w:tcPr>
          <w:p>
            <w:pPr>
              <w:spacing w:after="0"/>
              <w:rPr>
                <w:sz w:val="14"/>
                <w:szCs w:val="14"/>
                <w:color w:val="auto"/>
              </w:rPr>
            </w:pPr>
          </w:p>
        </w:tc>
        <w:tc>
          <w:tcPr>
            <w:tcW w:w="700" w:type="dxa"/>
            <w:vAlign w:val="bottom"/>
            <w:tcBorders>
              <w:top w:val="single" w:sz="8" w:color="auto"/>
            </w:tcBorders>
            <w:shd w:val="clear" w:color="auto" w:fill="0BC11C"/>
          </w:tcPr>
          <w:p>
            <w:pPr>
              <w:spacing w:after="0"/>
              <w:rPr>
                <w:sz w:val="14"/>
                <w:szCs w:val="14"/>
                <w:color w:val="auto"/>
              </w:rPr>
            </w:pPr>
          </w:p>
        </w:tc>
        <w:tc>
          <w:tcPr>
            <w:tcW w:w="760" w:type="dxa"/>
            <w:vAlign w:val="bottom"/>
            <w:tcBorders>
              <w:top w:val="single" w:sz="8" w:color="auto"/>
            </w:tcBorders>
            <w:shd w:val="clear" w:color="auto" w:fill="0BC11C"/>
          </w:tcPr>
          <w:p>
            <w:pPr>
              <w:spacing w:after="0"/>
              <w:rPr>
                <w:sz w:val="14"/>
                <w:szCs w:val="14"/>
                <w:color w:val="auto"/>
              </w:rPr>
            </w:pPr>
          </w:p>
        </w:tc>
        <w:tc>
          <w:tcPr>
            <w:tcW w:w="160" w:type="dxa"/>
            <w:vAlign w:val="bottom"/>
            <w:tcBorders>
              <w:top w:val="single" w:sz="8" w:color="auto"/>
            </w:tcBorders>
            <w:shd w:val="clear" w:color="auto" w:fill="0BC11C"/>
          </w:tcPr>
          <w:p>
            <w:pPr>
              <w:spacing w:after="0"/>
              <w:rPr>
                <w:sz w:val="14"/>
                <w:szCs w:val="14"/>
                <w:color w:val="auto"/>
              </w:rPr>
            </w:pPr>
          </w:p>
        </w:tc>
        <w:tc>
          <w:tcPr>
            <w:tcW w:w="640" w:type="dxa"/>
            <w:vAlign w:val="bottom"/>
            <w:tcBorders>
              <w:top w:val="single" w:sz="8" w:color="auto"/>
            </w:tcBorders>
            <w:shd w:val="clear" w:color="auto" w:fill="0BC11C"/>
          </w:tcPr>
          <w:p>
            <w:pPr>
              <w:spacing w:after="0"/>
              <w:rPr>
                <w:sz w:val="14"/>
                <w:szCs w:val="14"/>
                <w:color w:val="auto"/>
              </w:rPr>
            </w:pPr>
          </w:p>
        </w:tc>
        <w:tc>
          <w:tcPr>
            <w:tcW w:w="720" w:type="dxa"/>
            <w:vAlign w:val="bottom"/>
            <w:tcBorders>
              <w:top w:val="single" w:sz="8" w:color="auto"/>
            </w:tcBorders>
            <w:shd w:val="clear" w:color="auto" w:fill="0BC11C"/>
          </w:tcPr>
          <w:p>
            <w:pPr>
              <w:spacing w:after="0"/>
              <w:rPr>
                <w:sz w:val="14"/>
                <w:szCs w:val="14"/>
                <w:color w:val="auto"/>
              </w:rPr>
            </w:pPr>
          </w:p>
        </w:tc>
        <w:tc>
          <w:tcPr>
            <w:tcW w:w="760" w:type="dxa"/>
            <w:vAlign w:val="bottom"/>
            <w:tcBorders>
              <w:top w:val="single" w:sz="8" w:color="auto"/>
            </w:tcBorders>
            <w:shd w:val="clear" w:color="auto" w:fill="0BC11C"/>
          </w:tcPr>
          <w:p>
            <w:pPr>
              <w:spacing w:after="0"/>
              <w:rPr>
                <w:sz w:val="14"/>
                <w:szCs w:val="14"/>
                <w:color w:val="auto"/>
              </w:rPr>
            </w:pPr>
          </w:p>
        </w:tc>
        <w:tc>
          <w:tcPr>
            <w:tcW w:w="700" w:type="dxa"/>
            <w:vAlign w:val="bottom"/>
            <w:tcBorders>
              <w:top w:val="single" w:sz="8" w:color="auto"/>
            </w:tcBorders>
            <w:shd w:val="clear" w:color="auto" w:fill="0BC11C"/>
          </w:tcPr>
          <w:p>
            <w:pPr>
              <w:spacing w:after="0"/>
              <w:rPr>
                <w:sz w:val="14"/>
                <w:szCs w:val="14"/>
                <w:color w:val="auto"/>
              </w:rPr>
            </w:pPr>
          </w:p>
        </w:tc>
        <w:tc>
          <w:tcPr>
            <w:tcW w:w="700" w:type="dxa"/>
            <w:vAlign w:val="bottom"/>
            <w:tcBorders>
              <w:top w:val="single" w:sz="8" w:color="auto"/>
            </w:tcBorders>
            <w:shd w:val="clear" w:color="auto" w:fill="0BC11C"/>
          </w:tcPr>
          <w:p>
            <w:pPr>
              <w:spacing w:after="0"/>
              <w:rPr>
                <w:sz w:val="14"/>
                <w:szCs w:val="14"/>
                <w:color w:val="auto"/>
              </w:rPr>
            </w:pPr>
          </w:p>
        </w:tc>
        <w:tc>
          <w:tcPr>
            <w:tcW w:w="100" w:type="dxa"/>
            <w:vAlign w:val="bottom"/>
            <w:tcBorders>
              <w:top w:val="single" w:sz="8" w:color="auto"/>
            </w:tcBorders>
            <w:shd w:val="clear" w:color="auto" w:fill="0BC11C"/>
          </w:tcPr>
          <w:p>
            <w:pPr>
              <w:spacing w:after="0"/>
              <w:rPr>
                <w:sz w:val="14"/>
                <w:szCs w:val="14"/>
                <w:color w:val="auto"/>
              </w:rPr>
            </w:pPr>
          </w:p>
        </w:tc>
        <w:tc>
          <w:tcPr>
            <w:tcW w:w="1080" w:type="dxa"/>
            <w:vAlign w:val="bottom"/>
            <w:tcBorders>
              <w:top w:val="single" w:sz="8" w:color="auto"/>
            </w:tcBorders>
            <w:gridSpan w:val="3"/>
            <w:shd w:val="clear" w:color="auto" w:fill="0BC11C"/>
          </w:tcPr>
          <w:p>
            <w:pPr>
              <w:jc w:val="center"/>
              <w:spacing w:after="0"/>
              <w:rPr>
                <w:sz w:val="20"/>
                <w:szCs w:val="20"/>
                <w:color w:val="auto"/>
              </w:rPr>
            </w:pPr>
            <w:r>
              <w:rPr>
                <w:rFonts w:ascii="Arial" w:cs="Arial" w:eastAsia="Arial" w:hAnsi="Arial"/>
                <w:sz w:val="11"/>
                <w:szCs w:val="11"/>
                <w:b w:val="1"/>
                <w:bCs w:val="1"/>
                <w:color w:val="FFFFFF"/>
                <w:w w:val="98"/>
              </w:rPr>
              <w:t>VALUE OF INITIAL</w:t>
            </w:r>
          </w:p>
        </w:tc>
        <w:tc>
          <w:tcPr>
            <w:tcW w:w="60" w:type="dxa"/>
            <w:vAlign w:val="bottom"/>
            <w:tcBorders>
              <w:top w:val="single" w:sz="8" w:color="auto"/>
            </w:tcBorders>
            <w:shd w:val="clear" w:color="auto" w:fill="0BC11C"/>
          </w:tcPr>
          <w:p>
            <w:pPr>
              <w:spacing w:after="0"/>
              <w:rPr>
                <w:sz w:val="14"/>
                <w:szCs w:val="14"/>
                <w:color w:val="auto"/>
              </w:rPr>
            </w:pPr>
          </w:p>
        </w:tc>
        <w:tc>
          <w:tcPr>
            <w:tcW w:w="440" w:type="dxa"/>
            <w:vAlign w:val="bottom"/>
            <w:tcBorders>
              <w:top w:val="single" w:sz="8" w:color="auto"/>
            </w:tcBorders>
            <w:shd w:val="clear" w:color="auto" w:fill="0BC11C"/>
          </w:tcPr>
          <w:p>
            <w:pPr>
              <w:spacing w:after="0"/>
              <w:rPr>
                <w:sz w:val="14"/>
                <w:szCs w:val="14"/>
                <w:color w:val="auto"/>
              </w:rPr>
            </w:pPr>
          </w:p>
        </w:tc>
        <w:tc>
          <w:tcPr>
            <w:tcW w:w="300" w:type="dxa"/>
            <w:vAlign w:val="bottom"/>
            <w:tcBorders>
              <w:top w:val="single" w:sz="8" w:color="auto"/>
            </w:tcBorders>
            <w:shd w:val="clear" w:color="auto" w:fill="0BC11C"/>
          </w:tcPr>
          <w:p>
            <w:pPr>
              <w:spacing w:after="0"/>
              <w:rPr>
                <w:sz w:val="14"/>
                <w:szCs w:val="14"/>
                <w:color w:val="auto"/>
              </w:rPr>
            </w:pPr>
          </w:p>
        </w:tc>
        <w:tc>
          <w:tcPr>
            <w:tcW w:w="780" w:type="dxa"/>
            <w:vAlign w:val="bottom"/>
            <w:tcBorders>
              <w:top w:val="single" w:sz="8" w:color="auto"/>
            </w:tcBorders>
            <w:shd w:val="clear" w:color="auto" w:fill="0BC11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00" w:type="dxa"/>
            <w:vAlign w:val="bottom"/>
            <w:shd w:val="clear" w:color="auto" w:fill="0BC11C"/>
          </w:tcPr>
          <w:p>
            <w:pPr>
              <w:spacing w:after="0"/>
              <w:rPr>
                <w:sz w:val="10"/>
                <w:szCs w:val="10"/>
                <w:color w:val="auto"/>
              </w:rPr>
            </w:pPr>
          </w:p>
        </w:tc>
        <w:tc>
          <w:tcPr>
            <w:tcW w:w="200" w:type="dxa"/>
            <w:vAlign w:val="bottom"/>
            <w:shd w:val="clear" w:color="auto" w:fill="0BC11C"/>
          </w:tcPr>
          <w:p>
            <w:pPr>
              <w:spacing w:after="0"/>
              <w:rPr>
                <w:sz w:val="10"/>
                <w:szCs w:val="10"/>
                <w:color w:val="auto"/>
              </w:rPr>
            </w:pPr>
          </w:p>
        </w:tc>
        <w:tc>
          <w:tcPr>
            <w:tcW w:w="620" w:type="dxa"/>
            <w:vAlign w:val="bottom"/>
            <w:shd w:val="clear" w:color="auto" w:fill="0BC11C"/>
          </w:tcPr>
          <w:p>
            <w:pPr>
              <w:spacing w:after="0"/>
              <w:rPr>
                <w:sz w:val="10"/>
                <w:szCs w:val="10"/>
                <w:color w:val="auto"/>
              </w:rPr>
            </w:pPr>
          </w:p>
        </w:tc>
        <w:tc>
          <w:tcPr>
            <w:tcW w:w="700" w:type="dxa"/>
            <w:vAlign w:val="bottom"/>
            <w:shd w:val="clear" w:color="auto" w:fill="0BC11C"/>
          </w:tcPr>
          <w:p>
            <w:pPr>
              <w:spacing w:after="0"/>
              <w:rPr>
                <w:sz w:val="10"/>
                <w:szCs w:val="10"/>
                <w:color w:val="auto"/>
              </w:rPr>
            </w:pPr>
          </w:p>
        </w:tc>
        <w:tc>
          <w:tcPr>
            <w:tcW w:w="7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640" w:type="dxa"/>
            <w:vAlign w:val="bottom"/>
            <w:shd w:val="clear" w:color="auto" w:fill="0BC11C"/>
          </w:tcPr>
          <w:p>
            <w:pPr>
              <w:spacing w:after="0"/>
              <w:rPr>
                <w:sz w:val="10"/>
                <w:szCs w:val="10"/>
                <w:color w:val="auto"/>
              </w:rPr>
            </w:pPr>
          </w:p>
        </w:tc>
        <w:tc>
          <w:tcPr>
            <w:tcW w:w="720" w:type="dxa"/>
            <w:vAlign w:val="bottom"/>
            <w:shd w:val="clear" w:color="auto" w:fill="0BC11C"/>
          </w:tcPr>
          <w:p>
            <w:pPr>
              <w:spacing w:after="0"/>
              <w:rPr>
                <w:sz w:val="10"/>
                <w:szCs w:val="10"/>
                <w:color w:val="auto"/>
              </w:rPr>
            </w:pPr>
          </w:p>
        </w:tc>
        <w:tc>
          <w:tcPr>
            <w:tcW w:w="760" w:type="dxa"/>
            <w:vAlign w:val="bottom"/>
            <w:shd w:val="clear" w:color="auto" w:fill="0BC11C"/>
          </w:tcPr>
          <w:p>
            <w:pPr>
              <w:spacing w:after="0"/>
              <w:rPr>
                <w:sz w:val="10"/>
                <w:szCs w:val="10"/>
                <w:color w:val="auto"/>
              </w:rPr>
            </w:pPr>
          </w:p>
        </w:tc>
        <w:tc>
          <w:tcPr>
            <w:tcW w:w="700" w:type="dxa"/>
            <w:vAlign w:val="bottom"/>
            <w:vMerge w:val="restart"/>
            <w:shd w:val="clear" w:color="auto" w:fill="0BC11C"/>
          </w:tcPr>
          <w:p>
            <w:pPr>
              <w:ind w:left="60"/>
              <w:spacing w:after="0"/>
              <w:rPr>
                <w:sz w:val="20"/>
                <w:szCs w:val="20"/>
                <w:color w:val="auto"/>
              </w:rPr>
            </w:pPr>
            <w:r>
              <w:rPr>
                <w:rFonts w:ascii="Arial" w:cs="Arial" w:eastAsia="Arial" w:hAnsi="Arial"/>
                <w:sz w:val="11"/>
                <w:szCs w:val="11"/>
                <w:b w:val="1"/>
                <w:bCs w:val="1"/>
                <w:color w:val="FFFFFF"/>
              </w:rPr>
              <w:t>AVERAGE</w:t>
            </w:r>
          </w:p>
        </w:tc>
        <w:tc>
          <w:tcPr>
            <w:tcW w:w="700" w:type="dxa"/>
            <w:vAlign w:val="bottom"/>
            <w:shd w:val="clear" w:color="auto" w:fill="0BC11C"/>
          </w:tcPr>
          <w:p>
            <w:pPr>
              <w:spacing w:after="0"/>
              <w:rPr>
                <w:sz w:val="10"/>
                <w:szCs w:val="10"/>
                <w:color w:val="auto"/>
              </w:rPr>
            </w:pPr>
          </w:p>
        </w:tc>
        <w:tc>
          <w:tcPr>
            <w:tcW w:w="100" w:type="dxa"/>
            <w:vAlign w:val="bottom"/>
            <w:shd w:val="clear" w:color="auto" w:fill="0BC11C"/>
          </w:tcPr>
          <w:p>
            <w:pPr>
              <w:spacing w:after="0"/>
              <w:rPr>
                <w:sz w:val="10"/>
                <w:szCs w:val="10"/>
                <w:color w:val="auto"/>
              </w:rPr>
            </w:pPr>
          </w:p>
        </w:tc>
        <w:tc>
          <w:tcPr>
            <w:tcW w:w="200" w:type="dxa"/>
            <w:vAlign w:val="bottom"/>
            <w:shd w:val="clear" w:color="auto" w:fill="0BC11C"/>
          </w:tcPr>
          <w:p>
            <w:pPr>
              <w:spacing w:after="0"/>
              <w:rPr>
                <w:sz w:val="10"/>
                <w:szCs w:val="10"/>
                <w:color w:val="auto"/>
              </w:rPr>
            </w:pPr>
          </w:p>
        </w:tc>
        <w:tc>
          <w:tcPr>
            <w:tcW w:w="880" w:type="dxa"/>
            <w:vAlign w:val="bottom"/>
            <w:gridSpan w:val="2"/>
            <w:shd w:val="clear" w:color="auto" w:fill="0BC11C"/>
          </w:tcPr>
          <w:p>
            <w:pPr>
              <w:jc w:val="center"/>
              <w:ind w:right="146"/>
              <w:spacing w:after="0" w:line="122" w:lineRule="exact"/>
              <w:rPr>
                <w:sz w:val="20"/>
                <w:szCs w:val="20"/>
                <w:color w:val="auto"/>
              </w:rPr>
            </w:pPr>
            <w:r>
              <w:rPr>
                <w:rFonts w:ascii="Arial" w:cs="Arial" w:eastAsia="Arial" w:hAnsi="Arial"/>
                <w:sz w:val="11"/>
                <w:szCs w:val="11"/>
                <w:b w:val="1"/>
                <w:bCs w:val="1"/>
                <w:color w:val="FFFFFF"/>
              </w:rPr>
              <w:t>FIXED $100</w:t>
            </w:r>
          </w:p>
        </w:tc>
        <w:tc>
          <w:tcPr>
            <w:tcW w:w="60" w:type="dxa"/>
            <w:vAlign w:val="bottom"/>
            <w:shd w:val="clear" w:color="auto" w:fill="0BC11C"/>
          </w:tcPr>
          <w:p>
            <w:pPr>
              <w:spacing w:after="0"/>
              <w:rPr>
                <w:sz w:val="10"/>
                <w:szCs w:val="10"/>
                <w:color w:val="auto"/>
              </w:rPr>
            </w:pPr>
          </w:p>
        </w:tc>
        <w:tc>
          <w:tcPr>
            <w:tcW w:w="440" w:type="dxa"/>
            <w:vAlign w:val="bottom"/>
            <w:shd w:val="clear" w:color="auto" w:fill="0BC11C"/>
          </w:tcPr>
          <w:p>
            <w:pPr>
              <w:spacing w:after="0"/>
              <w:rPr>
                <w:sz w:val="10"/>
                <w:szCs w:val="10"/>
                <w:color w:val="auto"/>
              </w:rPr>
            </w:pPr>
          </w:p>
        </w:tc>
        <w:tc>
          <w:tcPr>
            <w:tcW w:w="30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300" w:type="dxa"/>
            <w:vAlign w:val="bottom"/>
            <w:shd w:val="clear" w:color="auto" w:fill="0BC11C"/>
          </w:tcPr>
          <w:p>
            <w:pPr>
              <w:spacing w:after="0"/>
              <w:rPr>
                <w:sz w:val="4"/>
                <w:szCs w:val="4"/>
                <w:color w:val="auto"/>
              </w:rPr>
            </w:pPr>
          </w:p>
        </w:tc>
        <w:tc>
          <w:tcPr>
            <w:tcW w:w="200" w:type="dxa"/>
            <w:vAlign w:val="bottom"/>
            <w:shd w:val="clear" w:color="auto" w:fill="0BC11C"/>
          </w:tcPr>
          <w:p>
            <w:pPr>
              <w:spacing w:after="0"/>
              <w:rPr>
                <w:sz w:val="4"/>
                <w:szCs w:val="4"/>
                <w:color w:val="auto"/>
              </w:rPr>
            </w:pPr>
          </w:p>
        </w:tc>
        <w:tc>
          <w:tcPr>
            <w:tcW w:w="620" w:type="dxa"/>
            <w:vAlign w:val="bottom"/>
            <w:shd w:val="clear" w:color="auto" w:fill="0BC11C"/>
          </w:tcPr>
          <w:p>
            <w:pPr>
              <w:spacing w:after="0"/>
              <w:rPr>
                <w:sz w:val="4"/>
                <w:szCs w:val="4"/>
                <w:color w:val="auto"/>
              </w:rPr>
            </w:pPr>
          </w:p>
        </w:tc>
        <w:tc>
          <w:tcPr>
            <w:tcW w:w="700" w:type="dxa"/>
            <w:vAlign w:val="bottom"/>
            <w:shd w:val="clear" w:color="auto" w:fill="0BC11C"/>
          </w:tcPr>
          <w:p>
            <w:pPr>
              <w:spacing w:after="0"/>
              <w:rPr>
                <w:sz w:val="4"/>
                <w:szCs w:val="4"/>
                <w:color w:val="auto"/>
              </w:rPr>
            </w:pPr>
          </w:p>
        </w:tc>
        <w:tc>
          <w:tcPr>
            <w:tcW w:w="760" w:type="dxa"/>
            <w:vAlign w:val="bottom"/>
            <w:shd w:val="clear" w:color="auto" w:fill="0BC11C"/>
          </w:tcPr>
          <w:p>
            <w:pPr>
              <w:spacing w:after="0"/>
              <w:rPr>
                <w:sz w:val="4"/>
                <w:szCs w:val="4"/>
                <w:color w:val="auto"/>
              </w:rPr>
            </w:pPr>
          </w:p>
        </w:tc>
        <w:tc>
          <w:tcPr>
            <w:tcW w:w="160" w:type="dxa"/>
            <w:vAlign w:val="bottom"/>
            <w:shd w:val="clear" w:color="auto" w:fill="0BC11C"/>
          </w:tcPr>
          <w:p>
            <w:pPr>
              <w:spacing w:after="0"/>
              <w:rPr>
                <w:sz w:val="4"/>
                <w:szCs w:val="4"/>
                <w:color w:val="auto"/>
              </w:rPr>
            </w:pPr>
          </w:p>
        </w:tc>
        <w:tc>
          <w:tcPr>
            <w:tcW w:w="640" w:type="dxa"/>
            <w:vAlign w:val="bottom"/>
            <w:shd w:val="clear" w:color="auto" w:fill="0BC11C"/>
          </w:tcPr>
          <w:p>
            <w:pPr>
              <w:spacing w:after="0"/>
              <w:rPr>
                <w:sz w:val="4"/>
                <w:szCs w:val="4"/>
                <w:color w:val="auto"/>
              </w:rPr>
            </w:pPr>
          </w:p>
        </w:tc>
        <w:tc>
          <w:tcPr>
            <w:tcW w:w="720" w:type="dxa"/>
            <w:vAlign w:val="bottom"/>
            <w:shd w:val="clear" w:color="auto" w:fill="0BC11C"/>
          </w:tcPr>
          <w:p>
            <w:pPr>
              <w:spacing w:after="0"/>
              <w:rPr>
                <w:sz w:val="4"/>
                <w:szCs w:val="4"/>
                <w:color w:val="auto"/>
              </w:rPr>
            </w:pPr>
          </w:p>
        </w:tc>
        <w:tc>
          <w:tcPr>
            <w:tcW w:w="760" w:type="dxa"/>
            <w:vAlign w:val="bottom"/>
            <w:shd w:val="clear" w:color="auto" w:fill="0BC11C"/>
          </w:tcPr>
          <w:p>
            <w:pPr>
              <w:spacing w:after="0"/>
              <w:rPr>
                <w:sz w:val="4"/>
                <w:szCs w:val="4"/>
                <w:color w:val="auto"/>
              </w:rPr>
            </w:pPr>
          </w:p>
        </w:tc>
        <w:tc>
          <w:tcPr>
            <w:tcW w:w="700" w:type="dxa"/>
            <w:vAlign w:val="bottom"/>
            <w:vMerge w:val="continue"/>
            <w:shd w:val="clear" w:color="auto" w:fill="0BC11C"/>
          </w:tcPr>
          <w:p>
            <w:pPr>
              <w:spacing w:after="0"/>
              <w:rPr>
                <w:sz w:val="4"/>
                <w:szCs w:val="4"/>
                <w:color w:val="auto"/>
              </w:rPr>
            </w:pPr>
          </w:p>
        </w:tc>
        <w:tc>
          <w:tcPr>
            <w:tcW w:w="700" w:type="dxa"/>
            <w:vAlign w:val="bottom"/>
            <w:shd w:val="clear" w:color="auto" w:fill="0BC11C"/>
          </w:tcPr>
          <w:p>
            <w:pPr>
              <w:spacing w:after="0"/>
              <w:rPr>
                <w:sz w:val="4"/>
                <w:szCs w:val="4"/>
                <w:color w:val="auto"/>
              </w:rPr>
            </w:pPr>
          </w:p>
        </w:tc>
        <w:tc>
          <w:tcPr>
            <w:tcW w:w="100" w:type="dxa"/>
            <w:vAlign w:val="bottom"/>
            <w:shd w:val="clear" w:color="auto" w:fill="0BC11C"/>
          </w:tcPr>
          <w:p>
            <w:pPr>
              <w:spacing w:after="0"/>
              <w:rPr>
                <w:sz w:val="4"/>
                <w:szCs w:val="4"/>
                <w:color w:val="auto"/>
              </w:rPr>
            </w:pPr>
          </w:p>
        </w:tc>
        <w:tc>
          <w:tcPr>
            <w:tcW w:w="1080" w:type="dxa"/>
            <w:vAlign w:val="bottom"/>
            <w:gridSpan w:val="3"/>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INVESTMENT</w:t>
            </w:r>
          </w:p>
        </w:tc>
        <w:tc>
          <w:tcPr>
            <w:tcW w:w="60" w:type="dxa"/>
            <w:vAlign w:val="bottom"/>
            <w:shd w:val="clear" w:color="auto" w:fill="0BC11C"/>
          </w:tcPr>
          <w:p>
            <w:pPr>
              <w:spacing w:after="0"/>
              <w:rPr>
                <w:sz w:val="4"/>
                <w:szCs w:val="4"/>
                <w:color w:val="auto"/>
              </w:rPr>
            </w:pPr>
          </w:p>
        </w:tc>
        <w:tc>
          <w:tcPr>
            <w:tcW w:w="440" w:type="dxa"/>
            <w:vAlign w:val="bottom"/>
            <w:shd w:val="clear" w:color="auto" w:fill="0BC11C"/>
          </w:tcPr>
          <w:p>
            <w:pPr>
              <w:spacing w:after="0"/>
              <w:rPr>
                <w:sz w:val="4"/>
                <w:szCs w:val="4"/>
                <w:color w:val="auto"/>
              </w:rPr>
            </w:pPr>
          </w:p>
        </w:tc>
        <w:tc>
          <w:tcPr>
            <w:tcW w:w="300" w:type="dxa"/>
            <w:vAlign w:val="bottom"/>
            <w:shd w:val="clear" w:color="auto" w:fill="0BC11C"/>
          </w:tcPr>
          <w:p>
            <w:pPr>
              <w:spacing w:after="0"/>
              <w:rPr>
                <w:sz w:val="4"/>
                <w:szCs w:val="4"/>
                <w:color w:val="auto"/>
              </w:rPr>
            </w:pPr>
          </w:p>
        </w:tc>
        <w:tc>
          <w:tcPr>
            <w:tcW w:w="780" w:type="dxa"/>
            <w:vAlign w:val="bottom"/>
            <w:shd w:val="clear" w:color="auto" w:fill="0BC11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300" w:type="dxa"/>
            <w:vAlign w:val="bottom"/>
            <w:shd w:val="clear" w:color="auto" w:fill="0BC11C"/>
          </w:tcPr>
          <w:p>
            <w:pPr>
              <w:spacing w:after="0"/>
              <w:rPr>
                <w:sz w:val="5"/>
                <w:szCs w:val="5"/>
                <w:color w:val="auto"/>
              </w:rPr>
            </w:pPr>
          </w:p>
        </w:tc>
        <w:tc>
          <w:tcPr>
            <w:tcW w:w="200" w:type="dxa"/>
            <w:vAlign w:val="bottom"/>
            <w:shd w:val="clear" w:color="auto" w:fill="0BC11C"/>
          </w:tcPr>
          <w:p>
            <w:pPr>
              <w:spacing w:after="0"/>
              <w:rPr>
                <w:sz w:val="5"/>
                <w:szCs w:val="5"/>
                <w:color w:val="auto"/>
              </w:rPr>
            </w:pPr>
          </w:p>
        </w:tc>
        <w:tc>
          <w:tcPr>
            <w:tcW w:w="620" w:type="dxa"/>
            <w:vAlign w:val="bottom"/>
            <w:shd w:val="clear" w:color="auto" w:fill="0BC11C"/>
          </w:tcPr>
          <w:p>
            <w:pPr>
              <w:spacing w:after="0"/>
              <w:rPr>
                <w:sz w:val="5"/>
                <w:szCs w:val="5"/>
                <w:color w:val="auto"/>
              </w:rPr>
            </w:pPr>
          </w:p>
        </w:tc>
        <w:tc>
          <w:tcPr>
            <w:tcW w:w="700" w:type="dxa"/>
            <w:vAlign w:val="bottom"/>
            <w:shd w:val="clear" w:color="auto" w:fill="0BC11C"/>
          </w:tcPr>
          <w:p>
            <w:pPr>
              <w:spacing w:after="0"/>
              <w:rPr>
                <w:sz w:val="5"/>
                <w:szCs w:val="5"/>
                <w:color w:val="auto"/>
              </w:rPr>
            </w:pPr>
          </w:p>
        </w:tc>
        <w:tc>
          <w:tcPr>
            <w:tcW w:w="760" w:type="dxa"/>
            <w:vAlign w:val="bottom"/>
            <w:shd w:val="clear" w:color="auto" w:fill="0BC11C"/>
          </w:tcPr>
          <w:p>
            <w:pPr>
              <w:spacing w:after="0"/>
              <w:rPr>
                <w:sz w:val="5"/>
                <w:szCs w:val="5"/>
                <w:color w:val="auto"/>
              </w:rPr>
            </w:pPr>
          </w:p>
        </w:tc>
        <w:tc>
          <w:tcPr>
            <w:tcW w:w="160" w:type="dxa"/>
            <w:vAlign w:val="bottom"/>
            <w:shd w:val="clear" w:color="auto" w:fill="0BC11C"/>
          </w:tcPr>
          <w:p>
            <w:pPr>
              <w:spacing w:after="0"/>
              <w:rPr>
                <w:sz w:val="5"/>
                <w:szCs w:val="5"/>
                <w:color w:val="auto"/>
              </w:rPr>
            </w:pPr>
          </w:p>
        </w:tc>
        <w:tc>
          <w:tcPr>
            <w:tcW w:w="640" w:type="dxa"/>
            <w:vAlign w:val="bottom"/>
            <w:shd w:val="clear" w:color="auto" w:fill="0BC11C"/>
          </w:tcPr>
          <w:p>
            <w:pPr>
              <w:spacing w:after="0"/>
              <w:rPr>
                <w:sz w:val="5"/>
                <w:szCs w:val="5"/>
                <w:color w:val="auto"/>
              </w:rPr>
            </w:pPr>
          </w:p>
        </w:tc>
        <w:tc>
          <w:tcPr>
            <w:tcW w:w="720" w:type="dxa"/>
            <w:vAlign w:val="bottom"/>
            <w:shd w:val="clear" w:color="auto" w:fill="0BC11C"/>
          </w:tcPr>
          <w:p>
            <w:pPr>
              <w:spacing w:after="0"/>
              <w:rPr>
                <w:sz w:val="5"/>
                <w:szCs w:val="5"/>
                <w:color w:val="auto"/>
              </w:rPr>
            </w:pPr>
          </w:p>
        </w:tc>
        <w:tc>
          <w:tcPr>
            <w:tcW w:w="760" w:type="dxa"/>
            <w:vAlign w:val="bottom"/>
            <w:shd w:val="clear" w:color="auto" w:fill="0BC11C"/>
          </w:tcPr>
          <w:p>
            <w:pPr>
              <w:spacing w:after="0"/>
              <w:rPr>
                <w:sz w:val="5"/>
                <w:szCs w:val="5"/>
                <w:color w:val="auto"/>
              </w:rPr>
            </w:pPr>
          </w:p>
        </w:tc>
        <w:tc>
          <w:tcPr>
            <w:tcW w:w="700" w:type="dxa"/>
            <w:vAlign w:val="bottom"/>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SCT</w:t>
            </w:r>
          </w:p>
        </w:tc>
        <w:tc>
          <w:tcPr>
            <w:tcW w:w="700" w:type="dxa"/>
            <w:vAlign w:val="bottom"/>
            <w:shd w:val="clear" w:color="auto" w:fill="0BC11C"/>
          </w:tcPr>
          <w:p>
            <w:pPr>
              <w:spacing w:after="0"/>
              <w:rPr>
                <w:sz w:val="5"/>
                <w:szCs w:val="5"/>
                <w:color w:val="auto"/>
              </w:rPr>
            </w:pPr>
          </w:p>
        </w:tc>
        <w:tc>
          <w:tcPr>
            <w:tcW w:w="100" w:type="dxa"/>
            <w:vAlign w:val="bottom"/>
            <w:shd w:val="clear" w:color="auto" w:fill="0BC11C"/>
          </w:tcPr>
          <w:p>
            <w:pPr>
              <w:spacing w:after="0"/>
              <w:rPr>
                <w:sz w:val="5"/>
                <w:szCs w:val="5"/>
                <w:color w:val="auto"/>
              </w:rPr>
            </w:pPr>
          </w:p>
        </w:tc>
        <w:tc>
          <w:tcPr>
            <w:tcW w:w="1080" w:type="dxa"/>
            <w:vAlign w:val="bottom"/>
            <w:gridSpan w:val="3"/>
            <w:vMerge w:val="continue"/>
            <w:shd w:val="clear" w:color="auto" w:fill="0BC11C"/>
          </w:tcPr>
          <w:p>
            <w:pPr>
              <w:spacing w:after="0"/>
              <w:rPr>
                <w:sz w:val="5"/>
                <w:szCs w:val="5"/>
                <w:color w:val="auto"/>
              </w:rPr>
            </w:pPr>
          </w:p>
        </w:tc>
        <w:tc>
          <w:tcPr>
            <w:tcW w:w="60" w:type="dxa"/>
            <w:vAlign w:val="bottom"/>
            <w:shd w:val="clear" w:color="auto" w:fill="0BC11C"/>
          </w:tcPr>
          <w:p>
            <w:pPr>
              <w:spacing w:after="0"/>
              <w:rPr>
                <w:sz w:val="5"/>
                <w:szCs w:val="5"/>
                <w:color w:val="auto"/>
              </w:rPr>
            </w:pPr>
          </w:p>
        </w:tc>
        <w:tc>
          <w:tcPr>
            <w:tcW w:w="440" w:type="dxa"/>
            <w:vAlign w:val="bottom"/>
            <w:shd w:val="clear" w:color="auto" w:fill="0BC11C"/>
          </w:tcPr>
          <w:p>
            <w:pPr>
              <w:spacing w:after="0"/>
              <w:rPr>
                <w:sz w:val="5"/>
                <w:szCs w:val="5"/>
                <w:color w:val="auto"/>
              </w:rPr>
            </w:pPr>
          </w:p>
        </w:tc>
        <w:tc>
          <w:tcPr>
            <w:tcW w:w="300" w:type="dxa"/>
            <w:vAlign w:val="bottom"/>
            <w:shd w:val="clear" w:color="auto" w:fill="0BC11C"/>
          </w:tcPr>
          <w:p>
            <w:pPr>
              <w:spacing w:after="0"/>
              <w:rPr>
                <w:sz w:val="5"/>
                <w:szCs w:val="5"/>
                <w:color w:val="auto"/>
              </w:rPr>
            </w:pPr>
          </w:p>
        </w:tc>
        <w:tc>
          <w:tcPr>
            <w:tcW w:w="780" w:type="dxa"/>
            <w:vAlign w:val="bottom"/>
            <w:shd w:val="clear" w:color="auto" w:fill="0BC11C"/>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300" w:type="dxa"/>
            <w:vAlign w:val="bottom"/>
            <w:shd w:val="clear" w:color="auto" w:fill="0BC11C"/>
          </w:tcPr>
          <w:p>
            <w:pPr>
              <w:spacing w:after="0"/>
              <w:rPr>
                <w:sz w:val="4"/>
                <w:szCs w:val="4"/>
                <w:color w:val="auto"/>
              </w:rPr>
            </w:pPr>
          </w:p>
        </w:tc>
        <w:tc>
          <w:tcPr>
            <w:tcW w:w="200" w:type="dxa"/>
            <w:vAlign w:val="bottom"/>
            <w:shd w:val="clear" w:color="auto" w:fill="0BC11C"/>
          </w:tcPr>
          <w:p>
            <w:pPr>
              <w:spacing w:after="0"/>
              <w:rPr>
                <w:sz w:val="4"/>
                <w:szCs w:val="4"/>
                <w:color w:val="auto"/>
              </w:rPr>
            </w:pPr>
          </w:p>
        </w:tc>
        <w:tc>
          <w:tcPr>
            <w:tcW w:w="620" w:type="dxa"/>
            <w:vAlign w:val="bottom"/>
            <w:shd w:val="clear" w:color="auto" w:fill="0BC11C"/>
          </w:tcPr>
          <w:p>
            <w:pPr>
              <w:spacing w:after="0"/>
              <w:rPr>
                <w:sz w:val="4"/>
                <w:szCs w:val="4"/>
                <w:color w:val="auto"/>
              </w:rPr>
            </w:pPr>
          </w:p>
        </w:tc>
        <w:tc>
          <w:tcPr>
            <w:tcW w:w="700" w:type="dxa"/>
            <w:vAlign w:val="bottom"/>
            <w:shd w:val="clear" w:color="auto" w:fill="0BC11C"/>
          </w:tcPr>
          <w:p>
            <w:pPr>
              <w:spacing w:after="0"/>
              <w:rPr>
                <w:sz w:val="4"/>
                <w:szCs w:val="4"/>
                <w:color w:val="auto"/>
              </w:rPr>
            </w:pPr>
          </w:p>
        </w:tc>
        <w:tc>
          <w:tcPr>
            <w:tcW w:w="760" w:type="dxa"/>
            <w:vAlign w:val="bottom"/>
            <w:shd w:val="clear" w:color="auto" w:fill="0BC11C"/>
          </w:tcPr>
          <w:p>
            <w:pPr>
              <w:spacing w:after="0"/>
              <w:rPr>
                <w:sz w:val="4"/>
                <w:szCs w:val="4"/>
                <w:color w:val="auto"/>
              </w:rPr>
            </w:pPr>
          </w:p>
        </w:tc>
        <w:tc>
          <w:tcPr>
            <w:tcW w:w="160" w:type="dxa"/>
            <w:vAlign w:val="bottom"/>
            <w:shd w:val="clear" w:color="auto" w:fill="0BC11C"/>
          </w:tcPr>
          <w:p>
            <w:pPr>
              <w:spacing w:after="0"/>
              <w:rPr>
                <w:sz w:val="4"/>
                <w:szCs w:val="4"/>
                <w:color w:val="auto"/>
              </w:rPr>
            </w:pPr>
          </w:p>
        </w:tc>
        <w:tc>
          <w:tcPr>
            <w:tcW w:w="640" w:type="dxa"/>
            <w:vAlign w:val="bottom"/>
            <w:shd w:val="clear" w:color="auto" w:fill="0BC11C"/>
          </w:tcPr>
          <w:p>
            <w:pPr>
              <w:spacing w:after="0"/>
              <w:rPr>
                <w:sz w:val="4"/>
                <w:szCs w:val="4"/>
                <w:color w:val="auto"/>
              </w:rPr>
            </w:pPr>
          </w:p>
        </w:tc>
        <w:tc>
          <w:tcPr>
            <w:tcW w:w="720" w:type="dxa"/>
            <w:vAlign w:val="bottom"/>
            <w:shd w:val="clear" w:color="auto" w:fill="0BC11C"/>
          </w:tcPr>
          <w:p>
            <w:pPr>
              <w:spacing w:after="0"/>
              <w:rPr>
                <w:sz w:val="4"/>
                <w:szCs w:val="4"/>
                <w:color w:val="auto"/>
              </w:rPr>
            </w:pPr>
          </w:p>
        </w:tc>
        <w:tc>
          <w:tcPr>
            <w:tcW w:w="760" w:type="dxa"/>
            <w:vAlign w:val="bottom"/>
            <w:shd w:val="clear" w:color="auto" w:fill="0BC11C"/>
          </w:tcPr>
          <w:p>
            <w:pPr>
              <w:spacing w:after="0"/>
              <w:rPr>
                <w:sz w:val="4"/>
                <w:szCs w:val="4"/>
                <w:color w:val="auto"/>
              </w:rPr>
            </w:pPr>
          </w:p>
        </w:tc>
        <w:tc>
          <w:tcPr>
            <w:tcW w:w="700" w:type="dxa"/>
            <w:vAlign w:val="bottom"/>
            <w:vMerge w:val="continue"/>
            <w:shd w:val="clear" w:color="auto" w:fill="0BC11C"/>
          </w:tcPr>
          <w:p>
            <w:pPr>
              <w:spacing w:after="0"/>
              <w:rPr>
                <w:sz w:val="4"/>
                <w:szCs w:val="4"/>
                <w:color w:val="auto"/>
              </w:rPr>
            </w:pPr>
          </w:p>
        </w:tc>
        <w:tc>
          <w:tcPr>
            <w:tcW w:w="700" w:type="dxa"/>
            <w:vAlign w:val="bottom"/>
            <w:shd w:val="clear" w:color="auto" w:fill="0BC11C"/>
          </w:tcPr>
          <w:p>
            <w:pPr>
              <w:spacing w:after="0"/>
              <w:rPr>
                <w:sz w:val="4"/>
                <w:szCs w:val="4"/>
                <w:color w:val="auto"/>
              </w:rPr>
            </w:pPr>
          </w:p>
        </w:tc>
        <w:tc>
          <w:tcPr>
            <w:tcW w:w="100" w:type="dxa"/>
            <w:vAlign w:val="bottom"/>
            <w:shd w:val="clear" w:color="auto" w:fill="0BC11C"/>
          </w:tcPr>
          <w:p>
            <w:pPr>
              <w:spacing w:after="0"/>
              <w:rPr>
                <w:sz w:val="4"/>
                <w:szCs w:val="4"/>
                <w:color w:val="auto"/>
              </w:rPr>
            </w:pPr>
          </w:p>
        </w:tc>
        <w:tc>
          <w:tcPr>
            <w:tcW w:w="1080" w:type="dxa"/>
            <w:vAlign w:val="bottom"/>
            <w:gridSpan w:val="3"/>
            <w:vMerge w:val="restart"/>
            <w:shd w:val="clear" w:color="auto" w:fill="0BC11C"/>
          </w:tcPr>
          <w:p>
            <w:pPr>
              <w:jc w:val="center"/>
              <w:spacing w:after="0"/>
              <w:rPr>
                <w:sz w:val="20"/>
                <w:szCs w:val="20"/>
                <w:color w:val="auto"/>
              </w:rPr>
            </w:pPr>
            <w:r>
              <w:rPr>
                <w:rFonts w:ascii="Arial" w:cs="Arial" w:eastAsia="Arial" w:hAnsi="Arial"/>
                <w:sz w:val="11"/>
                <w:szCs w:val="11"/>
                <w:b w:val="1"/>
                <w:bCs w:val="1"/>
                <w:color w:val="FFFFFF"/>
                <w:w w:val="98"/>
              </w:rPr>
              <w:t>BASED ON:</w:t>
            </w:r>
            <w:r>
              <w:rPr>
                <w:rFonts w:ascii="Arial" w:cs="Arial" w:eastAsia="Arial" w:hAnsi="Arial"/>
                <w:sz w:val="6"/>
                <w:szCs w:val="6"/>
                <w:b w:val="1"/>
                <w:bCs w:val="1"/>
                <w:color w:val="FFFFFF"/>
                <w:w w:val="98"/>
              </w:rPr>
              <w:t>(4)</w:t>
            </w:r>
          </w:p>
        </w:tc>
        <w:tc>
          <w:tcPr>
            <w:tcW w:w="60" w:type="dxa"/>
            <w:vAlign w:val="bottom"/>
            <w:shd w:val="clear" w:color="auto" w:fill="0BC11C"/>
          </w:tcPr>
          <w:p>
            <w:pPr>
              <w:spacing w:after="0"/>
              <w:rPr>
                <w:sz w:val="4"/>
                <w:szCs w:val="4"/>
                <w:color w:val="auto"/>
              </w:rPr>
            </w:pPr>
          </w:p>
        </w:tc>
        <w:tc>
          <w:tcPr>
            <w:tcW w:w="440" w:type="dxa"/>
            <w:vAlign w:val="bottom"/>
            <w:shd w:val="clear" w:color="auto" w:fill="0BC11C"/>
          </w:tcPr>
          <w:p>
            <w:pPr>
              <w:spacing w:after="0"/>
              <w:rPr>
                <w:sz w:val="4"/>
                <w:szCs w:val="4"/>
                <w:color w:val="auto"/>
              </w:rPr>
            </w:pPr>
          </w:p>
        </w:tc>
        <w:tc>
          <w:tcPr>
            <w:tcW w:w="300" w:type="dxa"/>
            <w:vAlign w:val="bottom"/>
            <w:shd w:val="clear" w:color="auto" w:fill="0BC11C"/>
          </w:tcPr>
          <w:p>
            <w:pPr>
              <w:spacing w:after="0"/>
              <w:rPr>
                <w:sz w:val="4"/>
                <w:szCs w:val="4"/>
                <w:color w:val="auto"/>
              </w:rPr>
            </w:pPr>
          </w:p>
        </w:tc>
        <w:tc>
          <w:tcPr>
            <w:tcW w:w="780" w:type="dxa"/>
            <w:vAlign w:val="bottom"/>
            <w:shd w:val="clear" w:color="auto" w:fill="0BC11C"/>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300" w:type="dxa"/>
            <w:vAlign w:val="bottom"/>
            <w:shd w:val="clear" w:color="auto" w:fill="0BC11C"/>
          </w:tcPr>
          <w:p>
            <w:pPr>
              <w:spacing w:after="0"/>
              <w:rPr>
                <w:sz w:val="8"/>
                <w:szCs w:val="8"/>
                <w:color w:val="auto"/>
              </w:rPr>
            </w:pPr>
          </w:p>
        </w:tc>
        <w:tc>
          <w:tcPr>
            <w:tcW w:w="200" w:type="dxa"/>
            <w:vAlign w:val="bottom"/>
            <w:shd w:val="clear" w:color="auto" w:fill="0BC11C"/>
          </w:tcPr>
          <w:p>
            <w:pPr>
              <w:spacing w:after="0"/>
              <w:rPr>
                <w:sz w:val="8"/>
                <w:szCs w:val="8"/>
                <w:color w:val="auto"/>
              </w:rPr>
            </w:pPr>
          </w:p>
        </w:tc>
        <w:tc>
          <w:tcPr>
            <w:tcW w:w="620" w:type="dxa"/>
            <w:vAlign w:val="bottom"/>
            <w:vMerge w:val="restart"/>
            <w:shd w:val="clear" w:color="auto" w:fill="0BC11C"/>
          </w:tcPr>
          <w:p>
            <w:pPr>
              <w:jc w:val="center"/>
              <w:ind w:right="106"/>
              <w:spacing w:after="0" w:line="122" w:lineRule="exact"/>
              <w:rPr>
                <w:sz w:val="20"/>
                <w:szCs w:val="20"/>
                <w:color w:val="auto"/>
              </w:rPr>
            </w:pPr>
            <w:r>
              <w:rPr>
                <w:rFonts w:ascii="Arial" w:cs="Arial" w:eastAsia="Arial" w:hAnsi="Arial"/>
                <w:sz w:val="11"/>
                <w:szCs w:val="11"/>
                <w:b w:val="1"/>
                <w:bCs w:val="1"/>
                <w:color w:val="FFFFFF"/>
                <w:w w:val="99"/>
              </w:rPr>
              <w:t>SCT</w:t>
            </w:r>
          </w:p>
        </w:tc>
        <w:tc>
          <w:tcPr>
            <w:tcW w:w="700" w:type="dxa"/>
            <w:vAlign w:val="bottom"/>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0"/>
              </w:rPr>
              <w:t>SCT</w:t>
            </w:r>
          </w:p>
        </w:tc>
        <w:tc>
          <w:tcPr>
            <w:tcW w:w="760" w:type="dxa"/>
            <w:vAlign w:val="bottom"/>
            <w:shd w:val="clear" w:color="auto" w:fill="0BC11C"/>
          </w:tcPr>
          <w:p>
            <w:pPr>
              <w:spacing w:after="0"/>
              <w:rPr>
                <w:sz w:val="8"/>
                <w:szCs w:val="8"/>
                <w:color w:val="auto"/>
              </w:rPr>
            </w:pPr>
          </w:p>
        </w:tc>
        <w:tc>
          <w:tcPr>
            <w:tcW w:w="160" w:type="dxa"/>
            <w:vAlign w:val="bottom"/>
            <w:shd w:val="clear" w:color="auto" w:fill="0BC11C"/>
          </w:tcPr>
          <w:p>
            <w:pPr>
              <w:spacing w:after="0"/>
              <w:rPr>
                <w:sz w:val="8"/>
                <w:szCs w:val="8"/>
                <w:color w:val="auto"/>
              </w:rPr>
            </w:pPr>
          </w:p>
        </w:tc>
        <w:tc>
          <w:tcPr>
            <w:tcW w:w="640" w:type="dxa"/>
            <w:vAlign w:val="bottom"/>
            <w:shd w:val="clear" w:color="auto" w:fill="0BC11C"/>
          </w:tcPr>
          <w:p>
            <w:pPr>
              <w:spacing w:after="0"/>
              <w:rPr>
                <w:sz w:val="8"/>
                <w:szCs w:val="8"/>
                <w:color w:val="auto"/>
              </w:rPr>
            </w:pPr>
          </w:p>
        </w:tc>
        <w:tc>
          <w:tcPr>
            <w:tcW w:w="720" w:type="dxa"/>
            <w:vAlign w:val="bottom"/>
            <w:shd w:val="clear" w:color="auto" w:fill="0BC11C"/>
          </w:tcPr>
          <w:p>
            <w:pPr>
              <w:spacing w:after="0"/>
              <w:rPr>
                <w:sz w:val="8"/>
                <w:szCs w:val="8"/>
                <w:color w:val="auto"/>
              </w:rPr>
            </w:pPr>
          </w:p>
        </w:tc>
        <w:tc>
          <w:tcPr>
            <w:tcW w:w="760" w:type="dxa"/>
            <w:vAlign w:val="bottom"/>
            <w:shd w:val="clear" w:color="auto" w:fill="0BC11C"/>
          </w:tcPr>
          <w:p>
            <w:pPr>
              <w:spacing w:after="0"/>
              <w:rPr>
                <w:sz w:val="8"/>
                <w:szCs w:val="8"/>
                <w:color w:val="auto"/>
              </w:rPr>
            </w:pPr>
          </w:p>
        </w:tc>
        <w:tc>
          <w:tcPr>
            <w:tcW w:w="700" w:type="dxa"/>
            <w:vAlign w:val="bottom"/>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2"/>
              </w:rPr>
              <w:t>TOTAL</w:t>
            </w:r>
          </w:p>
        </w:tc>
        <w:tc>
          <w:tcPr>
            <w:tcW w:w="700" w:type="dxa"/>
            <w:vAlign w:val="bottom"/>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AVERAGE</w:t>
            </w:r>
          </w:p>
        </w:tc>
        <w:tc>
          <w:tcPr>
            <w:tcW w:w="100" w:type="dxa"/>
            <w:vAlign w:val="bottom"/>
            <w:shd w:val="clear" w:color="auto" w:fill="0BC11C"/>
          </w:tcPr>
          <w:p>
            <w:pPr>
              <w:spacing w:after="0"/>
              <w:rPr>
                <w:sz w:val="8"/>
                <w:szCs w:val="8"/>
                <w:color w:val="auto"/>
              </w:rPr>
            </w:pPr>
          </w:p>
        </w:tc>
        <w:tc>
          <w:tcPr>
            <w:tcW w:w="1080" w:type="dxa"/>
            <w:vAlign w:val="bottom"/>
            <w:gridSpan w:val="3"/>
            <w:vMerge w:val="continue"/>
            <w:shd w:val="clear" w:color="auto" w:fill="0BC11C"/>
          </w:tcPr>
          <w:p>
            <w:pPr>
              <w:spacing w:after="0"/>
              <w:rPr>
                <w:sz w:val="8"/>
                <w:szCs w:val="8"/>
                <w:color w:val="auto"/>
              </w:rPr>
            </w:pPr>
          </w:p>
        </w:tc>
        <w:tc>
          <w:tcPr>
            <w:tcW w:w="60" w:type="dxa"/>
            <w:vAlign w:val="bottom"/>
            <w:shd w:val="clear" w:color="auto" w:fill="0BC11C"/>
          </w:tcPr>
          <w:p>
            <w:pPr>
              <w:spacing w:after="0"/>
              <w:rPr>
                <w:sz w:val="8"/>
                <w:szCs w:val="8"/>
                <w:color w:val="auto"/>
              </w:rPr>
            </w:pPr>
          </w:p>
        </w:tc>
        <w:tc>
          <w:tcPr>
            <w:tcW w:w="740" w:type="dxa"/>
            <w:vAlign w:val="bottom"/>
            <w:gridSpan w:val="2"/>
            <w:vMerge w:val="restart"/>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NET</w:t>
            </w:r>
          </w:p>
        </w:tc>
        <w:tc>
          <w:tcPr>
            <w:tcW w:w="780" w:type="dxa"/>
            <w:vAlign w:val="bottom"/>
            <w:shd w:val="clear" w:color="auto" w:fill="0BC11C"/>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300" w:type="dxa"/>
            <w:vAlign w:val="bottom"/>
            <w:shd w:val="clear" w:color="auto" w:fill="0BC11C"/>
          </w:tcPr>
          <w:p>
            <w:pPr>
              <w:spacing w:after="0"/>
              <w:rPr>
                <w:sz w:val="2"/>
                <w:szCs w:val="2"/>
                <w:color w:val="auto"/>
              </w:rPr>
            </w:pPr>
          </w:p>
        </w:tc>
        <w:tc>
          <w:tcPr>
            <w:tcW w:w="200" w:type="dxa"/>
            <w:vAlign w:val="bottom"/>
            <w:shd w:val="clear" w:color="auto" w:fill="0BC11C"/>
          </w:tcPr>
          <w:p>
            <w:pPr>
              <w:spacing w:after="0"/>
              <w:rPr>
                <w:sz w:val="2"/>
                <w:szCs w:val="2"/>
                <w:color w:val="auto"/>
              </w:rPr>
            </w:pPr>
          </w:p>
        </w:tc>
        <w:tc>
          <w:tcPr>
            <w:tcW w:w="620" w:type="dxa"/>
            <w:vAlign w:val="bottom"/>
            <w:vMerge w:val="continue"/>
            <w:shd w:val="clear" w:color="auto" w:fill="0BC11C"/>
          </w:tcPr>
          <w:p>
            <w:pPr>
              <w:spacing w:after="0"/>
              <w:rPr>
                <w:sz w:val="2"/>
                <w:szCs w:val="2"/>
                <w:color w:val="auto"/>
              </w:rPr>
            </w:pPr>
          </w:p>
        </w:tc>
        <w:tc>
          <w:tcPr>
            <w:tcW w:w="700" w:type="dxa"/>
            <w:vAlign w:val="bottom"/>
            <w:vMerge w:val="continue"/>
            <w:shd w:val="clear" w:color="auto" w:fill="0BC11C"/>
          </w:tcPr>
          <w:p>
            <w:pPr>
              <w:spacing w:after="0"/>
              <w:rPr>
                <w:sz w:val="2"/>
                <w:szCs w:val="2"/>
                <w:color w:val="auto"/>
              </w:rPr>
            </w:pPr>
          </w:p>
        </w:tc>
        <w:tc>
          <w:tcPr>
            <w:tcW w:w="760" w:type="dxa"/>
            <w:vAlign w:val="bottom"/>
            <w:shd w:val="clear" w:color="auto" w:fill="0BC11C"/>
          </w:tcPr>
          <w:p>
            <w:pPr>
              <w:spacing w:after="0"/>
              <w:rPr>
                <w:sz w:val="2"/>
                <w:szCs w:val="2"/>
                <w:color w:val="auto"/>
              </w:rPr>
            </w:pPr>
          </w:p>
        </w:tc>
        <w:tc>
          <w:tcPr>
            <w:tcW w:w="160" w:type="dxa"/>
            <w:vAlign w:val="bottom"/>
            <w:shd w:val="clear" w:color="auto" w:fill="0BC11C"/>
          </w:tcPr>
          <w:p>
            <w:pPr>
              <w:spacing w:after="0"/>
              <w:rPr>
                <w:sz w:val="2"/>
                <w:szCs w:val="2"/>
                <w:color w:val="auto"/>
              </w:rPr>
            </w:pPr>
          </w:p>
        </w:tc>
        <w:tc>
          <w:tcPr>
            <w:tcW w:w="640" w:type="dxa"/>
            <w:vAlign w:val="bottom"/>
            <w:shd w:val="clear" w:color="auto" w:fill="0BC11C"/>
          </w:tcPr>
          <w:p>
            <w:pPr>
              <w:spacing w:after="0"/>
              <w:rPr>
                <w:sz w:val="2"/>
                <w:szCs w:val="2"/>
                <w:color w:val="auto"/>
              </w:rPr>
            </w:pPr>
          </w:p>
        </w:tc>
        <w:tc>
          <w:tcPr>
            <w:tcW w:w="720" w:type="dxa"/>
            <w:vAlign w:val="bottom"/>
            <w:shd w:val="clear" w:color="auto" w:fill="0BC11C"/>
          </w:tcPr>
          <w:p>
            <w:pPr>
              <w:spacing w:after="0"/>
              <w:rPr>
                <w:sz w:val="2"/>
                <w:szCs w:val="2"/>
                <w:color w:val="auto"/>
              </w:rPr>
            </w:pPr>
          </w:p>
        </w:tc>
        <w:tc>
          <w:tcPr>
            <w:tcW w:w="760" w:type="dxa"/>
            <w:vAlign w:val="bottom"/>
            <w:shd w:val="clear" w:color="auto" w:fill="0BC11C"/>
          </w:tcPr>
          <w:p>
            <w:pPr>
              <w:spacing w:after="0"/>
              <w:rPr>
                <w:sz w:val="2"/>
                <w:szCs w:val="2"/>
                <w:color w:val="auto"/>
              </w:rPr>
            </w:pPr>
          </w:p>
        </w:tc>
        <w:tc>
          <w:tcPr>
            <w:tcW w:w="700" w:type="dxa"/>
            <w:vAlign w:val="bottom"/>
            <w:vMerge w:val="continue"/>
            <w:shd w:val="clear" w:color="auto" w:fill="0BC11C"/>
          </w:tcPr>
          <w:p>
            <w:pPr>
              <w:spacing w:after="0"/>
              <w:rPr>
                <w:sz w:val="2"/>
                <w:szCs w:val="2"/>
                <w:color w:val="auto"/>
              </w:rPr>
            </w:pPr>
          </w:p>
        </w:tc>
        <w:tc>
          <w:tcPr>
            <w:tcW w:w="700" w:type="dxa"/>
            <w:vAlign w:val="bottom"/>
            <w:vMerge w:val="continue"/>
            <w:shd w:val="clear" w:color="auto" w:fill="0BC11C"/>
          </w:tcPr>
          <w:p>
            <w:pPr>
              <w:spacing w:after="0"/>
              <w:rPr>
                <w:sz w:val="2"/>
                <w:szCs w:val="2"/>
                <w:color w:val="auto"/>
              </w:rPr>
            </w:pPr>
          </w:p>
        </w:tc>
        <w:tc>
          <w:tcPr>
            <w:tcW w:w="100" w:type="dxa"/>
            <w:vAlign w:val="bottom"/>
            <w:shd w:val="clear" w:color="auto" w:fill="0BC11C"/>
          </w:tcPr>
          <w:p>
            <w:pPr>
              <w:spacing w:after="0"/>
              <w:rPr>
                <w:sz w:val="2"/>
                <w:szCs w:val="2"/>
                <w:color w:val="auto"/>
              </w:rPr>
            </w:pPr>
          </w:p>
        </w:tc>
        <w:tc>
          <w:tcPr>
            <w:tcW w:w="200" w:type="dxa"/>
            <w:vAlign w:val="bottom"/>
            <w:shd w:val="clear" w:color="auto" w:fill="0BC11C"/>
          </w:tcPr>
          <w:p>
            <w:pPr>
              <w:spacing w:after="0"/>
              <w:rPr>
                <w:sz w:val="2"/>
                <w:szCs w:val="2"/>
                <w:color w:val="auto"/>
              </w:rPr>
            </w:pPr>
          </w:p>
        </w:tc>
        <w:tc>
          <w:tcPr>
            <w:tcW w:w="400" w:type="dxa"/>
            <w:vAlign w:val="bottom"/>
            <w:shd w:val="clear" w:color="auto" w:fill="0BC11C"/>
          </w:tcPr>
          <w:p>
            <w:pPr>
              <w:spacing w:after="0"/>
              <w:rPr>
                <w:sz w:val="2"/>
                <w:szCs w:val="2"/>
                <w:color w:val="auto"/>
              </w:rPr>
            </w:pPr>
          </w:p>
        </w:tc>
        <w:tc>
          <w:tcPr>
            <w:tcW w:w="480" w:type="dxa"/>
            <w:vAlign w:val="bottom"/>
            <w:shd w:val="clear" w:color="auto" w:fill="0BC11C"/>
          </w:tcPr>
          <w:p>
            <w:pPr>
              <w:spacing w:after="0"/>
              <w:rPr>
                <w:sz w:val="2"/>
                <w:szCs w:val="2"/>
                <w:color w:val="auto"/>
              </w:rPr>
            </w:pPr>
          </w:p>
        </w:tc>
        <w:tc>
          <w:tcPr>
            <w:tcW w:w="60" w:type="dxa"/>
            <w:vAlign w:val="bottom"/>
            <w:shd w:val="clear" w:color="auto" w:fill="0BC11C"/>
          </w:tcPr>
          <w:p>
            <w:pPr>
              <w:spacing w:after="0"/>
              <w:rPr>
                <w:sz w:val="2"/>
                <w:szCs w:val="2"/>
                <w:color w:val="auto"/>
              </w:rPr>
            </w:pPr>
          </w:p>
        </w:tc>
        <w:tc>
          <w:tcPr>
            <w:tcW w:w="740" w:type="dxa"/>
            <w:vAlign w:val="bottom"/>
            <w:gridSpan w:val="2"/>
            <w:vMerge w:val="continue"/>
            <w:shd w:val="clear" w:color="auto" w:fill="0BC11C"/>
          </w:tcPr>
          <w:p>
            <w:pPr>
              <w:spacing w:after="0"/>
              <w:rPr>
                <w:sz w:val="2"/>
                <w:szCs w:val="2"/>
                <w:color w:val="auto"/>
              </w:rPr>
            </w:pPr>
          </w:p>
        </w:tc>
        <w:tc>
          <w:tcPr>
            <w:tcW w:w="780" w:type="dxa"/>
            <w:vAlign w:val="bottom"/>
            <w:vMerge w:val="restart"/>
            <w:shd w:val="clear" w:color="auto" w:fill="0BC11C"/>
          </w:tcPr>
          <w:p>
            <w:pPr>
              <w:jc w:val="center"/>
              <w:spacing w:after="0"/>
              <w:rPr>
                <w:sz w:val="20"/>
                <w:szCs w:val="20"/>
                <w:color w:val="auto"/>
              </w:rPr>
            </w:pPr>
            <w:r>
              <w:rPr>
                <w:rFonts w:ascii="Arial" w:cs="Arial" w:eastAsia="Arial" w:hAnsi="Arial"/>
                <w:sz w:val="11"/>
                <w:szCs w:val="11"/>
                <w:b w:val="1"/>
                <w:bCs w:val="1"/>
                <w:color w:val="FFFFFF"/>
              </w:rPr>
              <w:t xml:space="preserve">ADJUSTED   </w:t>
            </w:r>
          </w:p>
        </w:tc>
        <w:tc>
          <w:tcPr>
            <w:tcW w:w="0" w:type="dxa"/>
            <w:vAlign w:val="bottom"/>
          </w:tcPr>
          <w:p>
            <w:pPr>
              <w:spacing w:after="0" w:line="20" w:lineRule="exact"/>
              <w:rPr>
                <w:sz w:val="1"/>
                <w:szCs w:val="1"/>
                <w:color w:val="auto"/>
              </w:rPr>
            </w:pPr>
          </w:p>
        </w:tc>
      </w:tr>
      <w:tr>
        <w:trPr>
          <w:trHeight w:val="108"/>
        </w:trPr>
        <w:tc>
          <w:tcPr>
            <w:tcW w:w="2300" w:type="dxa"/>
            <w:vAlign w:val="bottom"/>
            <w:shd w:val="clear" w:color="auto" w:fill="0BC11C"/>
          </w:tcPr>
          <w:p>
            <w:pPr>
              <w:spacing w:after="0"/>
              <w:rPr>
                <w:sz w:val="9"/>
                <w:szCs w:val="9"/>
                <w:color w:val="auto"/>
              </w:rPr>
            </w:pPr>
          </w:p>
        </w:tc>
        <w:tc>
          <w:tcPr>
            <w:tcW w:w="200" w:type="dxa"/>
            <w:vAlign w:val="bottom"/>
            <w:shd w:val="clear" w:color="auto" w:fill="0BC11C"/>
          </w:tcPr>
          <w:p>
            <w:pPr>
              <w:spacing w:after="0"/>
              <w:rPr>
                <w:sz w:val="9"/>
                <w:szCs w:val="9"/>
                <w:color w:val="auto"/>
              </w:rPr>
            </w:pPr>
          </w:p>
        </w:tc>
        <w:tc>
          <w:tcPr>
            <w:tcW w:w="620" w:type="dxa"/>
            <w:vAlign w:val="bottom"/>
            <w:shd w:val="clear" w:color="auto" w:fill="0BC11C"/>
          </w:tcPr>
          <w:p>
            <w:pPr>
              <w:jc w:val="center"/>
              <w:ind w:right="106"/>
              <w:spacing w:after="0" w:line="108" w:lineRule="exact"/>
              <w:rPr>
                <w:sz w:val="20"/>
                <w:szCs w:val="20"/>
                <w:color w:val="auto"/>
              </w:rPr>
            </w:pPr>
            <w:r>
              <w:rPr>
                <w:rFonts w:ascii="Arial" w:cs="Arial" w:eastAsia="Arial" w:hAnsi="Arial"/>
                <w:sz w:val="11"/>
                <w:szCs w:val="11"/>
                <w:b w:val="1"/>
                <w:bCs w:val="1"/>
                <w:color w:val="FFFFFF"/>
                <w:w w:val="92"/>
              </w:rPr>
              <w:t>TOTAL</w:t>
            </w:r>
          </w:p>
        </w:tc>
        <w:tc>
          <w:tcPr>
            <w:tcW w:w="700" w:type="dxa"/>
            <w:vAlign w:val="bottom"/>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w w:val="98"/>
              </w:rPr>
              <w:t>TOTAL</w:t>
            </w:r>
          </w:p>
        </w:tc>
        <w:tc>
          <w:tcPr>
            <w:tcW w:w="760" w:type="dxa"/>
            <w:vAlign w:val="bottom"/>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w w:val="97"/>
              </w:rPr>
              <w:t>SCT TOTAL</w:t>
            </w:r>
          </w:p>
        </w:tc>
        <w:tc>
          <w:tcPr>
            <w:tcW w:w="160" w:type="dxa"/>
            <w:vAlign w:val="bottom"/>
            <w:shd w:val="clear" w:color="auto" w:fill="0BC11C"/>
          </w:tcPr>
          <w:p>
            <w:pPr>
              <w:spacing w:after="0"/>
              <w:rPr>
                <w:sz w:val="9"/>
                <w:szCs w:val="9"/>
                <w:color w:val="auto"/>
              </w:rPr>
            </w:pPr>
          </w:p>
        </w:tc>
        <w:tc>
          <w:tcPr>
            <w:tcW w:w="640" w:type="dxa"/>
            <w:vAlign w:val="bottom"/>
            <w:shd w:val="clear" w:color="auto" w:fill="0BC11C"/>
          </w:tcPr>
          <w:p>
            <w:pPr>
              <w:spacing w:after="0"/>
              <w:rPr>
                <w:sz w:val="9"/>
                <w:szCs w:val="9"/>
                <w:color w:val="auto"/>
              </w:rPr>
            </w:pPr>
          </w:p>
        </w:tc>
        <w:tc>
          <w:tcPr>
            <w:tcW w:w="720" w:type="dxa"/>
            <w:vAlign w:val="bottom"/>
            <w:shd w:val="clear" w:color="auto" w:fill="0BC11C"/>
          </w:tcPr>
          <w:p>
            <w:pPr>
              <w:jc w:val="right"/>
              <w:ind w:right="106"/>
              <w:spacing w:after="0" w:line="108" w:lineRule="exact"/>
              <w:rPr>
                <w:sz w:val="20"/>
                <w:szCs w:val="20"/>
                <w:color w:val="auto"/>
              </w:rPr>
            </w:pPr>
            <w:r>
              <w:rPr>
                <w:rFonts w:ascii="Arial" w:cs="Arial" w:eastAsia="Arial" w:hAnsi="Arial"/>
                <w:sz w:val="11"/>
                <w:szCs w:val="11"/>
                <w:b w:val="1"/>
                <w:bCs w:val="1"/>
                <w:color w:val="FFFFFF"/>
              </w:rPr>
              <w:t>CAP TO</w:t>
            </w:r>
          </w:p>
        </w:tc>
        <w:tc>
          <w:tcPr>
            <w:tcW w:w="760" w:type="dxa"/>
            <w:vAlign w:val="bottom"/>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rPr>
              <w:t>CAP TO</w:t>
            </w:r>
          </w:p>
        </w:tc>
        <w:tc>
          <w:tcPr>
            <w:tcW w:w="700" w:type="dxa"/>
            <w:vAlign w:val="bottom"/>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w w:val="94"/>
              </w:rPr>
              <w:t>FOR</w:t>
            </w:r>
          </w:p>
        </w:tc>
        <w:tc>
          <w:tcPr>
            <w:tcW w:w="700" w:type="dxa"/>
            <w:vAlign w:val="bottom"/>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w w:val="96"/>
              </w:rPr>
              <w:t>CAP TO</w:t>
            </w:r>
          </w:p>
        </w:tc>
        <w:tc>
          <w:tcPr>
            <w:tcW w:w="100" w:type="dxa"/>
            <w:vAlign w:val="bottom"/>
            <w:shd w:val="clear" w:color="auto" w:fill="0BC11C"/>
          </w:tcPr>
          <w:p>
            <w:pPr>
              <w:spacing w:after="0"/>
              <w:rPr>
                <w:sz w:val="9"/>
                <w:szCs w:val="9"/>
                <w:color w:val="auto"/>
              </w:rPr>
            </w:pPr>
          </w:p>
        </w:tc>
        <w:tc>
          <w:tcPr>
            <w:tcW w:w="200" w:type="dxa"/>
            <w:vAlign w:val="bottom"/>
            <w:shd w:val="clear" w:color="auto" w:fill="0BC11C"/>
          </w:tcPr>
          <w:p>
            <w:pPr>
              <w:spacing w:after="0"/>
              <w:rPr>
                <w:sz w:val="9"/>
                <w:szCs w:val="9"/>
                <w:color w:val="auto"/>
              </w:rPr>
            </w:pPr>
          </w:p>
        </w:tc>
        <w:tc>
          <w:tcPr>
            <w:tcW w:w="400" w:type="dxa"/>
            <w:vAlign w:val="bottom"/>
            <w:shd w:val="clear" w:color="auto" w:fill="0BC11C"/>
          </w:tcPr>
          <w:p>
            <w:pPr>
              <w:spacing w:after="0"/>
              <w:rPr>
                <w:sz w:val="9"/>
                <w:szCs w:val="9"/>
                <w:color w:val="auto"/>
              </w:rPr>
            </w:pPr>
          </w:p>
        </w:tc>
        <w:tc>
          <w:tcPr>
            <w:tcW w:w="480" w:type="dxa"/>
            <w:vAlign w:val="bottom"/>
            <w:shd w:val="clear" w:color="auto" w:fill="0BC11C"/>
          </w:tcPr>
          <w:p>
            <w:pPr>
              <w:ind w:left="120"/>
              <w:spacing w:after="0" w:line="108" w:lineRule="exact"/>
              <w:rPr>
                <w:sz w:val="20"/>
                <w:szCs w:val="20"/>
                <w:color w:val="auto"/>
              </w:rPr>
            </w:pPr>
            <w:r>
              <w:rPr>
                <w:rFonts w:ascii="Arial" w:cs="Arial" w:eastAsia="Arial" w:hAnsi="Arial"/>
                <w:sz w:val="11"/>
                <w:szCs w:val="11"/>
                <w:b w:val="1"/>
                <w:bCs w:val="1"/>
                <w:color w:val="FFFFFF"/>
              </w:rPr>
              <w:t>PEER</w:t>
            </w:r>
          </w:p>
        </w:tc>
        <w:tc>
          <w:tcPr>
            <w:tcW w:w="60" w:type="dxa"/>
            <w:vAlign w:val="bottom"/>
            <w:shd w:val="clear" w:color="auto" w:fill="0BC11C"/>
          </w:tcPr>
          <w:p>
            <w:pPr>
              <w:spacing w:after="0"/>
              <w:rPr>
                <w:sz w:val="9"/>
                <w:szCs w:val="9"/>
                <w:color w:val="auto"/>
              </w:rPr>
            </w:pPr>
          </w:p>
        </w:tc>
        <w:tc>
          <w:tcPr>
            <w:tcW w:w="740" w:type="dxa"/>
            <w:vAlign w:val="bottom"/>
            <w:gridSpan w:val="2"/>
            <w:shd w:val="clear" w:color="auto" w:fill="0BC11C"/>
          </w:tcPr>
          <w:p>
            <w:pPr>
              <w:jc w:val="center"/>
              <w:spacing w:after="0" w:line="108" w:lineRule="exact"/>
              <w:rPr>
                <w:sz w:val="20"/>
                <w:szCs w:val="20"/>
                <w:color w:val="auto"/>
              </w:rPr>
            </w:pPr>
            <w:r>
              <w:rPr>
                <w:rFonts w:ascii="Arial" w:cs="Arial" w:eastAsia="Arial" w:hAnsi="Arial"/>
                <w:sz w:val="11"/>
                <w:szCs w:val="11"/>
                <w:b w:val="1"/>
                <w:bCs w:val="1"/>
                <w:color w:val="FFFFFF"/>
                <w:w w:val="99"/>
              </w:rPr>
              <w:t>INCOME</w:t>
            </w:r>
          </w:p>
        </w:tc>
        <w:tc>
          <w:tcPr>
            <w:tcW w:w="780" w:type="dxa"/>
            <w:vAlign w:val="bottom"/>
            <w:vMerge w:val="continue"/>
            <w:shd w:val="clear" w:color="auto" w:fill="0BC11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00" w:type="dxa"/>
            <w:vAlign w:val="bottom"/>
            <w:shd w:val="clear" w:color="auto" w:fill="0BC11C"/>
          </w:tcPr>
          <w:p>
            <w:pPr>
              <w:ind w:left="60"/>
              <w:spacing w:after="0" w:line="122" w:lineRule="exact"/>
              <w:rPr>
                <w:sz w:val="20"/>
                <w:szCs w:val="20"/>
                <w:color w:val="auto"/>
              </w:rPr>
            </w:pPr>
            <w:r>
              <w:rPr>
                <w:rFonts w:ascii="Arial" w:cs="Arial" w:eastAsia="Arial" w:hAnsi="Arial"/>
                <w:sz w:val="11"/>
                <w:szCs w:val="11"/>
                <w:b w:val="1"/>
                <w:bCs w:val="1"/>
                <w:color w:val="FFFFFF"/>
              </w:rPr>
              <w:t>FISCAL</w:t>
            </w:r>
          </w:p>
        </w:tc>
        <w:tc>
          <w:tcPr>
            <w:tcW w:w="200" w:type="dxa"/>
            <w:vAlign w:val="bottom"/>
            <w:shd w:val="clear" w:color="auto" w:fill="0BC11C"/>
          </w:tcPr>
          <w:p>
            <w:pPr>
              <w:spacing w:after="0"/>
              <w:rPr>
                <w:sz w:val="10"/>
                <w:szCs w:val="10"/>
                <w:color w:val="auto"/>
              </w:rPr>
            </w:pPr>
          </w:p>
        </w:tc>
        <w:tc>
          <w:tcPr>
            <w:tcW w:w="620" w:type="dxa"/>
            <w:vAlign w:val="bottom"/>
            <w:shd w:val="clear" w:color="auto" w:fill="0BC11C"/>
          </w:tcPr>
          <w:p>
            <w:pPr>
              <w:jc w:val="center"/>
              <w:ind w:right="106"/>
              <w:spacing w:after="0" w:line="122" w:lineRule="exact"/>
              <w:rPr>
                <w:sz w:val="20"/>
                <w:szCs w:val="20"/>
                <w:color w:val="auto"/>
              </w:rPr>
            </w:pPr>
            <w:r>
              <w:rPr>
                <w:rFonts w:ascii="Arial" w:cs="Arial" w:eastAsia="Arial" w:hAnsi="Arial"/>
                <w:sz w:val="11"/>
                <w:szCs w:val="11"/>
                <w:b w:val="1"/>
                <w:bCs w:val="1"/>
                <w:color w:val="FFFFFF"/>
                <w:w w:val="98"/>
              </w:rPr>
              <w:t>FOR MR.</w:t>
            </w:r>
          </w:p>
        </w:tc>
        <w:tc>
          <w:tcPr>
            <w:tcW w:w="70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4"/>
              </w:rPr>
              <w:t>FOR MR.</w:t>
            </w:r>
          </w:p>
        </w:tc>
        <w:tc>
          <w:tcPr>
            <w:tcW w:w="76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4"/>
              </w:rPr>
              <w:t>FOR MR.</w:t>
            </w:r>
          </w:p>
        </w:tc>
        <w:tc>
          <w:tcPr>
            <w:tcW w:w="800" w:type="dxa"/>
            <w:vAlign w:val="bottom"/>
            <w:gridSpan w:val="2"/>
            <w:shd w:val="clear" w:color="auto" w:fill="0BC11C"/>
          </w:tcPr>
          <w:p>
            <w:pPr>
              <w:ind w:left="80"/>
              <w:spacing w:after="0" w:line="122" w:lineRule="exact"/>
              <w:rPr>
                <w:sz w:val="20"/>
                <w:szCs w:val="20"/>
                <w:color w:val="auto"/>
              </w:rPr>
            </w:pPr>
            <w:r>
              <w:rPr>
                <w:rFonts w:ascii="Arial" w:cs="Arial" w:eastAsia="Arial" w:hAnsi="Arial"/>
                <w:sz w:val="11"/>
                <w:szCs w:val="11"/>
                <w:b w:val="1"/>
                <w:bCs w:val="1"/>
                <w:color w:val="FFFFFF"/>
              </w:rPr>
              <w:t>CAP TO MR.</w:t>
            </w:r>
          </w:p>
        </w:tc>
        <w:tc>
          <w:tcPr>
            <w:tcW w:w="720" w:type="dxa"/>
            <w:vAlign w:val="bottom"/>
            <w:shd w:val="clear" w:color="auto" w:fill="0BC11C"/>
          </w:tcPr>
          <w:p>
            <w:pPr>
              <w:jc w:val="right"/>
              <w:ind w:right="206"/>
              <w:spacing w:after="0" w:line="122" w:lineRule="exact"/>
              <w:rPr>
                <w:sz w:val="20"/>
                <w:szCs w:val="20"/>
                <w:color w:val="auto"/>
              </w:rPr>
            </w:pPr>
            <w:r>
              <w:rPr>
                <w:rFonts w:ascii="Arial" w:cs="Arial" w:eastAsia="Arial" w:hAnsi="Arial"/>
                <w:sz w:val="11"/>
                <w:szCs w:val="11"/>
                <w:b w:val="1"/>
                <w:bCs w:val="1"/>
                <w:color w:val="FFFFFF"/>
              </w:rPr>
              <w:t>MR.</w:t>
            </w:r>
          </w:p>
        </w:tc>
        <w:tc>
          <w:tcPr>
            <w:tcW w:w="76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89"/>
              </w:rPr>
              <w:t>MR.</w:t>
            </w:r>
          </w:p>
        </w:tc>
        <w:tc>
          <w:tcPr>
            <w:tcW w:w="700" w:type="dxa"/>
            <w:vAlign w:val="bottom"/>
            <w:shd w:val="clear" w:color="auto" w:fill="0BC11C"/>
          </w:tcPr>
          <w:p>
            <w:pPr>
              <w:ind w:left="80"/>
              <w:spacing w:after="0" w:line="122" w:lineRule="exact"/>
              <w:rPr>
                <w:sz w:val="20"/>
                <w:szCs w:val="20"/>
                <w:color w:val="auto"/>
              </w:rPr>
            </w:pPr>
            <w:r>
              <w:rPr>
                <w:rFonts w:ascii="Arial" w:cs="Arial" w:eastAsia="Arial" w:hAnsi="Arial"/>
                <w:sz w:val="11"/>
                <w:szCs w:val="11"/>
                <w:b w:val="1"/>
                <w:bCs w:val="1"/>
                <w:color w:val="FFFFFF"/>
              </w:rPr>
              <w:t>NON-PEO</w:t>
            </w:r>
          </w:p>
        </w:tc>
        <w:tc>
          <w:tcPr>
            <w:tcW w:w="70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NON-PEO</w:t>
            </w:r>
          </w:p>
        </w:tc>
        <w:tc>
          <w:tcPr>
            <w:tcW w:w="100" w:type="dxa"/>
            <w:vAlign w:val="bottom"/>
            <w:shd w:val="clear" w:color="auto" w:fill="0BC11C"/>
          </w:tcPr>
          <w:p>
            <w:pPr>
              <w:spacing w:after="0"/>
              <w:rPr>
                <w:sz w:val="10"/>
                <w:szCs w:val="10"/>
                <w:color w:val="auto"/>
              </w:rPr>
            </w:pPr>
          </w:p>
        </w:tc>
        <w:tc>
          <w:tcPr>
            <w:tcW w:w="600" w:type="dxa"/>
            <w:vAlign w:val="bottom"/>
            <w:gridSpan w:val="2"/>
            <w:shd w:val="clear" w:color="auto" w:fill="0BC11C"/>
          </w:tcPr>
          <w:p>
            <w:pPr>
              <w:jc w:val="right"/>
              <w:ind w:right="6"/>
              <w:spacing w:after="0" w:line="122" w:lineRule="exact"/>
              <w:rPr>
                <w:sz w:val="20"/>
                <w:szCs w:val="20"/>
                <w:color w:val="auto"/>
              </w:rPr>
            </w:pPr>
            <w:r>
              <w:rPr>
                <w:rFonts w:ascii="Arial" w:cs="Arial" w:eastAsia="Arial" w:hAnsi="Arial"/>
                <w:sz w:val="11"/>
                <w:szCs w:val="11"/>
                <w:b w:val="1"/>
                <w:bCs w:val="1"/>
                <w:color w:val="FFFFFF"/>
                <w:w w:val="92"/>
              </w:rPr>
              <w:t>COMPANY</w:t>
            </w:r>
          </w:p>
        </w:tc>
        <w:tc>
          <w:tcPr>
            <w:tcW w:w="480" w:type="dxa"/>
            <w:vAlign w:val="bottom"/>
            <w:shd w:val="clear" w:color="auto" w:fill="0BC11C"/>
          </w:tcPr>
          <w:p>
            <w:pPr>
              <w:ind w:left="60"/>
              <w:spacing w:after="0" w:line="122" w:lineRule="exact"/>
              <w:rPr>
                <w:sz w:val="20"/>
                <w:szCs w:val="20"/>
                <w:color w:val="auto"/>
              </w:rPr>
            </w:pPr>
            <w:r>
              <w:rPr>
                <w:rFonts w:ascii="Arial" w:cs="Arial" w:eastAsia="Arial" w:hAnsi="Arial"/>
                <w:sz w:val="11"/>
                <w:szCs w:val="11"/>
                <w:b w:val="1"/>
                <w:bCs w:val="1"/>
                <w:color w:val="FFFFFF"/>
                <w:w w:val="99"/>
              </w:rPr>
              <w:t>GROUP</w:t>
            </w:r>
          </w:p>
        </w:tc>
        <w:tc>
          <w:tcPr>
            <w:tcW w:w="60" w:type="dxa"/>
            <w:vAlign w:val="bottom"/>
            <w:shd w:val="clear" w:color="auto" w:fill="0BC11C"/>
          </w:tcPr>
          <w:p>
            <w:pPr>
              <w:spacing w:after="0"/>
              <w:rPr>
                <w:sz w:val="10"/>
                <w:szCs w:val="10"/>
                <w:color w:val="auto"/>
              </w:rPr>
            </w:pPr>
          </w:p>
        </w:tc>
        <w:tc>
          <w:tcPr>
            <w:tcW w:w="7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(LOSS) ($</w:t>
            </w:r>
          </w:p>
        </w:tc>
        <w:tc>
          <w:tcPr>
            <w:tcW w:w="78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 xml:space="preserve">EBITDA ($   </w:t>
            </w:r>
          </w:p>
        </w:tc>
        <w:tc>
          <w:tcPr>
            <w:tcW w:w="0" w:type="dxa"/>
            <w:vAlign w:val="bottom"/>
          </w:tcPr>
          <w:p>
            <w:pPr>
              <w:spacing w:after="0"/>
              <w:rPr>
                <w:sz w:val="1"/>
                <w:szCs w:val="1"/>
                <w:color w:val="auto"/>
              </w:rPr>
            </w:pPr>
          </w:p>
        </w:tc>
      </w:tr>
      <w:tr>
        <w:trPr>
          <w:trHeight w:val="207"/>
        </w:trPr>
        <w:tc>
          <w:tcPr>
            <w:tcW w:w="230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1"/>
                <w:szCs w:val="11"/>
                <w:b w:val="1"/>
                <w:bCs w:val="1"/>
                <w:color w:val="FFFFFF"/>
              </w:rPr>
              <w:t>YEAR</w:t>
            </w:r>
            <w:r>
              <w:rPr>
                <w:rFonts w:ascii="Arial" w:cs="Arial" w:eastAsia="Arial" w:hAnsi="Arial"/>
                <w:sz w:val="6"/>
                <w:szCs w:val="6"/>
                <w:b w:val="1"/>
                <w:bCs w:val="1"/>
                <w:color w:val="FFFFFF"/>
              </w:rPr>
              <w:t>(1)</w:t>
            </w:r>
          </w:p>
        </w:tc>
        <w:tc>
          <w:tcPr>
            <w:tcW w:w="200" w:type="dxa"/>
            <w:vAlign w:val="bottom"/>
            <w:tcBorders>
              <w:bottom w:val="single" w:sz="8" w:color="0BC11C"/>
            </w:tcBorders>
            <w:shd w:val="clear" w:color="auto" w:fill="0BC11C"/>
          </w:tcPr>
          <w:p>
            <w:pPr>
              <w:spacing w:after="0"/>
              <w:rPr>
                <w:sz w:val="17"/>
                <w:szCs w:val="17"/>
                <w:color w:val="auto"/>
              </w:rPr>
            </w:pPr>
          </w:p>
        </w:tc>
        <w:tc>
          <w:tcPr>
            <w:tcW w:w="620" w:type="dxa"/>
            <w:vAlign w:val="bottom"/>
            <w:tcBorders>
              <w:bottom w:val="single" w:sz="8" w:color="0BC11C"/>
            </w:tcBorders>
            <w:shd w:val="clear" w:color="auto" w:fill="0BC11C"/>
          </w:tcPr>
          <w:p>
            <w:pPr>
              <w:jc w:val="center"/>
              <w:ind w:right="106"/>
              <w:spacing w:after="0"/>
              <w:rPr>
                <w:sz w:val="20"/>
                <w:szCs w:val="20"/>
                <w:color w:val="auto"/>
              </w:rPr>
            </w:pPr>
            <w:r>
              <w:rPr>
                <w:rFonts w:ascii="Arial" w:cs="Arial" w:eastAsia="Arial" w:hAnsi="Arial"/>
                <w:sz w:val="11"/>
                <w:szCs w:val="11"/>
                <w:b w:val="1"/>
                <w:bCs w:val="1"/>
                <w:color w:val="FFFFFF"/>
              </w:rPr>
              <w:t>PIKE</w:t>
            </w:r>
            <w:r>
              <w:rPr>
                <w:rFonts w:ascii="Arial" w:cs="Arial" w:eastAsia="Arial" w:hAnsi="Arial"/>
                <w:sz w:val="6"/>
                <w:szCs w:val="6"/>
                <w:b w:val="1"/>
                <w:bCs w:val="1"/>
                <w:color w:val="FFFFFF"/>
              </w:rPr>
              <w:t>(2)</w:t>
            </w:r>
          </w:p>
        </w:tc>
        <w:tc>
          <w:tcPr>
            <w:tcW w:w="700" w:type="dxa"/>
            <w:vAlign w:val="bottom"/>
            <w:tcBorders>
              <w:bottom w:val="single" w:sz="8" w:color="0BC11C"/>
            </w:tcBorders>
            <w:shd w:val="clear" w:color="auto" w:fill="0BC11C"/>
          </w:tcPr>
          <w:p>
            <w:pPr>
              <w:jc w:val="right"/>
              <w:ind w:right="6"/>
              <w:spacing w:after="0"/>
              <w:rPr>
                <w:sz w:val="20"/>
                <w:szCs w:val="20"/>
                <w:color w:val="auto"/>
              </w:rPr>
            </w:pPr>
            <w:r>
              <w:rPr>
                <w:rFonts w:ascii="Arial" w:cs="Arial" w:eastAsia="Arial" w:hAnsi="Arial"/>
                <w:sz w:val="11"/>
                <w:szCs w:val="11"/>
                <w:b w:val="1"/>
                <w:bCs w:val="1"/>
                <w:color w:val="FFFFFF"/>
              </w:rPr>
              <w:t>NEUPERT</w:t>
            </w:r>
            <w:r>
              <w:rPr>
                <w:rFonts w:ascii="Arial" w:cs="Arial" w:eastAsia="Arial" w:hAnsi="Arial"/>
                <w:sz w:val="6"/>
                <w:szCs w:val="6"/>
                <w:b w:val="1"/>
                <w:bCs w:val="1"/>
                <w:color w:val="FFFFFF"/>
              </w:rPr>
              <w:t>(2)</w:t>
            </w:r>
          </w:p>
        </w:tc>
        <w:tc>
          <w:tcPr>
            <w:tcW w:w="76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w w:val="99"/>
              </w:rPr>
              <w:t>THAKRAL</w:t>
            </w:r>
            <w:r>
              <w:rPr>
                <w:rFonts w:ascii="Arial" w:cs="Arial" w:eastAsia="Arial" w:hAnsi="Arial"/>
                <w:sz w:val="6"/>
                <w:szCs w:val="6"/>
                <w:b w:val="1"/>
                <w:bCs w:val="1"/>
                <w:color w:val="FFFFFF"/>
                <w:w w:val="99"/>
              </w:rPr>
              <w:t>(2)</w:t>
            </w:r>
          </w:p>
        </w:tc>
        <w:tc>
          <w:tcPr>
            <w:tcW w:w="160" w:type="dxa"/>
            <w:vAlign w:val="bottom"/>
            <w:tcBorders>
              <w:bottom w:val="single" w:sz="8" w:color="0BC11C"/>
            </w:tcBorders>
            <w:shd w:val="clear" w:color="auto" w:fill="0BC11C"/>
          </w:tcPr>
          <w:p>
            <w:pPr>
              <w:spacing w:after="0"/>
              <w:rPr>
                <w:sz w:val="17"/>
                <w:szCs w:val="17"/>
                <w:color w:val="auto"/>
              </w:rPr>
            </w:pPr>
          </w:p>
        </w:tc>
        <w:tc>
          <w:tcPr>
            <w:tcW w:w="640" w:type="dxa"/>
            <w:vAlign w:val="bottom"/>
            <w:tcBorders>
              <w:bottom w:val="single" w:sz="8" w:color="0BC11C"/>
            </w:tcBorders>
            <w:shd w:val="clear" w:color="auto" w:fill="0BC11C"/>
          </w:tcPr>
          <w:p>
            <w:pPr>
              <w:jc w:val="right"/>
              <w:ind w:right="186"/>
              <w:spacing w:after="0"/>
              <w:rPr>
                <w:sz w:val="20"/>
                <w:szCs w:val="20"/>
                <w:color w:val="auto"/>
              </w:rPr>
            </w:pPr>
            <w:r>
              <w:rPr>
                <w:rFonts w:ascii="Arial" w:cs="Arial" w:eastAsia="Arial" w:hAnsi="Arial"/>
                <w:sz w:val="11"/>
                <w:szCs w:val="11"/>
                <w:b w:val="1"/>
                <w:bCs w:val="1"/>
                <w:color w:val="FFFFFF"/>
              </w:rPr>
              <w:t>PIKE</w:t>
            </w:r>
            <w:r>
              <w:rPr>
                <w:rFonts w:ascii="Arial" w:cs="Arial" w:eastAsia="Arial" w:hAnsi="Arial"/>
                <w:sz w:val="6"/>
                <w:szCs w:val="6"/>
                <w:b w:val="1"/>
                <w:bCs w:val="1"/>
                <w:color w:val="FFFFFF"/>
              </w:rPr>
              <w:t>(3)</w:t>
            </w:r>
          </w:p>
        </w:tc>
        <w:tc>
          <w:tcPr>
            <w:tcW w:w="720" w:type="dxa"/>
            <w:vAlign w:val="bottom"/>
            <w:tcBorders>
              <w:bottom w:val="single" w:sz="8" w:color="0BC11C"/>
            </w:tcBorders>
            <w:shd w:val="clear" w:color="auto" w:fill="0BC11C"/>
          </w:tcPr>
          <w:p>
            <w:pPr>
              <w:jc w:val="right"/>
              <w:ind w:right="6"/>
              <w:spacing w:after="0"/>
              <w:rPr>
                <w:sz w:val="20"/>
                <w:szCs w:val="20"/>
                <w:color w:val="auto"/>
              </w:rPr>
            </w:pPr>
            <w:r>
              <w:rPr>
                <w:rFonts w:ascii="Arial" w:cs="Arial" w:eastAsia="Arial" w:hAnsi="Arial"/>
                <w:sz w:val="11"/>
                <w:szCs w:val="11"/>
                <w:b w:val="1"/>
                <w:bCs w:val="1"/>
                <w:color w:val="FFFFFF"/>
              </w:rPr>
              <w:t>NEUPERT</w:t>
            </w:r>
            <w:r>
              <w:rPr>
                <w:rFonts w:ascii="Arial" w:cs="Arial" w:eastAsia="Arial" w:hAnsi="Arial"/>
                <w:sz w:val="6"/>
                <w:szCs w:val="6"/>
                <w:b w:val="1"/>
                <w:bCs w:val="1"/>
                <w:color w:val="FFFFFF"/>
              </w:rPr>
              <w:t>(3)</w:t>
            </w:r>
          </w:p>
        </w:tc>
        <w:tc>
          <w:tcPr>
            <w:tcW w:w="76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rPr>
              <w:t>THAKRAL</w:t>
            </w:r>
            <w:r>
              <w:rPr>
                <w:rFonts w:ascii="Arial" w:cs="Arial" w:eastAsia="Arial" w:hAnsi="Arial"/>
                <w:sz w:val="6"/>
                <w:szCs w:val="6"/>
                <w:b w:val="1"/>
                <w:bCs w:val="1"/>
                <w:color w:val="FFFFFF"/>
              </w:rPr>
              <w:t>(3)</w:t>
            </w:r>
          </w:p>
        </w:tc>
        <w:tc>
          <w:tcPr>
            <w:tcW w:w="70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w w:val="98"/>
              </w:rPr>
              <w:t>NEOS</w:t>
            </w:r>
            <w:r>
              <w:rPr>
                <w:rFonts w:ascii="Arial" w:cs="Arial" w:eastAsia="Arial" w:hAnsi="Arial"/>
                <w:sz w:val="6"/>
                <w:szCs w:val="6"/>
                <w:b w:val="1"/>
                <w:bCs w:val="1"/>
                <w:color w:val="FFFFFF"/>
                <w:w w:val="98"/>
              </w:rPr>
              <w:t>(2)</w:t>
            </w:r>
          </w:p>
        </w:tc>
        <w:tc>
          <w:tcPr>
            <w:tcW w:w="70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rPr>
              <w:t>NEOS</w:t>
            </w:r>
            <w:r>
              <w:rPr>
                <w:rFonts w:ascii="Arial" w:cs="Arial" w:eastAsia="Arial" w:hAnsi="Arial"/>
                <w:sz w:val="6"/>
                <w:szCs w:val="6"/>
                <w:b w:val="1"/>
                <w:bCs w:val="1"/>
                <w:color w:val="FFFFFF"/>
              </w:rPr>
              <w:t>(3)</w:t>
            </w:r>
          </w:p>
        </w:tc>
        <w:tc>
          <w:tcPr>
            <w:tcW w:w="100" w:type="dxa"/>
            <w:vAlign w:val="bottom"/>
            <w:tcBorders>
              <w:bottom w:val="single" w:sz="8" w:color="0BC11C"/>
            </w:tcBorders>
            <w:shd w:val="clear" w:color="auto" w:fill="0BC11C"/>
          </w:tcPr>
          <w:p>
            <w:pPr>
              <w:spacing w:after="0"/>
              <w:rPr>
                <w:sz w:val="17"/>
                <w:szCs w:val="17"/>
                <w:color w:val="auto"/>
              </w:rPr>
            </w:pPr>
          </w:p>
        </w:tc>
        <w:tc>
          <w:tcPr>
            <w:tcW w:w="600" w:type="dxa"/>
            <w:vAlign w:val="bottom"/>
            <w:tcBorders>
              <w:bottom w:val="single" w:sz="8" w:color="0BC11C"/>
            </w:tcBorders>
            <w:gridSpan w:val="2"/>
            <w:shd w:val="clear" w:color="auto" w:fill="0BC11C"/>
          </w:tcPr>
          <w:p>
            <w:pPr>
              <w:jc w:val="right"/>
              <w:ind w:right="166"/>
              <w:spacing w:after="0"/>
              <w:rPr>
                <w:sz w:val="20"/>
                <w:szCs w:val="20"/>
                <w:color w:val="auto"/>
              </w:rPr>
            </w:pPr>
            <w:r>
              <w:rPr>
                <w:rFonts w:ascii="Arial" w:cs="Arial" w:eastAsia="Arial" w:hAnsi="Arial"/>
                <w:sz w:val="11"/>
                <w:szCs w:val="11"/>
                <w:b w:val="1"/>
                <w:bCs w:val="1"/>
                <w:color w:val="FFFFFF"/>
              </w:rPr>
              <w:t>TSR</w:t>
            </w:r>
          </w:p>
        </w:tc>
        <w:tc>
          <w:tcPr>
            <w:tcW w:w="480" w:type="dxa"/>
            <w:vAlign w:val="bottom"/>
            <w:tcBorders>
              <w:bottom w:val="single" w:sz="8" w:color="0BC11C"/>
            </w:tcBorders>
            <w:shd w:val="clear" w:color="auto" w:fill="0BC11C"/>
          </w:tcPr>
          <w:p>
            <w:pPr>
              <w:ind w:left="160"/>
              <w:spacing w:after="0"/>
              <w:rPr>
                <w:sz w:val="20"/>
                <w:szCs w:val="20"/>
                <w:color w:val="auto"/>
              </w:rPr>
            </w:pPr>
            <w:r>
              <w:rPr>
                <w:rFonts w:ascii="Arial" w:cs="Arial" w:eastAsia="Arial" w:hAnsi="Arial"/>
                <w:sz w:val="11"/>
                <w:szCs w:val="11"/>
                <w:b w:val="1"/>
                <w:bCs w:val="1"/>
                <w:color w:val="FFFFFF"/>
              </w:rPr>
              <w:t>TSR</w:t>
            </w:r>
          </w:p>
        </w:tc>
        <w:tc>
          <w:tcPr>
            <w:tcW w:w="60" w:type="dxa"/>
            <w:vAlign w:val="bottom"/>
            <w:tcBorders>
              <w:bottom w:val="single" w:sz="8" w:color="0BC11C"/>
            </w:tcBorders>
            <w:shd w:val="clear" w:color="auto" w:fill="0BC11C"/>
          </w:tcPr>
          <w:p>
            <w:pPr>
              <w:spacing w:after="0"/>
              <w:rPr>
                <w:sz w:val="17"/>
                <w:szCs w:val="17"/>
                <w:color w:val="auto"/>
              </w:rPr>
            </w:pPr>
          </w:p>
        </w:tc>
        <w:tc>
          <w:tcPr>
            <w:tcW w:w="740" w:type="dxa"/>
            <w:vAlign w:val="bottom"/>
            <w:tcBorders>
              <w:bottom w:val="single" w:sz="8" w:color="0BC11C"/>
            </w:tcBorders>
            <w:gridSpan w:val="2"/>
            <w:shd w:val="clear" w:color="auto" w:fill="0BC11C"/>
          </w:tcPr>
          <w:p>
            <w:pPr>
              <w:jc w:val="center"/>
              <w:spacing w:after="0"/>
              <w:rPr>
                <w:sz w:val="20"/>
                <w:szCs w:val="20"/>
                <w:color w:val="auto"/>
              </w:rPr>
            </w:pPr>
            <w:r>
              <w:rPr>
                <w:rFonts w:ascii="Arial" w:cs="Arial" w:eastAsia="Arial" w:hAnsi="Arial"/>
                <w:sz w:val="11"/>
                <w:szCs w:val="11"/>
                <w:b w:val="1"/>
                <w:bCs w:val="1"/>
                <w:color w:val="FFFFFF"/>
              </w:rPr>
              <w:t>MILLIONS)</w:t>
            </w:r>
            <w:r>
              <w:rPr>
                <w:rFonts w:ascii="Arial" w:cs="Arial" w:eastAsia="Arial" w:hAnsi="Arial"/>
                <w:sz w:val="6"/>
                <w:szCs w:val="6"/>
                <w:b w:val="1"/>
                <w:bCs w:val="1"/>
                <w:color w:val="FFFFFF"/>
              </w:rPr>
              <w:t>(5)</w:t>
            </w:r>
          </w:p>
        </w:tc>
        <w:tc>
          <w:tcPr>
            <w:tcW w:w="78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rPr>
              <w:t>MILLIONS)</w:t>
            </w:r>
            <w:r>
              <w:rPr>
                <w:rFonts w:ascii="Arial" w:cs="Arial" w:eastAsia="Arial" w:hAnsi="Arial"/>
                <w:sz w:val="6"/>
                <w:szCs w:val="6"/>
                <w:b w:val="1"/>
                <w:bCs w:val="1"/>
                <w:color w:val="FFFFFF"/>
              </w:rPr>
              <w:t>(6)</w:t>
            </w:r>
            <w:r>
              <w:rPr>
                <w:rFonts w:ascii="Arial" w:cs="Arial" w:eastAsia="Arial" w:hAnsi="Arial"/>
                <w:sz w:val="11"/>
                <w:szCs w:val="11"/>
                <w:b w:val="1"/>
                <w:bCs w:val="1"/>
                <w:color w:val="FFFFFF"/>
              </w:rPr>
              <w:t xml:space="preserve">   </w:t>
            </w:r>
          </w:p>
        </w:tc>
        <w:tc>
          <w:tcPr>
            <w:tcW w:w="0" w:type="dxa"/>
            <w:vAlign w:val="bottom"/>
          </w:tcPr>
          <w:p>
            <w:pPr>
              <w:spacing w:after="0"/>
              <w:rPr>
                <w:sz w:val="1"/>
                <w:szCs w:val="1"/>
                <w:color w:val="auto"/>
              </w:rPr>
            </w:pPr>
          </w:p>
        </w:tc>
      </w:tr>
      <w:tr>
        <w:trPr>
          <w:trHeight w:val="129"/>
        </w:trPr>
        <w:tc>
          <w:tcPr>
            <w:tcW w:w="2300" w:type="dxa"/>
            <w:vAlign w:val="bottom"/>
            <w:tcBorders>
              <w:top w:val="single" w:sz="8" w:color="auto"/>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2025</w:t>
            </w:r>
          </w:p>
        </w:tc>
        <w:tc>
          <w:tcPr>
            <w:tcW w:w="20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7,984,877</w:t>
            </w:r>
          </w:p>
        </w:tc>
        <w:tc>
          <w:tcPr>
            <w:tcW w:w="700" w:type="dxa"/>
            <w:vAlign w:val="bottom"/>
            <w:tcBorders>
              <w:top w:val="single" w:sz="8" w:color="auto"/>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$ 1,145,261</w:t>
            </w:r>
          </w:p>
        </w:tc>
        <w:tc>
          <w:tcPr>
            <w:tcW w:w="760" w:type="dxa"/>
            <w:vAlign w:val="bottom"/>
            <w:tcBorders>
              <w:top w:val="single" w:sz="8" w:color="auto"/>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rPr>
              <w:t>$ 11,584,483</w:t>
            </w:r>
          </w:p>
        </w:tc>
        <w:tc>
          <w:tcPr>
            <w:tcW w:w="160" w:type="dxa"/>
            <w:vAlign w:val="bottom"/>
            <w:tcBorders>
              <w:top w:val="single" w:sz="8" w:color="auto"/>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rPr>
              <w:t>3,294,366</w:t>
            </w:r>
          </w:p>
        </w:tc>
        <w:tc>
          <w:tcPr>
            <w:tcW w:w="720" w:type="dxa"/>
            <w:vAlign w:val="bottom"/>
            <w:tcBorders>
              <w:top w:val="single" w:sz="8" w:color="auto"/>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$ 2,896,506</w:t>
            </w:r>
          </w:p>
        </w:tc>
        <w:tc>
          <w:tcPr>
            <w:tcW w:w="760" w:type="dxa"/>
            <w:vAlign w:val="bottom"/>
            <w:tcBorders>
              <w:top w:val="single" w:sz="8" w:color="auto"/>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$ 31,937,826</w:t>
            </w:r>
          </w:p>
        </w:tc>
        <w:tc>
          <w:tcPr>
            <w:tcW w:w="700" w:type="dxa"/>
            <w:vAlign w:val="bottom"/>
            <w:tcBorders>
              <w:top w:val="single" w:sz="8" w:color="auto"/>
              <w:bottom w:val="single" w:sz="8" w:color="auto"/>
            </w:tcBorders>
            <w:shd w:val="clear" w:color="auto" w:fill="EDEDED"/>
          </w:tcPr>
          <w:p>
            <w:pPr>
              <w:ind w:left="80"/>
              <w:spacing w:after="0"/>
              <w:rPr>
                <w:sz w:val="20"/>
                <w:szCs w:val="20"/>
                <w:color w:val="auto"/>
              </w:rPr>
            </w:pPr>
            <w:r>
              <w:rPr>
                <w:rFonts w:ascii="Arial" w:cs="Arial" w:eastAsia="Arial" w:hAnsi="Arial"/>
                <w:sz w:val="11"/>
                <w:szCs w:val="11"/>
                <w:color w:val="auto"/>
              </w:rPr>
              <w:t>$ 1,648,831</w:t>
            </w:r>
          </w:p>
        </w:tc>
        <w:tc>
          <w:tcPr>
            <w:tcW w:w="700" w:type="dxa"/>
            <w:vAlign w:val="bottom"/>
            <w:tcBorders>
              <w:top w:val="single" w:sz="8" w:color="auto"/>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$ 1,968,600</w:t>
            </w:r>
          </w:p>
        </w:tc>
        <w:tc>
          <w:tcPr>
            <w:tcW w:w="300" w:type="dxa"/>
            <w:vAlign w:val="bottom"/>
            <w:tcBorders>
              <w:top w:val="single" w:sz="8" w:color="auto"/>
              <w:bottom w:val="single" w:sz="8" w:color="auto"/>
            </w:tcBorders>
            <w:gridSpan w:val="2"/>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50.72</w:t>
            </w:r>
          </w:p>
        </w:tc>
        <w:tc>
          <w:tcPr>
            <w:tcW w:w="540" w:type="dxa"/>
            <w:vAlign w:val="bottom"/>
            <w:tcBorders>
              <w:top w:val="single" w:sz="8" w:color="auto"/>
              <w:bottom w:val="single" w:sz="8" w:color="auto"/>
            </w:tcBorders>
            <w:gridSpan w:val="2"/>
            <w:shd w:val="clear" w:color="auto" w:fill="EDEDED"/>
          </w:tcPr>
          <w:p>
            <w:pPr>
              <w:ind w:left="80"/>
              <w:spacing w:after="0"/>
              <w:rPr>
                <w:sz w:val="20"/>
                <w:szCs w:val="20"/>
                <w:color w:val="auto"/>
              </w:rPr>
            </w:pPr>
            <w:r>
              <w:rPr>
                <w:rFonts w:ascii="Arial" w:cs="Arial" w:eastAsia="Arial" w:hAnsi="Arial"/>
                <w:sz w:val="11"/>
                <w:szCs w:val="11"/>
                <w:color w:val="auto"/>
              </w:rPr>
              <w:t>$ 120.57</w:t>
            </w:r>
          </w:p>
        </w:tc>
        <w:tc>
          <w:tcPr>
            <w:tcW w:w="440" w:type="dxa"/>
            <w:vAlign w:val="bottom"/>
            <w:tcBorders>
              <w:top w:val="single" w:sz="8" w:color="auto"/>
              <w:bottom w:val="single" w:sz="8" w:color="auto"/>
            </w:tcBorders>
            <w:shd w:val="clear" w:color="auto" w:fill="EDEDED"/>
          </w:tcPr>
          <w:p>
            <w:pPr>
              <w:jc w:val="center"/>
              <w:ind w:left="24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w w:val="90"/>
              </w:rPr>
              <w:t>989)</w:t>
            </w:r>
          </w:p>
        </w:tc>
        <w:tc>
          <w:tcPr>
            <w:tcW w:w="780" w:type="dxa"/>
            <w:vAlign w:val="bottom"/>
            <w:tcBorders>
              <w:top w:val="single" w:sz="8" w:color="auto"/>
              <w:bottom w:val="single" w:sz="8" w:color="auto"/>
            </w:tcBorders>
            <w:shd w:val="clear" w:color="auto" w:fill="EDEDED"/>
          </w:tcPr>
          <w:p>
            <w:pPr>
              <w:jc w:val="right"/>
              <w:ind w:right="126"/>
              <w:spacing w:after="0"/>
              <w:rPr>
                <w:sz w:val="20"/>
                <w:szCs w:val="20"/>
                <w:color w:val="auto"/>
              </w:rPr>
            </w:pPr>
            <w:r>
              <w:rPr>
                <w:rFonts w:ascii="Arial" w:cs="Arial" w:eastAsia="Arial" w:hAnsi="Arial"/>
                <w:sz w:val="11"/>
                <w:szCs w:val="11"/>
                <w:color w:val="auto"/>
              </w:rPr>
              <w:t>$ 190</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1,713,906</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n/a</w:t>
            </w: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n/a</w:t>
            </w: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($ 14,710,510)</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n/a</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n/a</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$ 1,339,389</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  481,635)</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54.84</w:t>
            </w: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$ 106.91</w:t>
            </w:r>
          </w:p>
        </w:tc>
        <w:tc>
          <w:tcPr>
            <w:tcW w:w="440" w:type="dxa"/>
            <w:vAlign w:val="bottom"/>
            <w:tcBorders>
              <w:bottom w:val="single" w:sz="8" w:color="auto"/>
            </w:tcBorders>
          </w:tcPr>
          <w:p>
            <w:pPr>
              <w:jc w:val="center"/>
              <w:ind w:left="24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0"/>
              </w:rPr>
              <w:t>329)</w:t>
            </w: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$ 203</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2023</w:t>
            </w: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w w:val="98"/>
              </w:rPr>
              <w:t>26,320,395</w:t>
            </w:r>
          </w:p>
        </w:tc>
        <w:tc>
          <w:tcPr>
            <w:tcW w:w="700" w:type="dxa"/>
            <w:vAlign w:val="bottom"/>
            <w:tcBorders>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n/a</w:t>
            </w:r>
          </w:p>
        </w:tc>
        <w:tc>
          <w:tcPr>
            <w:tcW w:w="760" w:type="dxa"/>
            <w:vAlign w:val="bottom"/>
            <w:tcBorders>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rPr>
              <w:t>n/a</w:t>
            </w:r>
          </w:p>
        </w:tc>
        <w:tc>
          <w:tcPr>
            <w:tcW w:w="16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w w:val="98"/>
              </w:rPr>
              <w:t>34,238,046</w:t>
            </w:r>
          </w:p>
        </w:tc>
        <w:tc>
          <w:tcPr>
            <w:tcW w:w="720" w:type="dxa"/>
            <w:vAlign w:val="bottom"/>
            <w:tcBorders>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n/a</w:t>
            </w:r>
          </w:p>
        </w:tc>
        <w:tc>
          <w:tcPr>
            <w:tcW w:w="760" w:type="dxa"/>
            <w:vAlign w:val="bottom"/>
            <w:tcBorders>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rPr>
              <w:t>n/a</w:t>
            </w:r>
          </w:p>
        </w:tc>
        <w:tc>
          <w:tcPr>
            <w:tcW w:w="700" w:type="dxa"/>
            <w:vAlign w:val="bottom"/>
            <w:tcBorders>
              <w:bottom w:val="single" w:sz="8" w:color="auto"/>
            </w:tcBorders>
            <w:shd w:val="clear" w:color="auto" w:fill="EDEDED"/>
          </w:tcPr>
          <w:p>
            <w:pPr>
              <w:ind w:left="80"/>
              <w:spacing w:after="0"/>
              <w:rPr>
                <w:sz w:val="20"/>
                <w:szCs w:val="20"/>
                <w:color w:val="auto"/>
              </w:rPr>
            </w:pPr>
            <w:r>
              <w:rPr>
                <w:rFonts w:ascii="Arial" w:cs="Arial" w:eastAsia="Arial" w:hAnsi="Arial"/>
                <w:sz w:val="11"/>
                <w:szCs w:val="11"/>
                <w:color w:val="auto"/>
              </w:rPr>
              <w:t>$ 3,154,484</w:t>
            </w:r>
          </w:p>
        </w:tc>
        <w:tc>
          <w:tcPr>
            <w:tcW w:w="70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1"/>
                <w:szCs w:val="11"/>
                <w:color w:val="auto"/>
              </w:rPr>
              <w:t>$ 3,349,885</w:t>
            </w:r>
          </w:p>
        </w:tc>
        <w:tc>
          <w:tcPr>
            <w:tcW w:w="300" w:type="dxa"/>
            <w:vAlign w:val="bottom"/>
            <w:tcBorders>
              <w:bottom w:val="single" w:sz="8" w:color="auto"/>
            </w:tcBorders>
            <w:gridSpan w:val="2"/>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EDEDED"/>
          </w:tcPr>
          <w:p>
            <w:pPr>
              <w:jc w:val="right"/>
              <w:ind w:right="6"/>
              <w:spacing w:after="0"/>
              <w:rPr>
                <w:sz w:val="20"/>
                <w:szCs w:val="20"/>
                <w:color w:val="auto"/>
              </w:rPr>
            </w:pPr>
            <w:r>
              <w:rPr>
                <w:rFonts w:ascii="Arial" w:cs="Arial" w:eastAsia="Arial" w:hAnsi="Arial"/>
                <w:sz w:val="11"/>
                <w:szCs w:val="11"/>
                <w:color w:val="auto"/>
                <w:w w:val="94"/>
              </w:rPr>
              <w:t>102.62</w:t>
            </w:r>
          </w:p>
        </w:tc>
        <w:tc>
          <w:tcPr>
            <w:tcW w:w="540" w:type="dxa"/>
            <w:vAlign w:val="bottom"/>
            <w:tcBorders>
              <w:bottom w:val="single" w:sz="8" w:color="auto"/>
            </w:tcBorders>
            <w:gridSpan w:val="2"/>
            <w:shd w:val="clear" w:color="auto" w:fill="EDEDED"/>
          </w:tcPr>
          <w:p>
            <w:pPr>
              <w:ind w:left="80"/>
              <w:spacing w:after="0"/>
              <w:rPr>
                <w:sz w:val="20"/>
                <w:szCs w:val="20"/>
                <w:color w:val="auto"/>
              </w:rPr>
            </w:pPr>
            <w:r>
              <w:rPr>
                <w:rFonts w:ascii="Arial" w:cs="Arial" w:eastAsia="Arial" w:hAnsi="Arial"/>
                <w:sz w:val="11"/>
                <w:szCs w:val="11"/>
                <w:color w:val="auto"/>
              </w:rPr>
              <w:t>$ 103.98</w:t>
            </w:r>
          </w:p>
        </w:tc>
        <w:tc>
          <w:tcPr>
            <w:tcW w:w="440" w:type="dxa"/>
            <w:vAlign w:val="bottom"/>
            <w:tcBorders>
              <w:bottom w:val="single" w:sz="8" w:color="auto"/>
            </w:tcBorders>
            <w:shd w:val="clear" w:color="auto" w:fill="EDEDED"/>
          </w:tcPr>
          <w:p>
            <w:pPr>
              <w:jc w:val="center"/>
              <w:ind w:left="24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shd w:val="clear" w:color="auto" w:fill="EDEDED"/>
          </w:tcPr>
          <w:p>
            <w:pPr>
              <w:jc w:val="right"/>
              <w:ind w:right="26"/>
              <w:spacing w:after="0"/>
              <w:rPr>
                <w:sz w:val="20"/>
                <w:szCs w:val="20"/>
                <w:color w:val="auto"/>
              </w:rPr>
            </w:pPr>
            <w:r>
              <w:rPr>
                <w:rFonts w:ascii="Arial" w:cs="Arial" w:eastAsia="Arial" w:hAnsi="Arial"/>
                <w:sz w:val="11"/>
                <w:szCs w:val="11"/>
                <w:color w:val="auto"/>
              </w:rPr>
              <w:t>25)</w:t>
            </w:r>
          </w:p>
        </w:tc>
        <w:tc>
          <w:tcPr>
            <w:tcW w:w="780" w:type="dxa"/>
            <w:vAlign w:val="bottom"/>
            <w:tcBorders>
              <w:bottom w:val="single" w:sz="8" w:color="auto"/>
            </w:tcBorders>
            <w:shd w:val="clear" w:color="auto" w:fill="EDEDED"/>
          </w:tcPr>
          <w:p>
            <w:pPr>
              <w:jc w:val="right"/>
              <w:ind w:right="126"/>
              <w:spacing w:after="0"/>
              <w:rPr>
                <w:sz w:val="20"/>
                <w:szCs w:val="20"/>
                <w:color w:val="auto"/>
              </w:rPr>
            </w:pPr>
            <w:r>
              <w:rPr>
                <w:rFonts w:ascii="Arial" w:cs="Arial" w:eastAsia="Arial" w:hAnsi="Arial"/>
                <w:sz w:val="11"/>
                <w:szCs w:val="11"/>
                <w:color w:val="auto"/>
              </w:rPr>
              <w:t>$ 246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40" w:right="240" w:hanging="324"/>
        <w:spacing w:after="0" w:line="226"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Thomas Pike was our CEO from 2023 through May 13, 2025. Peter Neupert served as interim CEO from May 13, 2025 to August 4, 2025. Mr. Thakral was appointed our CEO on August 4, 2025. The other NEOs included for 2023, 2024, and 2025 are Jill McConnell and Mark Morais.</w:t>
      </w:r>
    </w:p>
    <w:p>
      <w:pPr>
        <w:ind w:left="440" w:right="160" w:hanging="324"/>
        <w:spacing w:after="0" w:line="216"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These amounts reflect (i) the total compensation reported in the SCT for the applicable year in the case of our CEO; and (ii) the average of the total compensation reported in the SCT for the applicable year for our Other NEOs. See the footnotes to the SCT for further detail regarding the amounts in this column.</w:t>
      </w:r>
    </w:p>
    <w:p>
      <w:pPr>
        <w:ind w:left="440" w:right="60" w:hanging="324"/>
        <w:spacing w:after="0" w:line="226"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Amounts reported in these columns represent CAP; adjustments were made to the amounts reported in the SCT for the applicable year. A reconciliation of the adjustments for our CEO and for the average of the Other NEOs is set forth in the following tables, which describe the adjustments, each of which is prescribed by the SEC rule to calculate the CAP amounts from SCT amounts.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0" w:type="dxa"/>
            <w:vAlign w:val="bottom"/>
            <w:tcBorders>
              <w:top w:val="single" w:sz="8" w:color="auto"/>
            </w:tcBorders>
            <w:shd w:val="clear" w:color="auto" w:fill="0BC11C"/>
          </w:tcPr>
          <w:p>
            <w:pPr>
              <w:spacing w:after="0"/>
              <w:rPr>
                <w:sz w:val="18"/>
                <w:szCs w:val="18"/>
                <w:color w:val="auto"/>
              </w:rPr>
            </w:pPr>
          </w:p>
        </w:tc>
        <w:tc>
          <w:tcPr>
            <w:tcW w:w="540" w:type="dxa"/>
            <w:vAlign w:val="bottom"/>
            <w:tcBorders>
              <w:top w:val="single" w:sz="8" w:color="auto"/>
            </w:tcBorders>
            <w:shd w:val="clear" w:color="auto" w:fill="0BC11C"/>
          </w:tcPr>
          <w:p>
            <w:pPr>
              <w:spacing w:after="0"/>
              <w:rPr>
                <w:sz w:val="18"/>
                <w:szCs w:val="18"/>
                <w:color w:val="auto"/>
              </w:rPr>
            </w:pPr>
          </w:p>
        </w:tc>
        <w:tc>
          <w:tcPr>
            <w:tcW w:w="140" w:type="dxa"/>
            <w:vAlign w:val="bottom"/>
            <w:tcBorders>
              <w:top w:val="single" w:sz="8" w:color="auto"/>
            </w:tcBorders>
            <w:shd w:val="clear" w:color="auto" w:fill="0BC11C"/>
          </w:tcPr>
          <w:p>
            <w:pPr>
              <w:spacing w:after="0"/>
              <w:rPr>
                <w:sz w:val="18"/>
                <w:szCs w:val="18"/>
                <w:color w:val="auto"/>
              </w:rPr>
            </w:pPr>
          </w:p>
        </w:tc>
        <w:tc>
          <w:tcPr>
            <w:tcW w:w="780" w:type="dxa"/>
            <w:vAlign w:val="bottom"/>
            <w:tcBorders>
              <w:top w:val="single" w:sz="8" w:color="auto"/>
            </w:tcBorders>
            <w:shd w:val="clear" w:color="auto" w:fill="0BC11C"/>
          </w:tcPr>
          <w:p>
            <w:pPr>
              <w:spacing w:after="0"/>
              <w:rPr>
                <w:sz w:val="18"/>
                <w:szCs w:val="18"/>
                <w:color w:val="auto"/>
              </w:rPr>
            </w:pPr>
          </w:p>
        </w:tc>
        <w:tc>
          <w:tcPr>
            <w:tcW w:w="160" w:type="dxa"/>
            <w:vAlign w:val="bottom"/>
            <w:tcBorders>
              <w:top w:val="single" w:sz="8" w:color="auto"/>
            </w:tcBorders>
            <w:shd w:val="clear" w:color="auto" w:fill="0BC11C"/>
          </w:tcPr>
          <w:p>
            <w:pPr>
              <w:spacing w:after="0"/>
              <w:rPr>
                <w:sz w:val="18"/>
                <w:szCs w:val="18"/>
                <w:color w:val="auto"/>
              </w:rPr>
            </w:pPr>
          </w:p>
        </w:tc>
        <w:tc>
          <w:tcPr>
            <w:tcW w:w="860" w:type="dxa"/>
            <w:vAlign w:val="bottom"/>
            <w:tcBorders>
              <w:top w:val="single" w:sz="8" w:color="auto"/>
            </w:tcBorders>
            <w:shd w:val="clear" w:color="auto" w:fill="0BC11C"/>
          </w:tcPr>
          <w:p>
            <w:pPr>
              <w:spacing w:after="0"/>
              <w:rPr>
                <w:sz w:val="18"/>
                <w:szCs w:val="18"/>
                <w:color w:val="auto"/>
              </w:rPr>
            </w:pPr>
          </w:p>
        </w:tc>
        <w:tc>
          <w:tcPr>
            <w:tcW w:w="160" w:type="dxa"/>
            <w:vAlign w:val="bottom"/>
            <w:tcBorders>
              <w:top w:val="single" w:sz="8" w:color="auto"/>
            </w:tcBorders>
            <w:shd w:val="clear" w:color="auto" w:fill="0BC11C"/>
          </w:tcPr>
          <w:p>
            <w:pPr>
              <w:spacing w:after="0"/>
              <w:rPr>
                <w:sz w:val="18"/>
                <w:szCs w:val="18"/>
                <w:color w:val="auto"/>
              </w:rPr>
            </w:pPr>
          </w:p>
        </w:tc>
        <w:tc>
          <w:tcPr>
            <w:tcW w:w="800" w:type="dxa"/>
            <w:vAlign w:val="bottom"/>
            <w:tcBorders>
              <w:top w:val="single" w:sz="8" w:color="auto"/>
            </w:tcBorders>
            <w:shd w:val="clear" w:color="auto" w:fill="0BC11C"/>
          </w:tcPr>
          <w:p>
            <w:pPr>
              <w:jc w:val="center"/>
              <w:ind w:right="79"/>
              <w:spacing w:after="0"/>
              <w:rPr>
                <w:sz w:val="20"/>
                <w:szCs w:val="20"/>
                <w:color w:val="auto"/>
              </w:rPr>
            </w:pPr>
            <w:r>
              <w:rPr>
                <w:rFonts w:ascii="Arial" w:cs="Arial" w:eastAsia="Arial" w:hAnsi="Arial"/>
                <w:sz w:val="11"/>
                <w:szCs w:val="11"/>
                <w:b w:val="1"/>
                <w:bCs w:val="1"/>
                <w:color w:val="FFFFFF"/>
                <w:w w:val="98"/>
              </w:rPr>
              <w:t>PLUS YEAR</w:t>
            </w:r>
          </w:p>
        </w:tc>
        <w:tc>
          <w:tcPr>
            <w:tcW w:w="200" w:type="dxa"/>
            <w:vAlign w:val="bottom"/>
            <w:tcBorders>
              <w:top w:val="single" w:sz="8" w:color="auto"/>
            </w:tcBorders>
            <w:shd w:val="clear" w:color="auto" w:fill="0BC11C"/>
          </w:tcPr>
          <w:p>
            <w:pPr>
              <w:spacing w:after="0"/>
              <w:rPr>
                <w:sz w:val="18"/>
                <w:szCs w:val="18"/>
                <w:color w:val="auto"/>
              </w:rPr>
            </w:pPr>
          </w:p>
        </w:tc>
        <w:tc>
          <w:tcPr>
            <w:tcW w:w="840" w:type="dxa"/>
            <w:vAlign w:val="bottom"/>
            <w:tcBorders>
              <w:top w:val="single" w:sz="8" w:color="auto"/>
            </w:tcBorders>
            <w:shd w:val="clear" w:color="auto" w:fill="0BC11C"/>
          </w:tcPr>
          <w:p>
            <w:pPr>
              <w:spacing w:after="0"/>
              <w:rPr>
                <w:sz w:val="18"/>
                <w:szCs w:val="18"/>
                <w:color w:val="auto"/>
              </w:rPr>
            </w:pPr>
          </w:p>
        </w:tc>
        <w:tc>
          <w:tcPr>
            <w:tcW w:w="740" w:type="dxa"/>
            <w:vAlign w:val="bottom"/>
            <w:tcBorders>
              <w:top w:val="single" w:sz="8" w:color="auto"/>
            </w:tcBorders>
            <w:shd w:val="clear" w:color="auto" w:fill="0BC11C"/>
          </w:tcPr>
          <w:p>
            <w:pPr>
              <w:spacing w:after="0"/>
              <w:rPr>
                <w:sz w:val="18"/>
                <w:szCs w:val="18"/>
                <w:color w:val="auto"/>
              </w:rPr>
            </w:pPr>
          </w:p>
        </w:tc>
        <w:tc>
          <w:tcPr>
            <w:tcW w:w="200" w:type="dxa"/>
            <w:vAlign w:val="bottom"/>
            <w:tcBorders>
              <w:top w:val="single" w:sz="8" w:color="auto"/>
            </w:tcBorders>
            <w:shd w:val="clear" w:color="auto" w:fill="0BC11C"/>
          </w:tcPr>
          <w:p>
            <w:pPr>
              <w:spacing w:after="0"/>
              <w:rPr>
                <w:sz w:val="18"/>
                <w:szCs w:val="18"/>
                <w:color w:val="auto"/>
              </w:rPr>
            </w:pPr>
          </w:p>
        </w:tc>
        <w:tc>
          <w:tcPr>
            <w:tcW w:w="780" w:type="dxa"/>
            <w:vAlign w:val="bottom"/>
            <w:tcBorders>
              <w:top w:val="single" w:sz="8" w:color="auto"/>
            </w:tcBorders>
            <w:shd w:val="clear" w:color="auto" w:fill="0BC11C"/>
          </w:tcPr>
          <w:p>
            <w:pPr>
              <w:spacing w:after="0"/>
              <w:rPr>
                <w:sz w:val="18"/>
                <w:szCs w:val="18"/>
                <w:color w:val="auto"/>
              </w:rPr>
            </w:pPr>
          </w:p>
        </w:tc>
        <w:tc>
          <w:tcPr>
            <w:tcW w:w="820" w:type="dxa"/>
            <w:vAlign w:val="bottom"/>
            <w:tcBorders>
              <w:top w:val="single" w:sz="8" w:color="auto"/>
            </w:tcBorders>
            <w:shd w:val="clear" w:color="auto" w:fill="0BC11C"/>
          </w:tcPr>
          <w:p>
            <w:pPr>
              <w:spacing w:after="0"/>
              <w:rPr>
                <w:sz w:val="18"/>
                <w:szCs w:val="18"/>
                <w:color w:val="auto"/>
              </w:rPr>
            </w:pPr>
          </w:p>
        </w:tc>
        <w:tc>
          <w:tcPr>
            <w:tcW w:w="160" w:type="dxa"/>
            <w:vAlign w:val="bottom"/>
            <w:tcBorders>
              <w:top w:val="single" w:sz="8" w:color="auto"/>
            </w:tcBorders>
            <w:shd w:val="clear" w:color="auto" w:fill="0BC11C"/>
          </w:tcPr>
          <w:p>
            <w:pPr>
              <w:spacing w:after="0"/>
              <w:rPr>
                <w:sz w:val="18"/>
                <w:szCs w:val="18"/>
                <w:color w:val="auto"/>
              </w:rPr>
            </w:pPr>
          </w:p>
        </w:tc>
        <w:tc>
          <w:tcPr>
            <w:tcW w:w="820" w:type="dxa"/>
            <w:vAlign w:val="bottom"/>
            <w:tcBorders>
              <w:top w:val="single" w:sz="8" w:color="auto"/>
            </w:tcBorders>
            <w:shd w:val="clear" w:color="auto" w:fill="0BC11C"/>
          </w:tcPr>
          <w:p>
            <w:pPr>
              <w:spacing w:after="0"/>
              <w:rPr>
                <w:sz w:val="18"/>
                <w:szCs w:val="18"/>
                <w:color w:val="auto"/>
              </w:rPr>
            </w:pPr>
          </w:p>
        </w:tc>
        <w:tc>
          <w:tcPr>
            <w:tcW w:w="220" w:type="dxa"/>
            <w:vAlign w:val="bottom"/>
            <w:tcBorders>
              <w:top w:val="single" w:sz="8" w:color="auto"/>
            </w:tcBorders>
            <w:shd w:val="clear" w:color="auto" w:fill="0BC11C"/>
          </w:tcPr>
          <w:p>
            <w:pPr>
              <w:spacing w:after="0"/>
              <w:rPr>
                <w:sz w:val="18"/>
                <w:szCs w:val="18"/>
                <w:color w:val="auto"/>
              </w:rPr>
            </w:pPr>
          </w:p>
        </w:tc>
        <w:tc>
          <w:tcPr>
            <w:tcW w:w="800" w:type="dxa"/>
            <w:vAlign w:val="bottom"/>
            <w:tcBorders>
              <w:top w:val="single" w:sz="8" w:color="auto"/>
            </w:tcBorders>
            <w:shd w:val="clear" w:color="auto" w:fill="0BC11C"/>
          </w:tcPr>
          <w:p>
            <w:pPr>
              <w:spacing w:after="0"/>
              <w:rPr>
                <w:sz w:val="18"/>
                <w:szCs w:val="18"/>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6"/>
              </w:rPr>
              <w:t>END FAIR</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spacing w:after="0"/>
              <w:rPr>
                <w:sz w:val="10"/>
                <w:szCs w:val="10"/>
                <w:color w:val="auto"/>
              </w:rPr>
            </w:pP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FAIR</w:t>
            </w:r>
          </w:p>
        </w:tc>
        <w:tc>
          <w:tcPr>
            <w:tcW w:w="20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82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spacing w:after="0"/>
              <w:rPr>
                <w:sz w:val="10"/>
                <w:szCs w:val="10"/>
                <w:color w:val="auto"/>
              </w:rPr>
            </w:pP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7"/>
              </w:rPr>
              <w:t>VALUE OF</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PLUS YEAR</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4"/>
              </w:rPr>
              <w:t>VALUE AT</w:t>
            </w:r>
          </w:p>
        </w:tc>
        <w:tc>
          <w:tcPr>
            <w:tcW w:w="980" w:type="dxa"/>
            <w:vAlign w:val="bottom"/>
            <w:gridSpan w:val="2"/>
            <w:shd w:val="clear" w:color="auto" w:fill="0BC11C"/>
          </w:tcPr>
          <w:p>
            <w:pPr>
              <w:jc w:val="center"/>
              <w:ind w:right="15"/>
              <w:spacing w:after="0" w:line="122" w:lineRule="exact"/>
              <w:rPr>
                <w:sz w:val="20"/>
                <w:szCs w:val="20"/>
                <w:color w:val="auto"/>
              </w:rPr>
            </w:pPr>
            <w:r>
              <w:rPr>
                <w:rFonts w:ascii="Arial" w:cs="Arial" w:eastAsia="Arial" w:hAnsi="Arial"/>
                <w:sz w:val="11"/>
                <w:szCs w:val="11"/>
                <w:b w:val="1"/>
                <w:bCs w:val="1"/>
                <w:color w:val="FFFFFF"/>
                <w:w w:val="98"/>
              </w:rPr>
              <w:t>PLUS YEAR</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MINUS FAIR</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spacing w:after="0"/>
              <w:rPr>
                <w:sz w:val="10"/>
                <w:szCs w:val="10"/>
                <w:color w:val="auto"/>
              </w:rPr>
            </w:pP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99"/>
              <w:spacing w:after="0" w:line="122" w:lineRule="exact"/>
              <w:rPr>
                <w:sz w:val="20"/>
                <w:szCs w:val="20"/>
                <w:color w:val="auto"/>
              </w:rPr>
            </w:pPr>
            <w:r>
              <w:rPr>
                <w:rFonts w:ascii="Arial" w:cs="Arial" w:eastAsia="Arial" w:hAnsi="Arial"/>
                <w:sz w:val="11"/>
                <w:szCs w:val="11"/>
                <w:b w:val="1"/>
                <w:bCs w:val="1"/>
                <w:color w:val="FFFFFF"/>
                <w:w w:val="97"/>
              </w:rPr>
              <w:t>EQUITY</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OVER YEAR</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VESTING</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OVER YEAR</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4"/>
              </w:rPr>
              <w:t>VALUE AT</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PLUS VALUE OF</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99"/>
              <w:spacing w:after="0" w:line="122" w:lineRule="exact"/>
              <w:rPr>
                <w:sz w:val="20"/>
                <w:szCs w:val="20"/>
                <w:color w:val="auto"/>
              </w:rPr>
            </w:pPr>
            <w:r>
              <w:rPr>
                <w:rFonts w:ascii="Arial" w:cs="Arial" w:eastAsia="Arial" w:hAnsi="Arial"/>
                <w:sz w:val="11"/>
                <w:szCs w:val="11"/>
                <w:b w:val="1"/>
                <w:bCs w:val="1"/>
                <w:color w:val="FFFFFF"/>
                <w:w w:val="96"/>
              </w:rPr>
              <w:t>AWARDS</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CHANGE IN</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OF OPTION</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CHANGE IN</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THE END OF</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DIVIDENDS OR</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9"/>
              </w:rPr>
              <w:t>GRANTED</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FAIR VALUE AS</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2"/>
              </w:rPr>
              <w:t>AWARDS</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FAIR VALUE</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THE PRIOR</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jc w:val="center"/>
              <w:ind w:right="75"/>
              <w:spacing w:after="0" w:line="122" w:lineRule="exact"/>
              <w:rPr>
                <w:sz w:val="20"/>
                <w:szCs w:val="20"/>
                <w:color w:val="auto"/>
              </w:rPr>
            </w:pPr>
            <w:r>
              <w:rPr>
                <w:rFonts w:ascii="Arial" w:cs="Arial" w:eastAsia="Arial" w:hAnsi="Arial"/>
                <w:sz w:val="11"/>
                <w:szCs w:val="11"/>
                <w:b w:val="1"/>
                <w:bCs w:val="1"/>
                <w:color w:val="FFFFFF"/>
                <w:w w:val="93"/>
              </w:rPr>
              <w:t>OTHER</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96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DURING THE</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OF THE LAST</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2"/>
              </w:rPr>
              <w:t>AND</w:t>
            </w:r>
          </w:p>
        </w:tc>
        <w:tc>
          <w:tcPr>
            <w:tcW w:w="980" w:type="dxa"/>
            <w:vAlign w:val="bottom"/>
            <w:gridSpan w:val="2"/>
            <w:shd w:val="clear" w:color="auto" w:fill="0BC11C"/>
          </w:tcPr>
          <w:p>
            <w:pPr>
              <w:jc w:val="center"/>
              <w:ind w:right="15"/>
              <w:spacing w:after="0" w:line="122" w:lineRule="exact"/>
              <w:rPr>
                <w:sz w:val="20"/>
                <w:szCs w:val="20"/>
                <w:color w:val="auto"/>
              </w:rPr>
            </w:pPr>
            <w:r>
              <w:rPr>
                <w:rFonts w:ascii="Arial" w:cs="Arial" w:eastAsia="Arial" w:hAnsi="Arial"/>
                <w:sz w:val="11"/>
                <w:szCs w:val="11"/>
                <w:b w:val="1"/>
                <w:bCs w:val="1"/>
                <w:color w:val="FFFFFF"/>
                <w:w w:val="98"/>
              </w:rPr>
              <w:t>AS OF THE</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YEAR OF</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EARNINGS PAID</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9"/>
              </w:rPr>
              <w:t>COVERED</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DAY OF THE</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STOCK</w:t>
            </w:r>
          </w:p>
        </w:tc>
        <w:tc>
          <w:tcPr>
            <w:tcW w:w="200" w:type="dxa"/>
            <w:vAlign w:val="bottom"/>
            <w:shd w:val="clear" w:color="auto" w:fill="0BC11C"/>
          </w:tcPr>
          <w:p>
            <w:pPr>
              <w:spacing w:after="0"/>
              <w:rPr>
                <w:sz w:val="10"/>
                <w:szCs w:val="10"/>
                <w:color w:val="auto"/>
              </w:rPr>
            </w:pPr>
          </w:p>
        </w:tc>
        <w:tc>
          <w:tcPr>
            <w:tcW w:w="780" w:type="dxa"/>
            <w:vAlign w:val="bottom"/>
            <w:shd w:val="clear" w:color="auto" w:fill="0BC11C"/>
          </w:tcPr>
          <w:p>
            <w:pPr>
              <w:jc w:val="center"/>
              <w:ind w:right="195"/>
              <w:spacing w:after="0" w:line="122" w:lineRule="exact"/>
              <w:rPr>
                <w:sz w:val="20"/>
                <w:szCs w:val="20"/>
                <w:color w:val="auto"/>
              </w:rPr>
            </w:pPr>
            <w:r>
              <w:rPr>
                <w:rFonts w:ascii="Arial" w:cs="Arial" w:eastAsia="Arial" w:hAnsi="Arial"/>
                <w:sz w:val="11"/>
                <w:szCs w:val="11"/>
                <w:b w:val="1"/>
                <w:bCs w:val="1"/>
                <w:color w:val="FFFFFF"/>
                <w:w w:val="99"/>
              </w:rPr>
              <w:t>VESTING</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EQUITY</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ON STOCK OR</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020" w:type="dxa"/>
            <w:vAlign w:val="bottom"/>
            <w:gridSpan w:val="2"/>
            <w:shd w:val="clear" w:color="auto" w:fill="0BC11C"/>
          </w:tcPr>
          <w:p>
            <w:pPr>
              <w:jc w:val="center"/>
              <w:ind w:right="35"/>
              <w:spacing w:after="0" w:line="122" w:lineRule="exact"/>
              <w:rPr>
                <w:sz w:val="20"/>
                <w:szCs w:val="20"/>
                <w:color w:val="auto"/>
              </w:rPr>
            </w:pPr>
            <w:r>
              <w:rPr>
                <w:rFonts w:ascii="Arial" w:cs="Arial" w:eastAsia="Arial" w:hAnsi="Arial"/>
                <w:sz w:val="11"/>
                <w:szCs w:val="11"/>
                <w:b w:val="1"/>
                <w:bCs w:val="1"/>
                <w:color w:val="FFFFFF"/>
                <w:w w:val="98"/>
              </w:rPr>
              <w:t>MINUS STOCK</w:t>
            </w: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99"/>
              <w:spacing w:after="0" w:line="122" w:lineRule="exact"/>
              <w:rPr>
                <w:sz w:val="20"/>
                <w:szCs w:val="20"/>
                <w:color w:val="auto"/>
              </w:rPr>
            </w:pPr>
            <w:r>
              <w:rPr>
                <w:rFonts w:ascii="Arial" w:cs="Arial" w:eastAsia="Arial" w:hAnsi="Arial"/>
                <w:sz w:val="11"/>
                <w:szCs w:val="11"/>
                <w:b w:val="1"/>
                <w:bCs w:val="1"/>
                <w:color w:val="FFFFFF"/>
                <w:w w:val="95"/>
              </w:rPr>
              <w:t>YEAR THAT</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196"/>
              <w:spacing w:after="0" w:line="122" w:lineRule="exact"/>
              <w:rPr>
                <w:sz w:val="20"/>
                <w:szCs w:val="20"/>
                <w:color w:val="auto"/>
              </w:rPr>
            </w:pPr>
            <w:r>
              <w:rPr>
                <w:rFonts w:ascii="Arial" w:cs="Arial" w:eastAsia="Arial" w:hAnsi="Arial"/>
                <w:sz w:val="11"/>
                <w:szCs w:val="11"/>
                <w:b w:val="1"/>
                <w:bCs w:val="1"/>
                <w:color w:val="FFFFFF"/>
                <w:w w:val="99"/>
              </w:rPr>
              <w:t>COVERED</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2"/>
              </w:rPr>
              <w:t>AWARDS</w:t>
            </w:r>
          </w:p>
        </w:tc>
        <w:tc>
          <w:tcPr>
            <w:tcW w:w="200" w:type="dxa"/>
            <w:vAlign w:val="bottom"/>
            <w:shd w:val="clear" w:color="auto" w:fill="0BC11C"/>
          </w:tcPr>
          <w:p>
            <w:pPr>
              <w:spacing w:after="0"/>
              <w:rPr>
                <w:sz w:val="10"/>
                <w:szCs w:val="10"/>
                <w:color w:val="auto"/>
              </w:rPr>
            </w:pPr>
          </w:p>
        </w:tc>
        <w:tc>
          <w:tcPr>
            <w:tcW w:w="780" w:type="dxa"/>
            <w:vAlign w:val="bottom"/>
            <w:shd w:val="clear" w:color="auto" w:fill="0BC11C"/>
          </w:tcPr>
          <w:p>
            <w:pPr>
              <w:jc w:val="center"/>
              <w:ind w:right="195"/>
              <w:spacing w:after="0" w:line="122" w:lineRule="exact"/>
              <w:rPr>
                <w:sz w:val="20"/>
                <w:szCs w:val="20"/>
                <w:color w:val="auto"/>
              </w:rPr>
            </w:pPr>
            <w:r>
              <w:rPr>
                <w:rFonts w:ascii="Arial" w:cs="Arial" w:eastAsia="Arial" w:hAnsi="Arial"/>
                <w:sz w:val="11"/>
                <w:szCs w:val="11"/>
                <w:b w:val="1"/>
                <w:bCs w:val="1"/>
                <w:color w:val="FFFFFF"/>
                <w:w w:val="99"/>
              </w:rPr>
              <w:t>DATE OF</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jc w:val="center"/>
              <w:ind w:right="75"/>
              <w:spacing w:after="0" w:line="122" w:lineRule="exact"/>
              <w:rPr>
                <w:sz w:val="20"/>
                <w:szCs w:val="20"/>
                <w:color w:val="auto"/>
              </w:rPr>
            </w:pPr>
            <w:r>
              <w:rPr>
                <w:rFonts w:ascii="Arial" w:cs="Arial" w:eastAsia="Arial" w:hAnsi="Arial"/>
                <w:sz w:val="11"/>
                <w:szCs w:val="11"/>
                <w:b w:val="1"/>
                <w:bCs w:val="1"/>
                <w:color w:val="FFFFFF"/>
                <w:w w:val="94"/>
              </w:rPr>
              <w:t>OPTION</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jc w:val="center"/>
              <w:ind w:right="195"/>
              <w:spacing w:after="0" w:line="122" w:lineRule="exact"/>
              <w:rPr>
                <w:sz w:val="20"/>
                <w:szCs w:val="20"/>
                <w:color w:val="auto"/>
              </w:rPr>
            </w:pPr>
            <w:r>
              <w:rPr>
                <w:rFonts w:ascii="Arial" w:cs="Arial" w:eastAsia="Arial" w:hAnsi="Arial"/>
                <w:sz w:val="11"/>
                <w:szCs w:val="11"/>
                <w:b w:val="1"/>
                <w:bCs w:val="1"/>
                <w:color w:val="FFFFFF"/>
                <w:w w:val="94"/>
              </w:rPr>
              <w:t>AWARD</w:t>
            </w: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6"/>
              </w:rPr>
              <w:t>REMAIN</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216"/>
              <w:spacing w:after="0" w:line="122" w:lineRule="exact"/>
              <w:rPr>
                <w:sz w:val="20"/>
                <w:szCs w:val="20"/>
                <w:color w:val="auto"/>
              </w:rPr>
            </w:pPr>
            <w:r>
              <w:rPr>
                <w:rFonts w:ascii="Arial" w:cs="Arial" w:eastAsia="Arial" w:hAnsi="Arial"/>
                <w:sz w:val="11"/>
                <w:szCs w:val="11"/>
                <w:b w:val="1"/>
                <w:bCs w:val="1"/>
                <w:color w:val="FFFFFF"/>
                <w:w w:val="98"/>
              </w:rPr>
              <w:t>YEAR OF</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GRANTED</w:t>
            </w:r>
          </w:p>
        </w:tc>
        <w:tc>
          <w:tcPr>
            <w:tcW w:w="200" w:type="dxa"/>
            <w:vAlign w:val="bottom"/>
            <w:shd w:val="clear" w:color="auto" w:fill="0BC11C"/>
          </w:tcPr>
          <w:p>
            <w:pPr>
              <w:spacing w:after="0"/>
              <w:rPr>
                <w:sz w:val="10"/>
                <w:szCs w:val="10"/>
                <w:color w:val="auto"/>
              </w:rPr>
            </w:pPr>
          </w:p>
        </w:tc>
        <w:tc>
          <w:tcPr>
            <w:tcW w:w="780" w:type="dxa"/>
            <w:vAlign w:val="bottom"/>
            <w:shd w:val="clear" w:color="auto" w:fill="0BC11C"/>
          </w:tcPr>
          <w:p>
            <w:pPr>
              <w:jc w:val="center"/>
              <w:ind w:right="195"/>
              <w:spacing w:after="0" w:line="122" w:lineRule="exact"/>
              <w:rPr>
                <w:sz w:val="20"/>
                <w:szCs w:val="20"/>
                <w:color w:val="auto"/>
              </w:rPr>
            </w:pPr>
            <w:r>
              <w:rPr>
                <w:rFonts w:ascii="Arial" w:cs="Arial" w:eastAsia="Arial" w:hAnsi="Arial"/>
                <w:sz w:val="11"/>
                <w:szCs w:val="11"/>
                <w:b w:val="1"/>
                <w:bCs w:val="1"/>
                <w:color w:val="FFFFFF"/>
                <w:w w:val="97"/>
              </w:rPr>
              <w:t>EQUITY</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THAT</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4"/>
              </w:rPr>
              <w:t>AWARDS NOT</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jc w:val="center"/>
              <w:ind w:right="175"/>
              <w:spacing w:after="0" w:line="122" w:lineRule="exact"/>
              <w:rPr>
                <w:sz w:val="20"/>
                <w:szCs w:val="20"/>
                <w:color w:val="auto"/>
              </w:rPr>
            </w:pPr>
            <w:r>
              <w:rPr>
                <w:rFonts w:ascii="Arial" w:cs="Arial" w:eastAsia="Arial" w:hAnsi="Arial"/>
                <w:sz w:val="11"/>
                <w:szCs w:val="11"/>
                <w:b w:val="1"/>
                <w:bCs w:val="1"/>
                <w:color w:val="FFFFFF"/>
                <w:w w:val="95"/>
              </w:rPr>
              <w:t>VALUE &amp;</w:t>
            </w:r>
          </w:p>
        </w:tc>
        <w:tc>
          <w:tcPr>
            <w:tcW w:w="96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OUTSTANDING</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OUTSTANDING</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rPr>
              <w:t>IN FISCAL</w:t>
            </w:r>
          </w:p>
        </w:tc>
        <w:tc>
          <w:tcPr>
            <w:tcW w:w="200" w:type="dxa"/>
            <w:vAlign w:val="bottom"/>
            <w:shd w:val="clear" w:color="auto" w:fill="0BC11C"/>
          </w:tcPr>
          <w:p>
            <w:pPr>
              <w:spacing w:after="0"/>
              <w:rPr>
                <w:sz w:val="10"/>
                <w:szCs w:val="10"/>
                <w:color w:val="auto"/>
              </w:rPr>
            </w:pPr>
          </w:p>
        </w:tc>
        <w:tc>
          <w:tcPr>
            <w:tcW w:w="780" w:type="dxa"/>
            <w:vAlign w:val="bottom"/>
            <w:shd w:val="clear" w:color="auto" w:fill="0BC11C"/>
          </w:tcPr>
          <w:p>
            <w:pPr>
              <w:jc w:val="center"/>
              <w:ind w:right="195"/>
              <w:spacing w:after="0" w:line="122" w:lineRule="exact"/>
              <w:rPr>
                <w:sz w:val="20"/>
                <w:szCs w:val="20"/>
                <w:color w:val="auto"/>
              </w:rPr>
            </w:pPr>
            <w:r>
              <w:rPr>
                <w:rFonts w:ascii="Arial" w:cs="Arial" w:eastAsia="Arial" w:hAnsi="Arial"/>
                <w:sz w:val="11"/>
                <w:szCs w:val="11"/>
                <w:b w:val="1"/>
                <w:bCs w:val="1"/>
                <w:color w:val="FFFFFF"/>
                <w:w w:val="96"/>
              </w:rPr>
              <w:t>AWARDS</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FAILED TO</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jc w:val="center"/>
              <w:ind w:right="75"/>
              <w:spacing w:after="0" w:line="122" w:lineRule="exact"/>
              <w:rPr>
                <w:sz w:val="20"/>
                <w:szCs w:val="20"/>
                <w:color w:val="auto"/>
              </w:rPr>
            </w:pPr>
            <w:r>
              <w:rPr>
                <w:rFonts w:ascii="Arial" w:cs="Arial" w:eastAsia="Arial" w:hAnsi="Arial"/>
                <w:sz w:val="11"/>
                <w:szCs w:val="11"/>
                <w:b w:val="1"/>
                <w:bCs w:val="1"/>
                <w:color w:val="FFFFFF"/>
                <w:w w:val="95"/>
              </w:rPr>
              <w:t>OTHERWISE</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jc w:val="center"/>
              <w:ind w:right="175"/>
              <w:spacing w:after="0" w:line="122" w:lineRule="exact"/>
              <w:rPr>
                <w:sz w:val="20"/>
                <w:szCs w:val="20"/>
                <w:color w:val="auto"/>
              </w:rPr>
            </w:pPr>
            <w:r>
              <w:rPr>
                <w:rFonts w:ascii="Arial" w:cs="Arial" w:eastAsia="Arial" w:hAnsi="Arial"/>
                <w:sz w:val="11"/>
                <w:szCs w:val="11"/>
                <w:b w:val="1"/>
                <w:bCs w:val="1"/>
                <w:color w:val="FFFFFF"/>
                <w:w w:val="99"/>
              </w:rPr>
              <w:t>OPTION</w:t>
            </w: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99"/>
              <w:spacing w:after="0" w:line="122" w:lineRule="exact"/>
              <w:rPr>
                <w:sz w:val="20"/>
                <w:szCs w:val="20"/>
                <w:color w:val="auto"/>
              </w:rPr>
            </w:pPr>
            <w:r>
              <w:rPr>
                <w:rFonts w:ascii="Arial" w:cs="Arial" w:eastAsia="Arial" w:hAnsi="Arial"/>
                <w:sz w:val="11"/>
                <w:szCs w:val="11"/>
                <w:b w:val="1"/>
                <w:bCs w:val="1"/>
                <w:color w:val="FFFFFF"/>
              </w:rPr>
              <w:t>AND</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196"/>
              <w:spacing w:after="0" w:line="122" w:lineRule="exact"/>
              <w:rPr>
                <w:sz w:val="20"/>
                <w:szCs w:val="20"/>
                <w:color w:val="auto"/>
              </w:rPr>
            </w:pPr>
            <w:r>
              <w:rPr>
                <w:rFonts w:ascii="Arial" w:cs="Arial" w:eastAsia="Arial" w:hAnsi="Arial"/>
                <w:sz w:val="11"/>
                <w:szCs w:val="11"/>
                <w:b w:val="1"/>
                <w:bCs w:val="1"/>
                <w:color w:val="FFFFFF"/>
                <w:w w:val="92"/>
              </w:rPr>
              <w:t>AND</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YEAR</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GRANTED IN</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MEET</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REFLECTED IN</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020" w:type="dxa"/>
            <w:vAlign w:val="bottom"/>
            <w:gridSpan w:val="2"/>
            <w:shd w:val="clear" w:color="auto" w:fill="0BC11C"/>
          </w:tcPr>
          <w:p>
            <w:pPr>
              <w:jc w:val="center"/>
              <w:ind w:right="35"/>
              <w:spacing w:after="0" w:line="122" w:lineRule="exact"/>
              <w:rPr>
                <w:sz w:val="20"/>
                <w:szCs w:val="20"/>
                <w:color w:val="auto"/>
              </w:rPr>
            </w:pPr>
            <w:r>
              <w:rPr>
                <w:rFonts w:ascii="Arial" w:cs="Arial" w:eastAsia="Arial" w:hAnsi="Arial"/>
                <w:sz w:val="11"/>
                <w:szCs w:val="11"/>
                <w:b w:val="1"/>
                <w:bCs w:val="1"/>
                <w:color w:val="FFFFFF"/>
                <w:w w:val="96"/>
              </w:rPr>
              <w:t>AWARD VALUE</w:t>
            </w:r>
          </w:p>
        </w:tc>
        <w:tc>
          <w:tcPr>
            <w:tcW w:w="96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UNVESTED AS</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196"/>
              <w:spacing w:after="0" w:line="122" w:lineRule="exact"/>
              <w:rPr>
                <w:sz w:val="20"/>
                <w:szCs w:val="20"/>
                <w:color w:val="auto"/>
              </w:rPr>
            </w:pPr>
            <w:r>
              <w:rPr>
                <w:rFonts w:ascii="Arial" w:cs="Arial" w:eastAsia="Arial" w:hAnsi="Arial"/>
                <w:sz w:val="11"/>
                <w:szCs w:val="11"/>
                <w:b w:val="1"/>
                <w:bCs w:val="1"/>
                <w:color w:val="FFFFFF"/>
                <w:w w:val="96"/>
              </w:rPr>
              <w:t>UNVESTED</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THAT</w:t>
            </w:r>
          </w:p>
        </w:tc>
        <w:tc>
          <w:tcPr>
            <w:tcW w:w="980" w:type="dxa"/>
            <w:vAlign w:val="bottom"/>
            <w:gridSpan w:val="2"/>
            <w:shd w:val="clear" w:color="auto" w:fill="0BC11C"/>
          </w:tcPr>
          <w:p>
            <w:pPr>
              <w:jc w:val="center"/>
              <w:ind w:right="15"/>
              <w:spacing w:after="0" w:line="122" w:lineRule="exact"/>
              <w:rPr>
                <w:sz w:val="20"/>
                <w:szCs w:val="20"/>
                <w:color w:val="auto"/>
              </w:rPr>
            </w:pPr>
            <w:r>
              <w:rPr>
                <w:rFonts w:ascii="Arial" w:cs="Arial" w:eastAsia="Arial" w:hAnsi="Arial"/>
                <w:sz w:val="11"/>
                <w:szCs w:val="11"/>
                <w:b w:val="1"/>
                <w:bCs w:val="1"/>
                <w:color w:val="FFFFFF"/>
                <w:w w:val="97"/>
              </w:rPr>
              <w:t>PRIOR YEARS</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VESTING</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FAIR VALUE OR</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020" w:type="dxa"/>
            <w:vAlign w:val="bottom"/>
            <w:gridSpan w:val="2"/>
            <w:shd w:val="clear" w:color="auto" w:fill="0BC11C"/>
          </w:tcPr>
          <w:p>
            <w:pPr>
              <w:jc w:val="center"/>
              <w:ind w:right="15"/>
              <w:spacing w:after="0" w:line="122" w:lineRule="exact"/>
              <w:rPr>
                <w:sz w:val="20"/>
                <w:szCs w:val="20"/>
                <w:color w:val="auto"/>
              </w:rPr>
            </w:pPr>
            <w:r>
              <w:rPr>
                <w:rFonts w:ascii="Arial" w:cs="Arial" w:eastAsia="Arial" w:hAnsi="Arial"/>
                <w:sz w:val="11"/>
                <w:szCs w:val="11"/>
                <w:b w:val="1"/>
                <w:bCs w:val="1"/>
                <w:color w:val="FFFFFF"/>
                <w:w w:val="98"/>
              </w:rPr>
              <w:t>REPORTED IN</w:t>
            </w:r>
          </w:p>
        </w:tc>
        <w:tc>
          <w:tcPr>
            <w:tcW w:w="96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OF LAST DAY</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196"/>
              <w:spacing w:after="0" w:line="122" w:lineRule="exact"/>
              <w:rPr>
                <w:sz w:val="20"/>
                <w:szCs w:val="20"/>
                <w:color w:val="auto"/>
              </w:rPr>
            </w:pPr>
            <w:r>
              <w:rPr>
                <w:rFonts w:ascii="Arial" w:cs="Arial" w:eastAsia="Arial" w:hAnsi="Arial"/>
                <w:sz w:val="11"/>
                <w:szCs w:val="11"/>
                <w:b w:val="1"/>
                <w:bCs w:val="1"/>
                <w:color w:val="FFFFFF"/>
              </w:rPr>
              <w:t>EQUITY</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VESTED</w:t>
            </w:r>
          </w:p>
        </w:tc>
        <w:tc>
          <w:tcPr>
            <w:tcW w:w="980" w:type="dxa"/>
            <w:vAlign w:val="bottom"/>
            <w:gridSpan w:val="2"/>
            <w:shd w:val="clear" w:color="auto" w:fill="0BC11C"/>
          </w:tcPr>
          <w:p>
            <w:pPr>
              <w:jc w:val="center"/>
              <w:ind w:right="15"/>
              <w:spacing w:after="0" w:line="122" w:lineRule="exact"/>
              <w:rPr>
                <w:sz w:val="20"/>
                <w:szCs w:val="20"/>
                <w:color w:val="auto"/>
              </w:rPr>
            </w:pPr>
            <w:r>
              <w:rPr>
                <w:rFonts w:ascii="Arial" w:cs="Arial" w:eastAsia="Arial" w:hAnsi="Arial"/>
                <w:sz w:val="11"/>
                <w:szCs w:val="11"/>
                <w:b w:val="1"/>
                <w:bCs w:val="1"/>
                <w:color w:val="FFFFFF"/>
                <w:w w:val="96"/>
              </w:rPr>
              <w:t>THAT VESTED</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8"/>
              </w:rPr>
              <w:t>CONDITIONS</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jc w:val="center"/>
              <w:ind w:right="75"/>
              <w:spacing w:after="0" w:line="122" w:lineRule="exact"/>
              <w:rPr>
                <w:sz w:val="20"/>
                <w:szCs w:val="20"/>
                <w:color w:val="auto"/>
              </w:rPr>
            </w:pPr>
            <w:r>
              <w:rPr>
                <w:rFonts w:ascii="Arial" w:cs="Arial" w:eastAsia="Arial" w:hAnsi="Arial"/>
                <w:sz w:val="11"/>
                <w:szCs w:val="11"/>
                <w:b w:val="1"/>
                <w:bCs w:val="1"/>
                <w:color w:val="FFFFFF"/>
                <w:w w:val="98"/>
              </w:rPr>
              <w:t>TOTRAL</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1"/>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spacing w:after="0"/>
              <w:rPr>
                <w:sz w:val="10"/>
                <w:szCs w:val="10"/>
                <w:color w:val="auto"/>
              </w:rPr>
            </w:pP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020" w:type="dxa"/>
            <w:vAlign w:val="bottom"/>
            <w:gridSpan w:val="2"/>
            <w:shd w:val="clear" w:color="auto" w:fill="0BC11C"/>
          </w:tcPr>
          <w:p>
            <w:pPr>
              <w:jc w:val="center"/>
              <w:ind w:right="35"/>
              <w:spacing w:after="0" w:line="122" w:lineRule="exact"/>
              <w:rPr>
                <w:sz w:val="20"/>
                <w:szCs w:val="20"/>
                <w:color w:val="auto"/>
              </w:rPr>
            </w:pPr>
            <w:r>
              <w:rPr>
                <w:rFonts w:ascii="Arial" w:cs="Arial" w:eastAsia="Arial" w:hAnsi="Arial"/>
                <w:sz w:val="11"/>
                <w:szCs w:val="11"/>
                <w:b w:val="1"/>
                <w:bCs w:val="1"/>
                <w:color w:val="FFFFFF"/>
                <w:w w:val="98"/>
              </w:rPr>
              <w:t>SCT FOR THE</w:t>
            </w: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99"/>
              <w:spacing w:after="0" w:line="122" w:lineRule="exact"/>
              <w:rPr>
                <w:sz w:val="20"/>
                <w:szCs w:val="20"/>
                <w:color w:val="auto"/>
              </w:rPr>
            </w:pPr>
            <w:r>
              <w:rPr>
                <w:rFonts w:ascii="Arial" w:cs="Arial" w:eastAsia="Arial" w:hAnsi="Arial"/>
                <w:sz w:val="11"/>
                <w:szCs w:val="11"/>
                <w:b w:val="1"/>
                <w:bCs w:val="1"/>
                <w:color w:val="FFFFFF"/>
                <w:w w:val="99"/>
              </w:rPr>
              <w:t>OF THE</w:t>
            </w:r>
          </w:p>
        </w:tc>
        <w:tc>
          <w:tcPr>
            <w:tcW w:w="200" w:type="dxa"/>
            <w:vAlign w:val="bottom"/>
            <w:shd w:val="clear" w:color="auto" w:fill="0BC11C"/>
          </w:tcPr>
          <w:p>
            <w:pPr>
              <w:spacing w:after="0"/>
              <w:rPr>
                <w:sz w:val="10"/>
                <w:szCs w:val="10"/>
                <w:color w:val="auto"/>
              </w:rPr>
            </w:pPr>
          </w:p>
        </w:tc>
        <w:tc>
          <w:tcPr>
            <w:tcW w:w="840" w:type="dxa"/>
            <w:vAlign w:val="bottom"/>
            <w:shd w:val="clear" w:color="auto" w:fill="0BC11C"/>
          </w:tcPr>
          <w:p>
            <w:pPr>
              <w:jc w:val="center"/>
              <w:ind w:right="196"/>
              <w:spacing w:after="0" w:line="122" w:lineRule="exact"/>
              <w:rPr>
                <w:sz w:val="20"/>
                <w:szCs w:val="20"/>
                <w:color w:val="auto"/>
              </w:rPr>
            </w:pPr>
            <w:r>
              <w:rPr>
                <w:rFonts w:ascii="Arial" w:cs="Arial" w:eastAsia="Arial" w:hAnsi="Arial"/>
                <w:sz w:val="11"/>
                <w:szCs w:val="11"/>
                <w:b w:val="1"/>
                <w:bCs w:val="1"/>
                <w:color w:val="FFFFFF"/>
                <w:w w:val="92"/>
              </w:rPr>
              <w:t>AWARDS</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DURING</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DURING THE</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9"/>
              </w:rPr>
              <w:t>IN THE</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7"/>
              </w:rPr>
              <w:t>COMPENSATION</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22"/>
        </w:trPr>
        <w:tc>
          <w:tcPr>
            <w:tcW w:w="2000" w:type="dxa"/>
            <w:vAlign w:val="bottom"/>
            <w:shd w:val="clear" w:color="auto" w:fill="0BC11C"/>
          </w:tcPr>
          <w:p>
            <w:pPr>
              <w:spacing w:after="0"/>
              <w:rPr>
                <w:sz w:val="10"/>
                <w:szCs w:val="10"/>
                <w:color w:val="auto"/>
              </w:rPr>
            </w:pPr>
          </w:p>
        </w:tc>
        <w:tc>
          <w:tcPr>
            <w:tcW w:w="540" w:type="dxa"/>
            <w:vAlign w:val="bottom"/>
            <w:shd w:val="clear" w:color="auto" w:fill="0BC11C"/>
          </w:tcPr>
          <w:p>
            <w:pPr>
              <w:jc w:val="right"/>
              <w:spacing w:after="0" w:line="122" w:lineRule="exact"/>
              <w:rPr>
                <w:sz w:val="20"/>
                <w:szCs w:val="20"/>
                <w:color w:val="auto"/>
              </w:rPr>
            </w:pPr>
            <w:r>
              <w:rPr>
                <w:rFonts w:ascii="Arial" w:cs="Arial" w:eastAsia="Arial" w:hAnsi="Arial"/>
                <w:sz w:val="11"/>
                <w:szCs w:val="11"/>
                <w:b w:val="1"/>
                <w:bCs w:val="1"/>
                <w:color w:val="FFFFFF"/>
              </w:rPr>
              <w:t>FISCAL</w:t>
            </w:r>
          </w:p>
        </w:tc>
        <w:tc>
          <w:tcPr>
            <w:tcW w:w="140" w:type="dxa"/>
            <w:vAlign w:val="bottom"/>
            <w:shd w:val="clear" w:color="auto" w:fill="0BC11C"/>
          </w:tcPr>
          <w:p>
            <w:pPr>
              <w:spacing w:after="0"/>
              <w:rPr>
                <w:sz w:val="10"/>
                <w:szCs w:val="10"/>
                <w:color w:val="auto"/>
              </w:rPr>
            </w:pPr>
          </w:p>
        </w:tc>
        <w:tc>
          <w:tcPr>
            <w:tcW w:w="780" w:type="dxa"/>
            <w:vAlign w:val="bottom"/>
            <w:shd w:val="clear" w:color="auto" w:fill="0BC11C"/>
          </w:tcPr>
          <w:p>
            <w:pPr>
              <w:spacing w:after="0"/>
              <w:rPr>
                <w:sz w:val="10"/>
                <w:szCs w:val="10"/>
                <w:color w:val="auto"/>
              </w:rPr>
            </w:pPr>
          </w:p>
        </w:tc>
        <w:tc>
          <w:tcPr>
            <w:tcW w:w="160" w:type="dxa"/>
            <w:vAlign w:val="bottom"/>
            <w:shd w:val="clear" w:color="auto" w:fill="0BC11C"/>
          </w:tcPr>
          <w:p>
            <w:pPr>
              <w:spacing w:after="0"/>
              <w:rPr>
                <w:sz w:val="10"/>
                <w:szCs w:val="10"/>
                <w:color w:val="auto"/>
              </w:rPr>
            </w:pPr>
          </w:p>
        </w:tc>
        <w:tc>
          <w:tcPr>
            <w:tcW w:w="860" w:type="dxa"/>
            <w:vAlign w:val="bottom"/>
            <w:shd w:val="clear" w:color="auto" w:fill="0BC11C"/>
          </w:tcPr>
          <w:p>
            <w:pPr>
              <w:jc w:val="center"/>
              <w:ind w:right="175"/>
              <w:spacing w:after="0" w:line="122" w:lineRule="exact"/>
              <w:rPr>
                <w:sz w:val="20"/>
                <w:szCs w:val="20"/>
                <w:color w:val="auto"/>
              </w:rPr>
            </w:pPr>
            <w:r>
              <w:rPr>
                <w:rFonts w:ascii="Arial" w:cs="Arial" w:eastAsia="Arial" w:hAnsi="Arial"/>
                <w:sz w:val="11"/>
                <w:szCs w:val="11"/>
                <w:b w:val="1"/>
                <w:bCs w:val="1"/>
                <w:color w:val="FFFFFF"/>
                <w:w w:val="99"/>
              </w:rPr>
              <w:t>COVERED</w:t>
            </w:r>
          </w:p>
        </w:tc>
        <w:tc>
          <w:tcPr>
            <w:tcW w:w="160" w:type="dxa"/>
            <w:vAlign w:val="bottom"/>
            <w:shd w:val="clear" w:color="auto" w:fill="0BC11C"/>
          </w:tcPr>
          <w:p>
            <w:pPr>
              <w:spacing w:after="0"/>
              <w:rPr>
                <w:sz w:val="10"/>
                <w:szCs w:val="10"/>
                <w:color w:val="auto"/>
              </w:rPr>
            </w:pPr>
          </w:p>
        </w:tc>
        <w:tc>
          <w:tcPr>
            <w:tcW w:w="800" w:type="dxa"/>
            <w:vAlign w:val="bottom"/>
            <w:shd w:val="clear" w:color="auto" w:fill="0BC11C"/>
          </w:tcPr>
          <w:p>
            <w:pPr>
              <w:jc w:val="center"/>
              <w:ind w:right="79"/>
              <w:spacing w:after="0" w:line="122" w:lineRule="exact"/>
              <w:rPr>
                <w:sz w:val="20"/>
                <w:szCs w:val="20"/>
                <w:color w:val="auto"/>
              </w:rPr>
            </w:pPr>
            <w:r>
              <w:rPr>
                <w:rFonts w:ascii="Arial" w:cs="Arial" w:eastAsia="Arial" w:hAnsi="Arial"/>
                <w:sz w:val="11"/>
                <w:szCs w:val="11"/>
                <w:b w:val="1"/>
                <w:bCs w:val="1"/>
                <w:color w:val="FFFFFF"/>
                <w:w w:val="99"/>
              </w:rPr>
              <w:t>COVERED</w:t>
            </w:r>
          </w:p>
        </w:tc>
        <w:tc>
          <w:tcPr>
            <w:tcW w:w="104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6"/>
              </w:rPr>
              <w:t>GRANTED IN</w:t>
            </w:r>
          </w:p>
        </w:tc>
        <w:tc>
          <w:tcPr>
            <w:tcW w:w="74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FISCAL</w:t>
            </w:r>
          </w:p>
        </w:tc>
        <w:tc>
          <w:tcPr>
            <w:tcW w:w="980" w:type="dxa"/>
            <w:vAlign w:val="bottom"/>
            <w:gridSpan w:val="2"/>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COVERED</w:t>
            </w:r>
          </w:p>
        </w:tc>
        <w:tc>
          <w:tcPr>
            <w:tcW w:w="820" w:type="dxa"/>
            <w:vAlign w:val="bottom"/>
            <w:shd w:val="clear" w:color="auto" w:fill="0BC11C"/>
          </w:tcPr>
          <w:p>
            <w:pPr>
              <w:jc w:val="center"/>
              <w:spacing w:after="0" w:line="122" w:lineRule="exact"/>
              <w:rPr>
                <w:sz w:val="20"/>
                <w:szCs w:val="20"/>
                <w:color w:val="auto"/>
              </w:rPr>
            </w:pPr>
            <w:r>
              <w:rPr>
                <w:rFonts w:ascii="Arial" w:cs="Arial" w:eastAsia="Arial" w:hAnsi="Arial"/>
                <w:sz w:val="11"/>
                <w:szCs w:val="11"/>
                <w:b w:val="1"/>
                <w:bCs w:val="1"/>
                <w:color w:val="FFFFFF"/>
                <w:w w:val="95"/>
              </w:rPr>
              <w:t>COVERED</w:t>
            </w:r>
          </w:p>
        </w:tc>
        <w:tc>
          <w:tcPr>
            <w:tcW w:w="160" w:type="dxa"/>
            <w:vAlign w:val="bottom"/>
            <w:shd w:val="clear" w:color="auto" w:fill="0BC11C"/>
          </w:tcPr>
          <w:p>
            <w:pPr>
              <w:spacing w:after="0"/>
              <w:rPr>
                <w:sz w:val="10"/>
                <w:szCs w:val="10"/>
                <w:color w:val="auto"/>
              </w:rPr>
            </w:pPr>
          </w:p>
        </w:tc>
        <w:tc>
          <w:tcPr>
            <w:tcW w:w="820" w:type="dxa"/>
            <w:vAlign w:val="bottom"/>
            <w:shd w:val="clear" w:color="auto" w:fill="0BC11C"/>
          </w:tcPr>
          <w:p>
            <w:pPr>
              <w:jc w:val="center"/>
              <w:ind w:right="75"/>
              <w:spacing w:after="0" w:line="122" w:lineRule="exact"/>
              <w:rPr>
                <w:sz w:val="20"/>
                <w:szCs w:val="20"/>
                <w:color w:val="auto"/>
              </w:rPr>
            </w:pPr>
            <w:r>
              <w:rPr>
                <w:rFonts w:ascii="Arial" w:cs="Arial" w:eastAsia="Arial" w:hAnsi="Arial"/>
                <w:sz w:val="11"/>
                <w:szCs w:val="11"/>
                <w:b w:val="1"/>
                <w:bCs w:val="1"/>
                <w:color w:val="FFFFFF"/>
                <w:w w:val="99"/>
              </w:rPr>
              <w:t>FOR THE</w:t>
            </w:r>
          </w:p>
        </w:tc>
        <w:tc>
          <w:tcPr>
            <w:tcW w:w="220" w:type="dxa"/>
            <w:vAlign w:val="bottom"/>
            <w:shd w:val="clear" w:color="auto" w:fill="0BC11C"/>
          </w:tcPr>
          <w:p>
            <w:pPr>
              <w:spacing w:after="0"/>
              <w:rPr>
                <w:sz w:val="10"/>
                <w:szCs w:val="10"/>
                <w:color w:val="auto"/>
              </w:rPr>
            </w:pPr>
          </w:p>
        </w:tc>
        <w:tc>
          <w:tcPr>
            <w:tcW w:w="800" w:type="dxa"/>
            <w:vAlign w:val="bottom"/>
            <w:shd w:val="clear" w:color="auto" w:fill="0BC11C"/>
          </w:tcPr>
          <w:p>
            <w:pPr>
              <w:spacing w:after="0"/>
              <w:rPr>
                <w:sz w:val="10"/>
                <w:szCs w:val="10"/>
                <w:color w:val="auto"/>
              </w:rPr>
            </w:pPr>
          </w:p>
        </w:tc>
      </w:tr>
      <w:tr>
        <w:trPr>
          <w:trHeight w:val="194"/>
        </w:trPr>
        <w:tc>
          <w:tcPr>
            <w:tcW w:w="200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1"/>
                <w:szCs w:val="11"/>
                <w:b w:val="1"/>
                <w:bCs w:val="1"/>
                <w:color w:val="FFFFFF"/>
              </w:rPr>
              <w:t>NEO</w:t>
            </w:r>
          </w:p>
        </w:tc>
        <w:tc>
          <w:tcPr>
            <w:tcW w:w="540" w:type="dxa"/>
            <w:vAlign w:val="bottom"/>
            <w:tcBorders>
              <w:bottom w:val="single" w:sz="8" w:color="0BC11C"/>
            </w:tcBorders>
            <w:shd w:val="clear" w:color="auto" w:fill="0BC11C"/>
          </w:tcPr>
          <w:p>
            <w:pPr>
              <w:jc w:val="right"/>
              <w:ind w:right="32"/>
              <w:spacing w:after="0"/>
              <w:rPr>
                <w:sz w:val="20"/>
                <w:szCs w:val="20"/>
                <w:color w:val="auto"/>
              </w:rPr>
            </w:pPr>
            <w:r>
              <w:rPr>
                <w:rFonts w:ascii="Arial" w:cs="Arial" w:eastAsia="Arial" w:hAnsi="Arial"/>
                <w:sz w:val="11"/>
                <w:szCs w:val="11"/>
                <w:b w:val="1"/>
                <w:bCs w:val="1"/>
                <w:color w:val="FFFFFF"/>
              </w:rPr>
              <w:t>YEAR</w:t>
            </w:r>
          </w:p>
        </w:tc>
        <w:tc>
          <w:tcPr>
            <w:tcW w:w="140" w:type="dxa"/>
            <w:vAlign w:val="bottom"/>
            <w:tcBorders>
              <w:bottom w:val="single" w:sz="8" w:color="0BC11C"/>
            </w:tcBorders>
            <w:shd w:val="clear" w:color="auto" w:fill="0BC11C"/>
          </w:tcPr>
          <w:p>
            <w:pPr>
              <w:spacing w:after="0"/>
              <w:rPr>
                <w:sz w:val="16"/>
                <w:szCs w:val="16"/>
                <w:color w:val="auto"/>
              </w:rPr>
            </w:pPr>
          </w:p>
        </w:tc>
        <w:tc>
          <w:tcPr>
            <w:tcW w:w="780" w:type="dxa"/>
            <w:vAlign w:val="bottom"/>
            <w:tcBorders>
              <w:bottom w:val="single" w:sz="8" w:color="0BC11C"/>
            </w:tcBorders>
            <w:shd w:val="clear" w:color="auto" w:fill="0BC11C"/>
          </w:tcPr>
          <w:p>
            <w:pPr>
              <w:jc w:val="right"/>
              <w:ind w:right="90"/>
              <w:spacing w:after="0"/>
              <w:rPr>
                <w:sz w:val="20"/>
                <w:szCs w:val="20"/>
                <w:color w:val="auto"/>
              </w:rPr>
            </w:pPr>
            <w:r>
              <w:rPr>
                <w:rFonts w:ascii="Arial" w:cs="Arial" w:eastAsia="Arial" w:hAnsi="Arial"/>
                <w:sz w:val="11"/>
                <w:szCs w:val="11"/>
                <w:b w:val="1"/>
                <w:bCs w:val="1"/>
                <w:color w:val="FFFFFF"/>
                <w:w w:val="97"/>
              </w:rPr>
              <w:t>SCT TOTAL</w:t>
            </w:r>
          </w:p>
        </w:tc>
        <w:tc>
          <w:tcPr>
            <w:tcW w:w="160" w:type="dxa"/>
            <w:vAlign w:val="bottom"/>
            <w:tcBorders>
              <w:bottom w:val="single" w:sz="8" w:color="0BC11C"/>
            </w:tcBorders>
            <w:shd w:val="clear" w:color="auto" w:fill="0BC11C"/>
          </w:tcPr>
          <w:p>
            <w:pPr>
              <w:spacing w:after="0"/>
              <w:rPr>
                <w:sz w:val="16"/>
                <w:szCs w:val="16"/>
                <w:color w:val="auto"/>
              </w:rPr>
            </w:pPr>
          </w:p>
        </w:tc>
        <w:tc>
          <w:tcPr>
            <w:tcW w:w="860" w:type="dxa"/>
            <w:vAlign w:val="bottom"/>
            <w:tcBorders>
              <w:bottom w:val="single" w:sz="8" w:color="0BC11C"/>
            </w:tcBorders>
            <w:shd w:val="clear" w:color="auto" w:fill="0BC11C"/>
          </w:tcPr>
          <w:p>
            <w:pPr>
              <w:jc w:val="center"/>
              <w:ind w:right="175"/>
              <w:spacing w:after="0"/>
              <w:rPr>
                <w:sz w:val="20"/>
                <w:szCs w:val="20"/>
                <w:color w:val="auto"/>
              </w:rPr>
            </w:pPr>
            <w:r>
              <w:rPr>
                <w:rFonts w:ascii="Arial" w:cs="Arial" w:eastAsia="Arial" w:hAnsi="Arial"/>
                <w:sz w:val="11"/>
                <w:szCs w:val="11"/>
                <w:b w:val="1"/>
                <w:bCs w:val="1"/>
                <w:color w:val="FFFFFF"/>
                <w:w w:val="98"/>
              </w:rPr>
              <w:t>YEAR</w:t>
            </w:r>
          </w:p>
        </w:tc>
        <w:tc>
          <w:tcPr>
            <w:tcW w:w="160" w:type="dxa"/>
            <w:vAlign w:val="bottom"/>
            <w:tcBorders>
              <w:bottom w:val="single" w:sz="8" w:color="0BC11C"/>
            </w:tcBorders>
            <w:shd w:val="clear" w:color="auto" w:fill="0BC11C"/>
          </w:tcPr>
          <w:p>
            <w:pPr>
              <w:spacing w:after="0"/>
              <w:rPr>
                <w:sz w:val="16"/>
                <w:szCs w:val="16"/>
                <w:color w:val="auto"/>
              </w:rPr>
            </w:pPr>
          </w:p>
        </w:tc>
        <w:tc>
          <w:tcPr>
            <w:tcW w:w="800" w:type="dxa"/>
            <w:vAlign w:val="bottom"/>
            <w:tcBorders>
              <w:bottom w:val="single" w:sz="8" w:color="0BC11C"/>
            </w:tcBorders>
            <w:shd w:val="clear" w:color="auto" w:fill="0BC11C"/>
          </w:tcPr>
          <w:p>
            <w:pPr>
              <w:jc w:val="center"/>
              <w:ind w:right="79"/>
              <w:spacing w:after="0"/>
              <w:rPr>
                <w:sz w:val="20"/>
                <w:szCs w:val="20"/>
                <w:color w:val="auto"/>
              </w:rPr>
            </w:pPr>
            <w:r>
              <w:rPr>
                <w:rFonts w:ascii="Arial" w:cs="Arial" w:eastAsia="Arial" w:hAnsi="Arial"/>
                <w:sz w:val="11"/>
                <w:szCs w:val="11"/>
                <w:b w:val="1"/>
                <w:bCs w:val="1"/>
                <w:color w:val="FFFFFF"/>
                <w:w w:val="98"/>
              </w:rPr>
              <w:t>YEAR</w:t>
            </w:r>
          </w:p>
        </w:tc>
        <w:tc>
          <w:tcPr>
            <w:tcW w:w="1040" w:type="dxa"/>
            <w:vAlign w:val="bottom"/>
            <w:tcBorders>
              <w:bottom w:val="single" w:sz="8" w:color="0BC11C"/>
            </w:tcBorders>
            <w:gridSpan w:val="2"/>
            <w:shd w:val="clear" w:color="auto" w:fill="0BC11C"/>
          </w:tcPr>
          <w:p>
            <w:pPr>
              <w:jc w:val="center"/>
              <w:spacing w:after="0"/>
              <w:rPr>
                <w:sz w:val="20"/>
                <w:szCs w:val="20"/>
                <w:color w:val="auto"/>
              </w:rPr>
            </w:pPr>
            <w:r>
              <w:rPr>
                <w:rFonts w:ascii="Arial" w:cs="Arial" w:eastAsia="Arial" w:hAnsi="Arial"/>
                <w:sz w:val="11"/>
                <w:szCs w:val="11"/>
                <w:b w:val="1"/>
                <w:bCs w:val="1"/>
                <w:color w:val="FFFFFF"/>
                <w:w w:val="97"/>
              </w:rPr>
              <w:t>PRIOR YEARS</w:t>
            </w:r>
          </w:p>
        </w:tc>
        <w:tc>
          <w:tcPr>
            <w:tcW w:w="74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w w:val="98"/>
              </w:rPr>
              <w:t>YEAR</w:t>
            </w:r>
          </w:p>
        </w:tc>
        <w:tc>
          <w:tcPr>
            <w:tcW w:w="200" w:type="dxa"/>
            <w:vAlign w:val="bottom"/>
            <w:tcBorders>
              <w:bottom w:val="single" w:sz="8" w:color="0BC11C"/>
            </w:tcBorders>
            <w:shd w:val="clear" w:color="auto" w:fill="0BC11C"/>
          </w:tcPr>
          <w:p>
            <w:pPr>
              <w:spacing w:after="0"/>
              <w:rPr>
                <w:sz w:val="16"/>
                <w:szCs w:val="16"/>
                <w:color w:val="auto"/>
              </w:rPr>
            </w:pPr>
          </w:p>
        </w:tc>
        <w:tc>
          <w:tcPr>
            <w:tcW w:w="780" w:type="dxa"/>
            <w:vAlign w:val="bottom"/>
            <w:tcBorders>
              <w:bottom w:val="single" w:sz="8" w:color="0BC11C"/>
            </w:tcBorders>
            <w:shd w:val="clear" w:color="auto" w:fill="0BC11C"/>
          </w:tcPr>
          <w:p>
            <w:pPr>
              <w:jc w:val="center"/>
              <w:ind w:right="215"/>
              <w:spacing w:after="0"/>
              <w:rPr>
                <w:sz w:val="20"/>
                <w:szCs w:val="20"/>
                <w:color w:val="auto"/>
              </w:rPr>
            </w:pPr>
            <w:r>
              <w:rPr>
                <w:rFonts w:ascii="Arial" w:cs="Arial" w:eastAsia="Arial" w:hAnsi="Arial"/>
                <w:sz w:val="11"/>
                <w:szCs w:val="11"/>
                <w:b w:val="1"/>
                <w:bCs w:val="1"/>
                <w:color w:val="FFFFFF"/>
                <w:w w:val="98"/>
              </w:rPr>
              <w:t>YEAR</w:t>
            </w:r>
          </w:p>
        </w:tc>
        <w:tc>
          <w:tcPr>
            <w:tcW w:w="820" w:type="dxa"/>
            <w:vAlign w:val="bottom"/>
            <w:tcBorders>
              <w:bottom w:val="single" w:sz="8" w:color="0BC11C"/>
            </w:tcBorders>
            <w:shd w:val="clear" w:color="auto" w:fill="0BC11C"/>
          </w:tcPr>
          <w:p>
            <w:pPr>
              <w:jc w:val="center"/>
              <w:spacing w:after="0"/>
              <w:rPr>
                <w:sz w:val="20"/>
                <w:szCs w:val="20"/>
                <w:color w:val="auto"/>
              </w:rPr>
            </w:pPr>
            <w:r>
              <w:rPr>
                <w:rFonts w:ascii="Arial" w:cs="Arial" w:eastAsia="Arial" w:hAnsi="Arial"/>
                <w:sz w:val="11"/>
                <w:szCs w:val="11"/>
                <w:b w:val="1"/>
                <w:bCs w:val="1"/>
                <w:color w:val="FFFFFF"/>
                <w:w w:val="98"/>
              </w:rPr>
              <w:t>YEAR</w:t>
            </w:r>
          </w:p>
        </w:tc>
        <w:tc>
          <w:tcPr>
            <w:tcW w:w="980" w:type="dxa"/>
            <w:vAlign w:val="bottom"/>
            <w:tcBorders>
              <w:bottom w:val="single" w:sz="8" w:color="0BC11C"/>
            </w:tcBorders>
            <w:gridSpan w:val="2"/>
            <w:shd w:val="clear" w:color="auto" w:fill="0BC11C"/>
          </w:tcPr>
          <w:p>
            <w:pPr>
              <w:jc w:val="center"/>
              <w:spacing w:after="0"/>
              <w:rPr>
                <w:sz w:val="20"/>
                <w:szCs w:val="20"/>
                <w:color w:val="auto"/>
              </w:rPr>
            </w:pPr>
            <w:r>
              <w:rPr>
                <w:rFonts w:ascii="Arial" w:cs="Arial" w:eastAsia="Arial" w:hAnsi="Arial"/>
                <w:sz w:val="11"/>
                <w:szCs w:val="11"/>
                <w:b w:val="1"/>
                <w:bCs w:val="1"/>
                <w:color w:val="FFFFFF"/>
                <w:w w:val="99"/>
              </w:rPr>
              <w:t>COVERED YEAR</w:t>
            </w:r>
          </w:p>
        </w:tc>
        <w:tc>
          <w:tcPr>
            <w:tcW w:w="220" w:type="dxa"/>
            <w:vAlign w:val="bottom"/>
            <w:tcBorders>
              <w:bottom w:val="single" w:sz="8" w:color="0BC11C"/>
            </w:tcBorders>
            <w:shd w:val="clear" w:color="auto" w:fill="0BC11C"/>
          </w:tcPr>
          <w:p>
            <w:pPr>
              <w:spacing w:after="0"/>
              <w:rPr>
                <w:sz w:val="16"/>
                <w:szCs w:val="16"/>
                <w:color w:val="auto"/>
              </w:rPr>
            </w:pPr>
          </w:p>
        </w:tc>
        <w:tc>
          <w:tcPr>
            <w:tcW w:w="800" w:type="dxa"/>
            <w:vAlign w:val="bottom"/>
            <w:tcBorders>
              <w:bottom w:val="single" w:sz="8" w:color="0BC11C"/>
            </w:tcBorders>
            <w:shd w:val="clear" w:color="auto" w:fill="0BC11C"/>
          </w:tcPr>
          <w:p>
            <w:pPr>
              <w:jc w:val="right"/>
              <w:ind w:right="371"/>
              <w:spacing w:after="0"/>
              <w:rPr>
                <w:sz w:val="20"/>
                <w:szCs w:val="20"/>
                <w:color w:val="auto"/>
              </w:rPr>
            </w:pPr>
            <w:r>
              <w:rPr>
                <w:rFonts w:ascii="Arial" w:cs="Arial" w:eastAsia="Arial" w:hAnsi="Arial"/>
                <w:sz w:val="11"/>
                <w:szCs w:val="11"/>
                <w:b w:val="1"/>
                <w:bCs w:val="1"/>
                <w:color w:val="FFFFFF"/>
              </w:rPr>
              <w:t>CAP</w:t>
            </w:r>
          </w:p>
        </w:tc>
      </w:tr>
      <w:tr>
        <w:trPr>
          <w:trHeight w:val="169"/>
        </w:trPr>
        <w:tc>
          <w:tcPr>
            <w:tcW w:w="2000" w:type="dxa"/>
            <w:vAlign w:val="bottom"/>
            <w:tcBorders>
              <w:top w:val="single" w:sz="8" w:color="auto"/>
              <w:bottom w:val="single" w:sz="8" w:color="auto"/>
            </w:tcBorders>
            <w:shd w:val="clear" w:color="auto" w:fill="EDEDED"/>
          </w:tcPr>
          <w:p>
            <w:pPr>
              <w:ind w:left="60"/>
              <w:spacing w:after="0"/>
              <w:rPr>
                <w:sz w:val="20"/>
                <w:szCs w:val="20"/>
                <w:color w:val="auto"/>
              </w:rPr>
            </w:pPr>
            <w:r>
              <w:rPr>
                <w:rFonts w:ascii="Arial" w:cs="Arial" w:eastAsia="Arial" w:hAnsi="Arial"/>
                <w:sz w:val="14"/>
                <w:szCs w:val="14"/>
                <w:color w:val="auto"/>
              </w:rPr>
              <w:t>Thakral</w:t>
            </w:r>
          </w:p>
        </w:tc>
        <w:tc>
          <w:tcPr>
            <w:tcW w:w="5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2025</w:t>
            </w:r>
          </w:p>
        </w:tc>
        <w:tc>
          <w:tcPr>
            <w:tcW w:w="1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11,584,483</w:t>
            </w:r>
          </w:p>
        </w:tc>
        <w:tc>
          <w:tcPr>
            <w:tcW w:w="16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DEDED"/>
          </w:tcPr>
          <w:p>
            <w:pPr>
              <w:jc w:val="right"/>
              <w:ind w:right="15"/>
              <w:spacing w:after="0"/>
              <w:rPr>
                <w:sz w:val="20"/>
                <w:szCs w:val="20"/>
                <w:color w:val="auto"/>
              </w:rPr>
            </w:pPr>
            <w:r>
              <w:rPr>
                <w:rFonts w:ascii="Arial" w:cs="Arial" w:eastAsia="Arial" w:hAnsi="Arial"/>
                <w:sz w:val="14"/>
                <w:szCs w:val="14"/>
                <w:color w:val="auto"/>
              </w:rPr>
              <w:t>10,479,169)</w:t>
            </w:r>
          </w:p>
        </w:tc>
        <w:tc>
          <w:tcPr>
            <w:tcW w:w="16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DEDED"/>
          </w:tcPr>
          <w:p>
            <w:pPr>
              <w:jc w:val="right"/>
              <w:ind w:right="19"/>
              <w:spacing w:after="0"/>
              <w:rPr>
                <w:sz w:val="20"/>
                <w:szCs w:val="20"/>
                <w:color w:val="auto"/>
              </w:rPr>
            </w:pPr>
            <w:r>
              <w:rPr>
                <w:rFonts w:ascii="Arial" w:cs="Arial" w:eastAsia="Arial" w:hAnsi="Arial"/>
                <w:sz w:val="14"/>
                <w:szCs w:val="14"/>
                <w:color w:val="auto"/>
                <w:w w:val="99"/>
              </w:rPr>
              <w:t>30,832,512</w:t>
            </w:r>
          </w:p>
        </w:tc>
        <w:tc>
          <w:tcPr>
            <w:tcW w:w="200" w:type="dxa"/>
            <w:vAlign w:val="bottom"/>
            <w:tcBorders>
              <w:top w:val="single" w:sz="8" w:color="auto"/>
              <w:bottom w:val="single" w:sz="8" w:color="auto"/>
            </w:tcBorders>
            <w:shd w:val="clear" w:color="auto" w:fill="EDEDED"/>
          </w:tcPr>
          <w:p>
            <w:pPr>
              <w:spacing w:after="0"/>
              <w:rPr>
                <w:sz w:val="14"/>
                <w:szCs w:val="14"/>
                <w:color w:val="auto"/>
              </w:rPr>
            </w:pPr>
          </w:p>
        </w:tc>
        <w:tc>
          <w:tcPr>
            <w:tcW w:w="840" w:type="dxa"/>
            <w:vAlign w:val="bottom"/>
            <w:tcBorders>
              <w:top w:val="single" w:sz="8" w:color="auto"/>
              <w:bottom w:val="single" w:sz="8" w:color="auto"/>
            </w:tcBorders>
            <w:shd w:val="clear" w:color="auto" w:fill="EDEDED"/>
          </w:tcPr>
          <w:p>
            <w:pPr>
              <w:jc w:val="right"/>
              <w:ind w:right="56"/>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EDEDED"/>
          </w:tcPr>
          <w:p>
            <w:pPr>
              <w:spacing w:after="0"/>
              <w:rPr>
                <w:sz w:val="14"/>
                <w:szCs w:val="14"/>
                <w:color w:val="auto"/>
              </w:rPr>
            </w:pPr>
          </w:p>
        </w:tc>
        <w:tc>
          <w:tcPr>
            <w:tcW w:w="780" w:type="dxa"/>
            <w:vAlign w:val="bottom"/>
            <w:tcBorders>
              <w:top w:val="single" w:sz="8" w:color="auto"/>
              <w:bottom w:val="single" w:sz="8" w:color="auto"/>
            </w:tcBorders>
            <w:shd w:val="clear" w:color="auto" w:fill="EDEDED"/>
          </w:tcPr>
          <w:p>
            <w:pPr>
              <w:jc w:val="right"/>
              <w:ind w:right="75"/>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EDEDED"/>
          </w:tcPr>
          <w:p>
            <w:pPr>
              <w:spacing w:after="0"/>
              <w:rPr>
                <w:sz w:val="14"/>
                <w:szCs w:val="14"/>
                <w:color w:val="auto"/>
              </w:rPr>
            </w:pPr>
          </w:p>
        </w:tc>
        <w:tc>
          <w:tcPr>
            <w:tcW w:w="1840" w:type="dxa"/>
            <w:vAlign w:val="bottom"/>
            <w:tcBorders>
              <w:top w:val="single" w:sz="8" w:color="auto"/>
              <w:bottom w:val="single" w:sz="8" w:color="auto"/>
            </w:tcBorders>
            <w:gridSpan w:val="3"/>
            <w:shd w:val="clear" w:color="auto" w:fill="EDEDED"/>
          </w:tcPr>
          <w:p>
            <w:pPr>
              <w:jc w:val="right"/>
              <w:ind w:right="51"/>
              <w:spacing w:after="0"/>
              <w:rPr>
                <w:sz w:val="20"/>
                <w:szCs w:val="20"/>
                <w:color w:val="auto"/>
              </w:rPr>
            </w:pPr>
            <w:r>
              <w:rPr>
                <w:rFonts w:ascii="Arial" w:cs="Arial" w:eastAsia="Arial" w:hAnsi="Arial"/>
                <w:sz w:val="14"/>
                <w:szCs w:val="14"/>
                <w:color w:val="auto"/>
              </w:rPr>
              <w:t>— $ 31,937,826</w:t>
            </w:r>
          </w:p>
        </w:tc>
      </w:tr>
      <w:tr>
        <w:trPr>
          <w:trHeight w:val="16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Neupert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1,145,261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710,000)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2,562,246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101,001)</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2,896,506</w:t>
            </w:r>
          </w:p>
        </w:tc>
      </w:tr>
      <w:tr>
        <w:trPr>
          <w:trHeight w:val="169"/>
        </w:trPr>
        <w:tc>
          <w:tcPr>
            <w:tcW w:w="200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4"/>
                <w:szCs w:val="14"/>
                <w:color w:val="auto"/>
              </w:rPr>
              <w:t>Pike</w:t>
            </w:r>
          </w:p>
        </w:tc>
        <w:tc>
          <w:tcPr>
            <w:tcW w:w="5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7,984,877</w:t>
            </w:r>
          </w:p>
        </w:tc>
        <w:tc>
          <w:tcPr>
            <w:tcW w:w="160" w:type="dxa"/>
            <w:vAlign w:val="bottom"/>
            <w:tcBorders>
              <w:bottom w:val="single" w:sz="8" w:color="auto"/>
            </w:tcBorders>
            <w:shd w:val="clear" w:color="auto" w:fill="EDEDED"/>
          </w:tcPr>
          <w:p>
            <w:pPr>
              <w:spacing w:after="0"/>
              <w:rPr>
                <w:sz w:val="14"/>
                <w:szCs w:val="14"/>
                <w:color w:val="auto"/>
              </w:rPr>
            </w:pPr>
          </w:p>
        </w:tc>
        <w:tc>
          <w:tcPr>
            <w:tcW w:w="860" w:type="dxa"/>
            <w:vAlign w:val="bottom"/>
            <w:tcBorders>
              <w:bottom w:val="single" w:sz="8" w:color="auto"/>
            </w:tcBorders>
            <w:shd w:val="clear" w:color="auto" w:fill="EDEDED"/>
          </w:tcPr>
          <w:p>
            <w:pPr>
              <w:jc w:val="right"/>
              <w:ind w:right="55"/>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DEDED"/>
          </w:tcPr>
          <w:p>
            <w:pPr>
              <w:spacing w:after="0"/>
              <w:rPr>
                <w:sz w:val="14"/>
                <w:szCs w:val="14"/>
                <w:color w:val="auto"/>
              </w:rPr>
            </w:pPr>
          </w:p>
        </w:tc>
        <w:tc>
          <w:tcPr>
            <w:tcW w:w="800" w:type="dxa"/>
            <w:vAlign w:val="bottom"/>
            <w:tcBorders>
              <w:bottom w:val="single" w:sz="8" w:color="auto"/>
            </w:tcBorders>
            <w:shd w:val="clear" w:color="auto" w:fill="EDEDED"/>
          </w:tcPr>
          <w:p>
            <w:pPr>
              <w:jc w:val="right"/>
              <w:ind w:right="1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DEDED"/>
          </w:tcPr>
          <w:p>
            <w:pPr>
              <w:spacing w:after="0"/>
              <w:rPr>
                <w:sz w:val="14"/>
                <w:szCs w:val="14"/>
                <w:color w:val="auto"/>
              </w:rPr>
            </w:pPr>
          </w:p>
        </w:tc>
        <w:tc>
          <w:tcPr>
            <w:tcW w:w="840" w:type="dxa"/>
            <w:vAlign w:val="bottom"/>
            <w:tcBorders>
              <w:bottom w:val="single" w:sz="8" w:color="auto"/>
            </w:tcBorders>
            <w:shd w:val="clear" w:color="auto" w:fill="EDEDED"/>
          </w:tcPr>
          <w:p>
            <w:pPr>
              <w:jc w:val="right"/>
              <w:ind w:right="56"/>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EDEDED"/>
          </w:tcPr>
          <w:p>
            <w:pPr>
              <w:jc w:val="right"/>
              <w:spacing w:after="0"/>
              <w:rPr>
                <w:sz w:val="20"/>
                <w:szCs w:val="20"/>
                <w:color w:val="auto"/>
              </w:rPr>
            </w:pPr>
            <w:r>
              <w:rPr>
                <w:rFonts w:ascii="Arial" w:cs="Arial" w:eastAsia="Arial" w:hAnsi="Arial"/>
                <w:sz w:val="14"/>
                <w:szCs w:val="14"/>
                <w:color w:val="auto"/>
              </w:rPr>
              <w:t>$628,204  ($</w:t>
            </w:r>
          </w:p>
        </w:tc>
        <w:tc>
          <w:tcPr>
            <w:tcW w:w="780" w:type="dxa"/>
            <w:vAlign w:val="bottom"/>
            <w:tcBorders>
              <w:bottom w:val="single" w:sz="8" w:color="auto"/>
            </w:tcBorders>
            <w:shd w:val="clear" w:color="auto" w:fill="EDEDED"/>
          </w:tcPr>
          <w:p>
            <w:pPr>
              <w:jc w:val="right"/>
              <w:ind w:right="15"/>
              <w:spacing w:after="0"/>
              <w:rPr>
                <w:sz w:val="20"/>
                <w:szCs w:val="20"/>
                <w:color w:val="auto"/>
              </w:rPr>
            </w:pPr>
            <w:r>
              <w:rPr>
                <w:rFonts w:ascii="Arial" w:cs="Arial" w:eastAsia="Arial" w:hAnsi="Arial"/>
                <w:sz w:val="14"/>
                <w:szCs w:val="14"/>
                <w:color w:val="auto"/>
              </w:rPr>
              <w:t>5,318,715)</w:t>
            </w:r>
          </w:p>
        </w:tc>
        <w:tc>
          <w:tcPr>
            <w:tcW w:w="820" w:type="dxa"/>
            <w:vAlign w:val="bottom"/>
            <w:tcBorders>
              <w:bottom w:val="single" w:sz="8" w:color="auto"/>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DEDED"/>
          </w:tcPr>
          <w:p>
            <w:pPr>
              <w:spacing w:after="0"/>
              <w:rPr>
                <w:sz w:val="14"/>
                <w:szCs w:val="14"/>
                <w:color w:val="auto"/>
              </w:rPr>
            </w:pPr>
          </w:p>
        </w:tc>
        <w:tc>
          <w:tcPr>
            <w:tcW w:w="1040" w:type="dxa"/>
            <w:vAlign w:val="bottom"/>
            <w:tcBorders>
              <w:bottom w:val="single" w:sz="8" w:color="auto"/>
            </w:tcBorders>
            <w:gridSpan w:val="2"/>
            <w:shd w:val="clear" w:color="auto" w:fill="EDEDED"/>
          </w:tcPr>
          <w:p>
            <w:pPr>
              <w:jc w:val="right"/>
              <w:ind w:right="2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EDEDED"/>
          </w:tcPr>
          <w:p>
            <w:pPr>
              <w:jc w:val="right"/>
              <w:ind w:right="51"/>
              <w:spacing w:after="0"/>
              <w:rPr>
                <w:sz w:val="20"/>
                <w:szCs w:val="20"/>
                <w:color w:val="auto"/>
              </w:rPr>
            </w:pPr>
            <w:r>
              <w:rPr>
                <w:rFonts w:ascii="Arial" w:cs="Arial" w:eastAsia="Arial" w:hAnsi="Arial"/>
                <w:sz w:val="14"/>
                <w:szCs w:val="14"/>
                <w:color w:val="auto"/>
              </w:rPr>
              <w:t>3,294,366</w:t>
            </w:r>
          </w:p>
        </w:tc>
      </w:tr>
      <w:tr>
        <w:trPr>
          <w:trHeight w:val="16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Pike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1,713,906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594,000)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8"/>
              </w:rPr>
              <w:t>11,498,710)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4,331,706)</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 ($ 14,710,510)</w:t>
            </w:r>
          </w:p>
        </w:tc>
      </w:tr>
      <w:tr>
        <w:trPr>
          <w:trHeight w:val="169"/>
        </w:trPr>
        <w:tc>
          <w:tcPr>
            <w:tcW w:w="200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4"/>
                <w:szCs w:val="14"/>
                <w:color w:val="auto"/>
              </w:rPr>
              <w:t>Pike</w:t>
            </w:r>
          </w:p>
        </w:tc>
        <w:tc>
          <w:tcPr>
            <w:tcW w:w="5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26,320,395</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DEDED"/>
          </w:tcPr>
          <w:p>
            <w:pPr>
              <w:jc w:val="right"/>
              <w:ind w:right="15"/>
              <w:spacing w:after="0"/>
              <w:rPr>
                <w:sz w:val="20"/>
                <w:szCs w:val="20"/>
                <w:color w:val="auto"/>
              </w:rPr>
            </w:pPr>
            <w:r>
              <w:rPr>
                <w:rFonts w:ascii="Arial" w:cs="Arial" w:eastAsia="Arial" w:hAnsi="Arial"/>
                <w:sz w:val="14"/>
                <w:szCs w:val="14"/>
                <w:color w:val="auto"/>
              </w:rPr>
              <w:t>24,128,640)</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DEDED"/>
          </w:tcPr>
          <w:p>
            <w:pPr>
              <w:jc w:val="right"/>
              <w:ind w:right="19"/>
              <w:spacing w:after="0"/>
              <w:rPr>
                <w:sz w:val="20"/>
                <w:szCs w:val="20"/>
                <w:color w:val="auto"/>
              </w:rPr>
            </w:pPr>
            <w:r>
              <w:rPr>
                <w:rFonts w:ascii="Arial" w:cs="Arial" w:eastAsia="Arial" w:hAnsi="Arial"/>
                <w:sz w:val="14"/>
                <w:szCs w:val="14"/>
                <w:color w:val="auto"/>
                <w:w w:val="99"/>
              </w:rPr>
              <w:t>32,021,869</w:t>
            </w:r>
          </w:p>
        </w:tc>
        <w:tc>
          <w:tcPr>
            <w:tcW w:w="200" w:type="dxa"/>
            <w:vAlign w:val="bottom"/>
            <w:tcBorders>
              <w:bottom w:val="single" w:sz="8" w:color="auto"/>
            </w:tcBorders>
            <w:shd w:val="clear" w:color="auto" w:fill="EDEDED"/>
          </w:tcPr>
          <w:p>
            <w:pPr>
              <w:spacing w:after="0"/>
              <w:rPr>
                <w:sz w:val="14"/>
                <w:szCs w:val="14"/>
                <w:color w:val="auto"/>
              </w:rPr>
            </w:pPr>
          </w:p>
        </w:tc>
        <w:tc>
          <w:tcPr>
            <w:tcW w:w="840" w:type="dxa"/>
            <w:vAlign w:val="bottom"/>
            <w:tcBorders>
              <w:bottom w:val="single" w:sz="8" w:color="auto"/>
            </w:tcBorders>
            <w:shd w:val="clear" w:color="auto" w:fill="EDEDED"/>
          </w:tcPr>
          <w:p>
            <w:pPr>
              <w:jc w:val="right"/>
              <w:ind w:right="56"/>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DEDED"/>
          </w:tcPr>
          <w:p>
            <w:pPr>
              <w:spacing w:after="0"/>
              <w:rPr>
                <w:sz w:val="14"/>
                <w:szCs w:val="14"/>
                <w:color w:val="auto"/>
              </w:rPr>
            </w:pPr>
          </w:p>
        </w:tc>
        <w:tc>
          <w:tcPr>
            <w:tcW w:w="780" w:type="dxa"/>
            <w:vAlign w:val="bottom"/>
            <w:tcBorders>
              <w:bottom w:val="single" w:sz="8" w:color="auto"/>
            </w:tcBorders>
            <w:shd w:val="clear" w:color="auto" w:fill="EDEDED"/>
          </w:tcPr>
          <w:p>
            <w:pPr>
              <w:jc w:val="right"/>
              <w:ind w:right="75"/>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24,422</w:t>
            </w:r>
          </w:p>
        </w:tc>
        <w:tc>
          <w:tcPr>
            <w:tcW w:w="1020" w:type="dxa"/>
            <w:vAlign w:val="bottom"/>
            <w:tcBorders>
              <w:bottom w:val="single" w:sz="8" w:color="auto"/>
            </w:tcBorders>
            <w:gridSpan w:val="2"/>
            <w:shd w:val="clear" w:color="auto" w:fill="EDEDED"/>
          </w:tcPr>
          <w:p>
            <w:pPr>
              <w:jc w:val="right"/>
              <w:ind w:right="51"/>
              <w:spacing w:after="0"/>
              <w:rPr>
                <w:sz w:val="20"/>
                <w:szCs w:val="20"/>
                <w:color w:val="auto"/>
              </w:rPr>
            </w:pPr>
            <w:r>
              <w:rPr>
                <w:rFonts w:ascii="Arial" w:cs="Arial" w:eastAsia="Arial" w:hAnsi="Arial"/>
                <w:sz w:val="14"/>
                <w:szCs w:val="14"/>
                <w:color w:val="auto"/>
              </w:rPr>
              <w:t>$ 34,238,046</w:t>
            </w:r>
          </w:p>
        </w:tc>
      </w:tr>
      <w:tr>
        <w:trPr>
          <w:trHeight w:val="16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Average NEO</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1,648,831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833,558)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1,455,866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33,903)</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$ 83,224  ($</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351,860)</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1,968,600</w:t>
            </w:r>
          </w:p>
        </w:tc>
      </w:tr>
      <w:tr>
        <w:trPr>
          <w:trHeight w:val="169"/>
        </w:trPr>
        <w:tc>
          <w:tcPr>
            <w:tcW w:w="200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4"/>
                <w:szCs w:val="14"/>
                <w:color w:val="auto"/>
              </w:rPr>
              <w:t>Average NEO</w:t>
            </w:r>
          </w:p>
        </w:tc>
        <w:tc>
          <w:tcPr>
            <w:tcW w:w="5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1,339,389</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DEDED"/>
          </w:tcPr>
          <w:p>
            <w:pPr>
              <w:jc w:val="right"/>
              <w:ind w:right="15"/>
              <w:spacing w:after="0"/>
              <w:rPr>
                <w:sz w:val="20"/>
                <w:szCs w:val="20"/>
                <w:color w:val="auto"/>
              </w:rPr>
            </w:pPr>
            <w:r>
              <w:rPr>
                <w:rFonts w:ascii="Arial" w:cs="Arial" w:eastAsia="Arial" w:hAnsi="Arial"/>
                <w:sz w:val="14"/>
                <w:szCs w:val="14"/>
                <w:color w:val="auto"/>
              </w:rPr>
              <w:t>819,671)</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DEDED"/>
          </w:tcPr>
          <w:p>
            <w:pPr>
              <w:jc w:val="right"/>
              <w:ind w:right="19"/>
              <w:spacing w:after="0"/>
              <w:rPr>
                <w:sz w:val="20"/>
                <w:szCs w:val="20"/>
                <w:color w:val="auto"/>
              </w:rPr>
            </w:pPr>
            <w:r>
              <w:rPr>
                <w:rFonts w:ascii="Arial" w:cs="Arial" w:eastAsia="Arial" w:hAnsi="Arial"/>
                <w:sz w:val="14"/>
                <w:szCs w:val="14"/>
                <w:color w:val="auto"/>
              </w:rPr>
              <w:t>247,672</w:t>
            </w: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DEDED"/>
          </w:tcPr>
          <w:p>
            <w:pPr>
              <w:jc w:val="right"/>
              <w:ind w:right="16"/>
              <w:spacing w:after="0"/>
              <w:rPr>
                <w:sz w:val="20"/>
                <w:szCs w:val="20"/>
                <w:color w:val="auto"/>
              </w:rPr>
            </w:pPr>
            <w:r>
              <w:rPr>
                <w:rFonts w:ascii="Arial" w:cs="Arial" w:eastAsia="Arial" w:hAnsi="Arial"/>
                <w:sz w:val="14"/>
                <w:szCs w:val="14"/>
                <w:color w:val="auto"/>
              </w:rPr>
              <w:t>1,028,236)</w:t>
            </w: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DEDED"/>
          </w:tcPr>
          <w:p>
            <w:pPr>
              <w:jc w:val="right"/>
              <w:ind w:right="15"/>
              <w:spacing w:after="0"/>
              <w:rPr>
                <w:sz w:val="20"/>
                <w:szCs w:val="20"/>
                <w:color w:val="auto"/>
              </w:rPr>
            </w:pPr>
            <w:r>
              <w:rPr>
                <w:rFonts w:ascii="Arial" w:cs="Arial" w:eastAsia="Arial" w:hAnsi="Arial"/>
                <w:sz w:val="14"/>
                <w:szCs w:val="14"/>
                <w:color w:val="auto"/>
              </w:rPr>
              <w:t>220,789)</w:t>
            </w:r>
          </w:p>
        </w:tc>
        <w:tc>
          <w:tcPr>
            <w:tcW w:w="820" w:type="dxa"/>
            <w:vAlign w:val="bottom"/>
            <w:tcBorders>
              <w:bottom w:val="single" w:sz="8" w:color="auto"/>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DEDED"/>
          </w:tcPr>
          <w:p>
            <w:pPr>
              <w:spacing w:after="0"/>
              <w:rPr>
                <w:sz w:val="14"/>
                <w:szCs w:val="14"/>
                <w:color w:val="auto"/>
              </w:rPr>
            </w:pPr>
          </w:p>
        </w:tc>
        <w:tc>
          <w:tcPr>
            <w:tcW w:w="1040" w:type="dxa"/>
            <w:vAlign w:val="bottom"/>
            <w:tcBorders>
              <w:bottom w:val="single" w:sz="8" w:color="auto"/>
            </w:tcBorders>
            <w:gridSpan w:val="2"/>
            <w:shd w:val="clear" w:color="auto" w:fill="EDEDED"/>
          </w:tcPr>
          <w:p>
            <w:pPr>
              <w:jc w:val="right"/>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481,635)</w:t>
            </w:r>
          </w:p>
        </w:tc>
      </w:tr>
      <w:tr>
        <w:trPr>
          <w:trHeight w:val="16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Average NEO</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3,154,484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2,420,555)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2,670,583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52,524)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9,173)</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3,349,885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46</w:t>
      </w:r>
      <w:r>
        <w:rPr>
          <w:rFonts w:ascii="Arial" w:cs="Arial" w:eastAsia="Arial" w:hAnsi="Arial"/>
          <w:sz w:val="12"/>
          <w:szCs w:val="12"/>
          <w:color w:val="000000"/>
        </w:rPr>
        <w:t xml:space="preserve">   2026 Proxy Statement  •  FORTREA</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379" w:lineRule="exact"/>
        <w:rPr>
          <w:sz w:val="20"/>
          <w:szCs w:val="20"/>
          <w:color w:val="auto"/>
        </w:rPr>
      </w:pPr>
    </w:p>
    <w:p>
      <w:pPr>
        <w:ind w:left="440" w:right="20" w:hanging="324"/>
        <w:spacing w:after="0" w:line="233"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fair value of options was determined by using the Black-Scholes option pricing method. The fair value of the PSUs was determined by using a Monte Carlo simulation pricing model and the probable outcome of the performance vesting conditions as of each measurement date and Company actual performance payouts for each completed performance period for the respective fiscal year. The fair value of the restricted stock was determined using the stock price on the appropriate measurement date.</w:t>
      </w:r>
    </w:p>
    <w:p>
      <w:pPr>
        <w:spacing w:after="0" w:line="118" w:lineRule="exact"/>
        <w:rPr>
          <w:sz w:val="20"/>
          <w:szCs w:val="20"/>
          <w:color w:val="auto"/>
        </w:rPr>
      </w:pPr>
    </w:p>
    <w:p>
      <w:pPr>
        <w:jc w:val="both"/>
        <w:ind w:left="440" w:right="200" w:hanging="324"/>
        <w:spacing w:after="0" w:line="233" w:lineRule="auto"/>
        <w:tabs>
          <w:tab w:leader="none" w:pos="4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comparison assumes $100 was invested in the Company and in the S&amp;P 1500 Healthcare Index, respectively, for the period starting July 1, 2023, the effective date of the registration of FTRE Common Stock, through the end of 2025. Historical stock performance is not necessarily indicative of future stock performance. All dollar values assume reinvestment of all dividends, where applicable.</w:t>
      </w:r>
    </w:p>
    <w:p>
      <w:pPr>
        <w:spacing w:after="0" w:line="50" w:lineRule="exact"/>
        <w:rPr>
          <w:rFonts w:ascii="Arial" w:cs="Arial" w:eastAsia="Arial" w:hAnsi="Arial"/>
          <w:sz w:val="13"/>
          <w:szCs w:val="13"/>
          <w:color w:val="auto"/>
        </w:rPr>
      </w:pPr>
    </w:p>
    <w:p>
      <w:pPr>
        <w:ind w:left="440" w:right="140" w:hanging="324"/>
        <w:spacing w:after="0" w:line="259" w:lineRule="auto"/>
        <w:tabs>
          <w:tab w:leader="none" w:pos="4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“Net income” is equivalent to “Net earnings” as reported in the Company’s financial statements in its Annual Report on Form 10-K for fiscal year ended December 31, 2025 filed with the SEC. Figures provided for 2023 net income have been restated to reflect amended and restated disclosures due to a restatement identified in connection with the preparation of our financial statements for the quarter ended March 31, 2024, which identified errors impacting previously reported financial information, including to periods prior to the Spin (the “restatement”).</w:t>
      </w:r>
    </w:p>
    <w:p>
      <w:pPr>
        <w:spacing w:after="0" w:line="39" w:lineRule="exact"/>
        <w:rPr>
          <w:rFonts w:ascii="Arial" w:cs="Arial" w:eastAsia="Arial" w:hAnsi="Arial"/>
          <w:sz w:val="12"/>
          <w:szCs w:val="12"/>
          <w:color w:val="auto"/>
        </w:rPr>
      </w:pPr>
    </w:p>
    <w:p>
      <w:pPr>
        <w:ind w:left="440" w:right="120" w:hanging="324"/>
        <w:spacing w:after="0" w:line="226" w:lineRule="auto"/>
        <w:tabs>
          <w:tab w:leader="none" w:pos="4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SEC rules require us to designate a “company-selected measure” that in our assessment represents the most important financial performance measure (other than total stockholder return, stock price, or net income) used by the Company to link the CAP of our NEOs, for the most recently completed fiscal year, to our performance. We selected Adjusted EBITDA as this measure for 2025, as reflected in the table above. Adjusted EBITDA is a non-GAAP measure. See the reconciliation of Adjusted EBITDA on Appendix A attached to this proxy statement. We may determine a different financial performance measure to be the most important financial performance measure in future years. Figures provided for 2023 reflect amended and restated disclosures due to the restatement.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Financial Performance Measures</w:t>
      </w:r>
    </w:p>
    <w:p>
      <w:pPr>
        <w:spacing w:after="0" w:line="14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For fiscal year 2025, the financial performance measures used in setting pay-for-performance compensation for the most recently completed fiscal year were Adjusted EBITDA and Net New Business in the Fortrea Bonus Plan, and Revenue, Adjusted EBITDA Margin, and a relative TSR modifier in the 2025 PSUs. The manner in which these measures, together with certain non-financial performance measures, determined the amounts of incentive compensation paid to our NEOs is described above in the CD&amp;A section. These financial measures will continue to be utilized in 2026 to evaluate the company’s performance and establishing pay-for-performance alignment. We believe these measures provide a strong link between compensation actually paid to our NEOs and our performance. For fiscal year 2025, performance for the first of three performance tranches of the 2025 PSUs was below the minimum threshold for Adjusted EBITDA margin, and between threshold and target for Revenue. The relative TSR modifier will not impact the payout until the completion of the three-year performance period, when all performance criteria will be officially scored and vesting will occur of the PSUs.</w:t>
      </w:r>
    </w:p>
    <w:p>
      <w:pPr>
        <w:spacing w:after="0" w:line="183"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For 2025, the following list represented the most important financial performance measures used by Fortrea to link Compensation Actually Paid with our financial performance:</w:t>
      </w:r>
    </w:p>
    <w:p>
      <w:pPr>
        <w:spacing w:after="0" w:line="88"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Net New Business</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Revenue</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EBITDA Margin</w:t>
      </w:r>
    </w:p>
    <w:p>
      <w:pPr>
        <w:spacing w:after="0" w:line="86" w:lineRule="exact"/>
        <w:rPr>
          <w:rFonts w:ascii="Arial" w:cs="Arial" w:eastAsia="Arial" w:hAnsi="Arial"/>
          <w:sz w:val="16"/>
          <w:szCs w:val="16"/>
          <w:color w:val="auto"/>
        </w:rPr>
      </w:pPr>
    </w:p>
    <w:p>
      <w:pPr>
        <w:ind w:left="340" w:hanging="224"/>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Relative TSR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Relationship Between Compensation Actually Paid (“CAP”) and Financial Performance Measures</w:t>
      </w:r>
    </w:p>
    <w:p>
      <w:pPr>
        <w:spacing w:after="0" w:line="154"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chart below illustrates the relationship between PEO and other NEO average CAP amounts and the Company’s and Peer Group TSR during the period 2023-2025 assuming $100 initial investment on July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245110</wp:posOffset>
            </wp:positionV>
            <wp:extent cx="5023485" cy="2434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2348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charts below illustrate the relationship between PEO and other NEO average CAP amounts and the Company’s Net Income and Adjusted EBITDA during the period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255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48</w:t>
      </w:r>
      <w:r>
        <w:rPr>
          <w:rFonts w:ascii="Arial" w:cs="Arial" w:eastAsia="Arial" w:hAnsi="Arial"/>
          <w:sz w:val="12"/>
          <w:szCs w:val="12"/>
          <w:color w:val="000000"/>
        </w:rPr>
        <w:t xml:space="preserve">   2026 Proxy Statement  •  FORTREA</w:t>
      </w:r>
    </w:p>
    <w:p>
      <w:pPr>
        <w:sectPr>
          <w:pgSz w:w="11900" w:h="16838" w:orient="portrait"/>
          <w:cols w:equalWidth="0" w:num="1">
            <w:col w:w="10920"/>
          </w:cols>
          <w:pgMar w:left="320" w:top="482" w:right="6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245110</wp:posOffset>
            </wp:positionV>
            <wp:extent cx="6995160" cy="254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Advisory Vote on the Compensation of our Named Executive Officers</w:t>
      </w:r>
    </w:p>
    <w:p>
      <w:pPr>
        <w:spacing w:after="0" w:line="168"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In accordance with Section 14A of the Exchange Act, we are asking that our stockholders approve, on an advisory basis, the compensation of the executive officers named in the Summary Compensation Table of this proxy statement. This proposal gives our stockholders the opportunity to express their views on the compensation of our named executive officers. Stockholders also may, if they wish, abstain from casting a vote on this proposal. In 2024, the Board adopted, and the stockholders approved, annual say-on-pay voting until the next required say-on-frequency vote in 2030.</w:t>
      </w:r>
    </w:p>
    <w:p>
      <w:pPr>
        <w:spacing w:after="0" w:line="97"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In connection with this proposal, the Board encourages stockholders to review in detail the description of the compensation program for our named executive officers that is set forth in the Compensation Discussion and Analysis beginning on page 27, as well as the information contained in the compensation related tables and narrative discussion in this proxy statement. The Board unanimously recommends a vote FOR the approval, on an advisory basis, of the compensation of our named executive officers, as our current compensation program is built on a pay-for-performance philosophy, which operated as designed and intended in 2025, and was constructed to retain and appropriately reward our named executive officers for both Company and individual performance. When you cast your vote, we urge you to consider the description of the our executive compensation program contained in the Compensation Discussion and Analysis section of this proxy statement and the accompanying tables and narrative disclosure, as well as the following factors:</w:t>
      </w:r>
    </w:p>
    <w:p>
      <w:pPr>
        <w:spacing w:after="0" w:line="115" w:lineRule="exact"/>
        <w:rPr>
          <w:sz w:val="20"/>
          <w:szCs w:val="20"/>
          <w:color w:val="auto"/>
        </w:rPr>
      </w:pPr>
    </w:p>
    <w:p>
      <w:pPr>
        <w:ind w:left="340" w:right="20" w:hanging="224"/>
        <w:spacing w:after="0" w:line="26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Pay-for-Performance</w:t>
      </w:r>
      <w:r>
        <w:rPr>
          <w:rFonts w:ascii="Arial" w:cs="Arial" w:eastAsia="Arial" w:hAnsi="Arial"/>
          <w:sz w:val="16"/>
          <w:szCs w:val="16"/>
          <w:color w:val="auto"/>
        </w:rPr>
        <w:t>: The structure of our executive compensation program operated as designed and intended, as the annual bonus and long-term incentive compensation, particularly our PSUs, paid out or vested at levels to recognize progress over the prior year but still below target based on our financial performance during 2025. We established compensation for Mr. Thakral, our new CEO, that includes performance-based compensation.</w:t>
      </w:r>
    </w:p>
    <w:p>
      <w:pPr>
        <w:spacing w:after="0" w:line="36" w:lineRule="exact"/>
        <w:rPr>
          <w:rFonts w:ascii="Arial" w:cs="Arial" w:eastAsia="Arial" w:hAnsi="Arial"/>
          <w:sz w:val="16"/>
          <w:szCs w:val="16"/>
          <w:color w:val="auto"/>
        </w:rPr>
      </w:pPr>
    </w:p>
    <w:p>
      <w:pPr>
        <w:ind w:left="340" w:right="120" w:hanging="224"/>
        <w:spacing w:after="0" w:line="26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Base Salaries</w:t>
      </w:r>
      <w:r>
        <w:rPr>
          <w:rFonts w:ascii="Arial" w:cs="Arial" w:eastAsia="Arial" w:hAnsi="Arial"/>
          <w:sz w:val="16"/>
          <w:szCs w:val="16"/>
          <w:color w:val="auto"/>
        </w:rPr>
        <w:t>: The MDCC reviewed and determined not to make any changes to the salaries for Ms. McConnell and Mr. Morais, which maintains the balance of guaranteed and incentive-based compensation. The MDCC established an initial base salary for Mr. Thakral based on an analysis of competitive market data and negotiations with Mr. Thakral.</w:t>
      </w:r>
    </w:p>
    <w:p>
      <w:pPr>
        <w:spacing w:after="0" w:line="36" w:lineRule="exact"/>
        <w:rPr>
          <w:rFonts w:ascii="Arial" w:cs="Arial" w:eastAsia="Arial" w:hAnsi="Arial"/>
          <w:sz w:val="16"/>
          <w:szCs w:val="16"/>
          <w:color w:val="auto"/>
        </w:rPr>
      </w:pPr>
    </w:p>
    <w:p>
      <w:pPr>
        <w:ind w:left="340" w:right="260" w:hanging="224"/>
        <w:spacing w:after="0" w:line="25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Long-Term Incentive Grants</w:t>
      </w:r>
      <w:r>
        <w:rPr>
          <w:rFonts w:ascii="Arial" w:cs="Arial" w:eastAsia="Arial" w:hAnsi="Arial"/>
          <w:sz w:val="16"/>
          <w:szCs w:val="16"/>
          <w:color w:val="auto"/>
        </w:rPr>
        <w:t>: The MDCC did not elect to make an annual equity grant to Mr. Thakral in 2025 or in connection with the annual grants made early in 2026. Mr. Thakral received an inducement grant upon hire, thereby replacing eligibility for the 2025 grant. LTI grants made to</w:t>
      </w:r>
    </w:p>
    <w:p>
      <w:pPr>
        <w:spacing w:after="0" w:line="1" w:lineRule="exact"/>
        <w:rPr>
          <w:rFonts w:ascii="Arial" w:cs="Arial" w:eastAsia="Arial" w:hAnsi="Arial"/>
          <w:sz w:val="16"/>
          <w:szCs w:val="16"/>
          <w:color w:val="auto"/>
        </w:rPr>
      </w:pPr>
    </w:p>
    <w:p>
      <w:pPr>
        <w:ind w:left="340" w:right="660"/>
        <w:spacing w:after="0" w:line="265" w:lineRule="auto"/>
        <w:rPr>
          <w:rFonts w:ascii="Arial" w:cs="Arial" w:eastAsia="Arial" w:hAnsi="Arial"/>
          <w:sz w:val="16"/>
          <w:szCs w:val="16"/>
          <w:color w:val="auto"/>
        </w:rPr>
      </w:pPr>
      <w:r>
        <w:rPr>
          <w:rFonts w:ascii="Arial" w:cs="Arial" w:eastAsia="Arial" w:hAnsi="Arial"/>
          <w:sz w:val="16"/>
          <w:szCs w:val="16"/>
          <w:color w:val="auto"/>
        </w:rPr>
        <w:t>Ms. McConnell and Mr. Morais were intended to provide competitive compensation while increasing their share ownership and alignment with stockholders. The MDCC did not elect to make an annual equity grant to Mr. Pike in 2025.</w:t>
      </w:r>
    </w:p>
    <w:p>
      <w:pPr>
        <w:spacing w:after="0" w:line="104"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Although the advisory vote is non-binding, the Board of Directors values stockholders’ opinions. The MDCC will review the results of the vote and, consistent with our record of stockholder responsiveness, the MDCC will consider stockholders’ views and take into account the outcome of the vote when considering future decisions concerning our executive compensation program.</w:t>
      </w:r>
    </w:p>
    <w:p>
      <w:pPr>
        <w:spacing w:after="0" w:line="90"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We are asking our stockholders to indicate their support for the compensation of our named executive officers as disclosed in this proxy statement by voting “FOR” the following resolution:</w:t>
      </w:r>
    </w:p>
    <w:p>
      <w:pPr>
        <w:spacing w:after="0" w:line="88"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“RESOLVED, that the stockholders of Fortrea Holdings Inc. approve, on an advisory basis, the compensation paid to Fortrea Holdings Inc.’s named executive officers, as disclosed pursuant to the compensation disclosure rules of the Securities and Exchange Commission, including the Compensation Discussion and Analysis, the compensation tables and the narrative discussion in Fortrea Holdings Inc.’s 2026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4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proposal to approve, on an advisory basis, the compensation of our named executive officers requires an affirmative vote of the holders of a majority in voting power of the shares present at the Annual Meeting or represented by proxy and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767715</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201930</wp:posOffset>
            </wp:positionV>
            <wp:extent cx="7029450" cy="462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94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50</w:t>
      </w:r>
      <w:r>
        <w:rPr>
          <w:rFonts w:ascii="Arial" w:cs="Arial" w:eastAsia="Arial" w:hAnsi="Arial"/>
          <w:sz w:val="12"/>
          <w:szCs w:val="12"/>
          <w:color w:val="000000"/>
        </w:rPr>
        <w:t xml:space="preserve">   2026 Proxy Statement  •  FORTREA</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Prior to the Spin, Labcorp engaged FW Cook to assist with developing a non-employee director compensation program for us. In establishing such program pre-Spin, Labcorp and FW Cook analyzed the director compensation programs for Fortrea’s industry peer group and companies in the general industry. As a result of such review, our director compensation program was approved for us, pursuant to which each director will receive compensation in the form of an annual cash retainer and an equity award. In recognition for the additional duties: (i) the Lead Independent Director would receive an additional cash retainer of $40,000, (ii) the chair of the Audit Committee would receive an additional cash retainer of $25,000, (iii) and the chair of each of the Nominating, Corporate Governance and Compliance Committee, and the MDCC would receive an additional cash retainer of $20,000.</w:t>
      </w:r>
    </w:p>
    <w:p>
      <w:pPr>
        <w:spacing w:after="0" w:line="18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In 2025, the MDCC reviewed the non-employee director compensation program and did not recommend to our Board any changes to the director compensation program. Accordingly, the non-employee members of our Board received a cash retainer of $90,000 and an equity award in the form of RSUs, with a grant-date fair value of $210,000 (which will be subject to, among other terms and conditions, a one-year vesting requirement). In addition, the Lead Independent Director and committee chairs received the cash retainers described above. Additionally, certain directors received additional cash payments in connection with additional meetings conducted in 2025 to review the CEO transition and other strategic matters.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2025 Director Compensation Table</w:t>
      </w:r>
    </w:p>
    <w:p>
      <w:pPr>
        <w:spacing w:after="0" w:line="155"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following table sets forth summary compensation information for our directors for the fiscal year ended December 31, 2025. The compensation received by Mr. Thakral as an employee, and by Mr. Pike prior to his termination, is included in the “Summary Compensation Table” above. Mr. Neupert is not included in the table below. Pursuant to Instruction 3 to Item 402(c) of Regulation S-K, Mr. Neupert’s compensation as a non-employee director during fiscal 2025 prior to and after his service as Interim CEO is included in the “Summary Compensation Table” above.</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6440" w:type="dxa"/>
            <w:vAlign w:val="bottom"/>
            <w:shd w:val="clear" w:color="auto" w:fill="0BC11C"/>
          </w:tcPr>
          <w:p>
            <w:pPr>
              <w:spacing w:after="0"/>
              <w:rPr>
                <w:sz w:val="22"/>
                <w:szCs w:val="22"/>
                <w:color w:val="auto"/>
              </w:rPr>
            </w:pPr>
          </w:p>
        </w:tc>
        <w:tc>
          <w:tcPr>
            <w:tcW w:w="1940" w:type="dxa"/>
            <w:vAlign w:val="bottom"/>
            <w:gridSpan w:val="2"/>
            <w:shd w:val="clear" w:color="auto" w:fill="0BC11C"/>
          </w:tcPr>
          <w:p>
            <w:pPr>
              <w:jc w:val="center"/>
              <w:ind w:left="61"/>
              <w:spacing w:after="0"/>
              <w:rPr>
                <w:sz w:val="20"/>
                <w:szCs w:val="20"/>
                <w:color w:val="auto"/>
              </w:rPr>
            </w:pPr>
            <w:r>
              <w:rPr>
                <w:rFonts w:ascii="Arial" w:cs="Arial" w:eastAsia="Arial" w:hAnsi="Arial"/>
                <w:sz w:val="14"/>
                <w:szCs w:val="14"/>
                <w:b w:val="1"/>
                <w:bCs w:val="1"/>
                <w:color w:val="FFFFFF"/>
              </w:rPr>
              <w:t>Fees Earned</w:t>
            </w:r>
          </w:p>
        </w:tc>
        <w:tc>
          <w:tcPr>
            <w:tcW w:w="1600" w:type="dxa"/>
            <w:vAlign w:val="bottom"/>
            <w:vMerge w:val="restart"/>
            <w:shd w:val="clear" w:color="auto" w:fill="0BC11C"/>
          </w:tcPr>
          <w:p>
            <w:pPr>
              <w:jc w:val="center"/>
              <w:ind w:left="62"/>
              <w:spacing w:after="0"/>
              <w:rPr>
                <w:sz w:val="20"/>
                <w:szCs w:val="20"/>
                <w:color w:val="auto"/>
              </w:rPr>
            </w:pPr>
            <w:r>
              <w:rPr>
                <w:rFonts w:ascii="Arial" w:cs="Arial" w:eastAsia="Arial" w:hAnsi="Arial"/>
                <w:sz w:val="14"/>
                <w:szCs w:val="14"/>
                <w:b w:val="1"/>
                <w:bCs w:val="1"/>
                <w:color w:val="FFFFFF"/>
              </w:rPr>
              <w:t>Restricted</w:t>
            </w:r>
          </w:p>
        </w:tc>
        <w:tc>
          <w:tcPr>
            <w:tcW w:w="440" w:type="dxa"/>
            <w:vAlign w:val="bottom"/>
            <w:shd w:val="clear" w:color="auto" w:fill="0BC11C"/>
          </w:tcPr>
          <w:p>
            <w:pPr>
              <w:spacing w:after="0"/>
              <w:rPr>
                <w:sz w:val="22"/>
                <w:szCs w:val="22"/>
                <w:color w:val="auto"/>
              </w:rPr>
            </w:pPr>
          </w:p>
        </w:tc>
        <w:tc>
          <w:tcPr>
            <w:tcW w:w="600" w:type="dxa"/>
            <w:vAlign w:val="bottom"/>
            <w:shd w:val="clear" w:color="auto" w:fill="0BC11C"/>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0BC11C"/>
          </w:tcPr>
          <w:p>
            <w:pPr>
              <w:spacing w:after="0"/>
              <w:rPr>
                <w:sz w:val="12"/>
                <w:szCs w:val="12"/>
                <w:color w:val="auto"/>
              </w:rPr>
            </w:pPr>
          </w:p>
        </w:tc>
        <w:tc>
          <w:tcPr>
            <w:tcW w:w="800" w:type="dxa"/>
            <w:vAlign w:val="bottom"/>
            <w:shd w:val="clear" w:color="auto" w:fill="0BC11C"/>
          </w:tcPr>
          <w:p>
            <w:pPr>
              <w:spacing w:after="0"/>
              <w:rPr>
                <w:sz w:val="12"/>
                <w:szCs w:val="12"/>
                <w:color w:val="auto"/>
              </w:rPr>
            </w:pPr>
          </w:p>
        </w:tc>
        <w:tc>
          <w:tcPr>
            <w:tcW w:w="1140" w:type="dxa"/>
            <w:vAlign w:val="bottom"/>
            <w:shd w:val="clear" w:color="auto" w:fill="0BC11C"/>
          </w:tcPr>
          <w:p>
            <w:pPr>
              <w:jc w:val="center"/>
              <w:ind w:right="581"/>
              <w:spacing w:after="0" w:line="149" w:lineRule="exact"/>
              <w:rPr>
                <w:sz w:val="20"/>
                <w:szCs w:val="20"/>
                <w:color w:val="auto"/>
              </w:rPr>
            </w:pPr>
            <w:r>
              <w:rPr>
                <w:rFonts w:ascii="Arial" w:cs="Arial" w:eastAsia="Arial" w:hAnsi="Arial"/>
                <w:sz w:val="14"/>
                <w:szCs w:val="14"/>
                <w:b w:val="1"/>
                <w:bCs w:val="1"/>
                <w:color w:val="FFFFFF"/>
              </w:rPr>
              <w:t>or Paid</w:t>
            </w:r>
          </w:p>
        </w:tc>
        <w:tc>
          <w:tcPr>
            <w:tcW w:w="1600" w:type="dxa"/>
            <w:vAlign w:val="bottom"/>
            <w:vMerge w:val="continue"/>
            <w:shd w:val="clear" w:color="auto" w:fill="0BC11C"/>
          </w:tcPr>
          <w:p>
            <w:pPr>
              <w:spacing w:after="0"/>
              <w:rPr>
                <w:sz w:val="12"/>
                <w:szCs w:val="12"/>
                <w:color w:val="auto"/>
              </w:rPr>
            </w:pPr>
          </w:p>
        </w:tc>
        <w:tc>
          <w:tcPr>
            <w:tcW w:w="440" w:type="dxa"/>
            <w:vAlign w:val="bottom"/>
            <w:shd w:val="clear" w:color="auto" w:fill="0BC11C"/>
          </w:tcPr>
          <w:p>
            <w:pPr>
              <w:spacing w:after="0"/>
              <w:rPr>
                <w:sz w:val="12"/>
                <w:szCs w:val="12"/>
                <w:color w:val="auto"/>
              </w:rPr>
            </w:pPr>
          </w:p>
        </w:tc>
        <w:tc>
          <w:tcPr>
            <w:tcW w:w="600" w:type="dxa"/>
            <w:vAlign w:val="bottom"/>
            <w:shd w:val="clear" w:color="auto" w:fill="0BC11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40" w:type="dxa"/>
            <w:vAlign w:val="bottom"/>
            <w:shd w:val="clear" w:color="auto" w:fill="0BC11C"/>
          </w:tcPr>
          <w:p>
            <w:pPr>
              <w:spacing w:after="0"/>
              <w:rPr>
                <w:sz w:val="14"/>
                <w:szCs w:val="14"/>
                <w:color w:val="auto"/>
              </w:rPr>
            </w:pPr>
          </w:p>
        </w:tc>
        <w:tc>
          <w:tcPr>
            <w:tcW w:w="1940" w:type="dxa"/>
            <w:vAlign w:val="bottom"/>
            <w:gridSpan w:val="2"/>
            <w:shd w:val="clear" w:color="auto" w:fill="0BC11C"/>
          </w:tcPr>
          <w:p>
            <w:pPr>
              <w:jc w:val="center"/>
              <w:ind w:left="61"/>
              <w:spacing w:after="0"/>
              <w:rPr>
                <w:sz w:val="20"/>
                <w:szCs w:val="20"/>
                <w:color w:val="auto"/>
              </w:rPr>
            </w:pPr>
            <w:r>
              <w:rPr>
                <w:rFonts w:ascii="Arial" w:cs="Arial" w:eastAsia="Arial" w:hAnsi="Arial"/>
                <w:sz w:val="14"/>
                <w:szCs w:val="14"/>
                <w:b w:val="1"/>
                <w:bCs w:val="1"/>
                <w:color w:val="FFFFFF"/>
              </w:rPr>
              <w:t>in Cash</w:t>
            </w:r>
          </w:p>
        </w:tc>
        <w:tc>
          <w:tcPr>
            <w:tcW w:w="1600" w:type="dxa"/>
            <w:vAlign w:val="bottom"/>
            <w:shd w:val="clear" w:color="auto" w:fill="0BC11C"/>
          </w:tcPr>
          <w:p>
            <w:pPr>
              <w:jc w:val="center"/>
              <w:ind w:left="62"/>
              <w:spacing w:after="0"/>
              <w:rPr>
                <w:sz w:val="20"/>
                <w:szCs w:val="20"/>
                <w:color w:val="auto"/>
              </w:rPr>
            </w:pPr>
            <w:r>
              <w:rPr>
                <w:rFonts w:ascii="Arial" w:cs="Arial" w:eastAsia="Arial" w:hAnsi="Arial"/>
                <w:sz w:val="14"/>
                <w:szCs w:val="14"/>
                <w:b w:val="1"/>
                <w:bCs w:val="1"/>
                <w:color w:val="FFFFFF"/>
              </w:rPr>
              <w:t>Stock units</w:t>
            </w:r>
          </w:p>
        </w:tc>
        <w:tc>
          <w:tcPr>
            <w:tcW w:w="440" w:type="dxa"/>
            <w:vAlign w:val="bottom"/>
            <w:shd w:val="clear" w:color="auto" w:fill="0BC11C"/>
          </w:tcPr>
          <w:p>
            <w:pPr>
              <w:spacing w:after="0"/>
              <w:rPr>
                <w:sz w:val="14"/>
                <w:szCs w:val="14"/>
                <w:color w:val="auto"/>
              </w:rPr>
            </w:pPr>
          </w:p>
        </w:tc>
        <w:tc>
          <w:tcPr>
            <w:tcW w:w="600" w:type="dxa"/>
            <w:vAlign w:val="bottom"/>
            <w:shd w:val="clear" w:color="auto" w:fill="0BC11C"/>
          </w:tcPr>
          <w:p>
            <w:pPr>
              <w:jc w:val="right"/>
              <w:ind w:right="141"/>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9"/>
        </w:trPr>
        <w:tc>
          <w:tcPr>
            <w:tcW w:w="644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4"/>
                <w:szCs w:val="14"/>
                <w:b w:val="1"/>
                <w:bCs w:val="1"/>
                <w:color w:val="FFFFFF"/>
              </w:rPr>
              <w:t>Name</w:t>
            </w:r>
          </w:p>
        </w:tc>
        <w:tc>
          <w:tcPr>
            <w:tcW w:w="800" w:type="dxa"/>
            <w:vAlign w:val="bottom"/>
            <w:tcBorders>
              <w:bottom w:val="single" w:sz="8" w:color="0BC11C"/>
            </w:tcBorders>
            <w:shd w:val="clear" w:color="auto" w:fill="0BC11C"/>
          </w:tcPr>
          <w:p>
            <w:pPr>
              <w:spacing w:after="0"/>
              <w:rPr>
                <w:sz w:val="19"/>
                <w:szCs w:val="19"/>
                <w:color w:val="auto"/>
              </w:rPr>
            </w:pPr>
          </w:p>
        </w:tc>
        <w:tc>
          <w:tcPr>
            <w:tcW w:w="1140" w:type="dxa"/>
            <w:vAlign w:val="bottom"/>
            <w:tcBorders>
              <w:bottom w:val="single" w:sz="8" w:color="0BC11C"/>
            </w:tcBorders>
            <w:shd w:val="clear" w:color="auto" w:fill="0BC11C"/>
          </w:tcPr>
          <w:p>
            <w:pPr>
              <w:jc w:val="center"/>
              <w:ind w:right="581"/>
              <w:spacing w:after="0"/>
              <w:rPr>
                <w:sz w:val="20"/>
                <w:szCs w:val="20"/>
                <w:color w:val="auto"/>
              </w:rPr>
            </w:pPr>
            <w:r>
              <w:rPr>
                <w:rFonts w:ascii="Arial" w:cs="Arial" w:eastAsia="Arial" w:hAnsi="Arial"/>
                <w:sz w:val="14"/>
                <w:szCs w:val="14"/>
                <w:b w:val="1"/>
                <w:bCs w:val="1"/>
                <w:color w:val="FFFFFF"/>
                <w:w w:val="93"/>
              </w:rPr>
              <w:t>($)</w:t>
            </w:r>
          </w:p>
        </w:tc>
        <w:tc>
          <w:tcPr>
            <w:tcW w:w="1600" w:type="dxa"/>
            <w:vAlign w:val="bottom"/>
            <w:tcBorders>
              <w:bottom w:val="single" w:sz="8" w:color="0BC11C"/>
            </w:tcBorders>
            <w:shd w:val="clear" w:color="auto" w:fill="0BC11C"/>
          </w:tcPr>
          <w:p>
            <w:pPr>
              <w:jc w:val="center"/>
              <w:ind w:left="62"/>
              <w:spacing w:after="0"/>
              <w:rPr>
                <w:sz w:val="20"/>
                <w:szCs w:val="20"/>
                <w:color w:val="auto"/>
              </w:rPr>
            </w:pPr>
            <w:r>
              <w:rPr>
                <w:rFonts w:ascii="Arial" w:cs="Arial" w:eastAsia="Arial" w:hAnsi="Arial"/>
                <w:sz w:val="14"/>
                <w:szCs w:val="14"/>
                <w:b w:val="1"/>
                <w:bCs w:val="1"/>
                <w:color w:val="FFFFFF"/>
              </w:rPr>
              <w:t>($)(2)(3)</w:t>
            </w:r>
          </w:p>
        </w:tc>
        <w:tc>
          <w:tcPr>
            <w:tcW w:w="440" w:type="dxa"/>
            <w:vAlign w:val="bottom"/>
            <w:tcBorders>
              <w:bottom w:val="single" w:sz="8" w:color="0BC11C"/>
            </w:tcBorders>
            <w:shd w:val="clear" w:color="auto" w:fill="0BC11C"/>
          </w:tcPr>
          <w:p>
            <w:pPr>
              <w:spacing w:after="0"/>
              <w:rPr>
                <w:sz w:val="19"/>
                <w:szCs w:val="19"/>
                <w:color w:val="auto"/>
              </w:rPr>
            </w:pPr>
          </w:p>
        </w:tc>
        <w:tc>
          <w:tcPr>
            <w:tcW w:w="600" w:type="dxa"/>
            <w:vAlign w:val="bottom"/>
            <w:tcBorders>
              <w:bottom w:val="single" w:sz="8" w:color="0BC11C"/>
            </w:tcBorders>
            <w:shd w:val="clear" w:color="auto" w:fill="0BC11C"/>
          </w:tcPr>
          <w:p>
            <w:pPr>
              <w:jc w:val="right"/>
              <w:ind w:right="22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5"/>
        </w:trPr>
        <w:tc>
          <w:tcPr>
            <w:tcW w:w="6440" w:type="dxa"/>
            <w:vAlign w:val="bottom"/>
          </w:tcPr>
          <w:p>
            <w:pPr>
              <w:ind w:left="60"/>
              <w:spacing w:after="0"/>
              <w:rPr>
                <w:sz w:val="20"/>
                <w:szCs w:val="20"/>
                <w:color w:val="auto"/>
              </w:rPr>
            </w:pPr>
            <w:r>
              <w:rPr>
                <w:rFonts w:ascii="Arial" w:cs="Arial" w:eastAsia="Arial" w:hAnsi="Arial"/>
                <w:sz w:val="16"/>
                <w:szCs w:val="16"/>
                <w:color w:val="auto"/>
              </w:rPr>
              <w:t>Edward Pesicka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1"/>
              <w:spacing w:after="0"/>
              <w:rPr>
                <w:sz w:val="20"/>
                <w:szCs w:val="20"/>
                <w:color w:val="auto"/>
              </w:rPr>
            </w:pPr>
            <w:r>
              <w:rPr>
                <w:rFonts w:ascii="Arial" w:cs="Arial" w:eastAsia="Arial" w:hAnsi="Arial"/>
                <w:sz w:val="16"/>
                <w:szCs w:val="16"/>
                <w:color w:val="auto"/>
              </w:rPr>
              <w:t>90,000</w:t>
            </w:r>
          </w:p>
        </w:tc>
        <w:tc>
          <w:tcPr>
            <w:tcW w:w="1600" w:type="dxa"/>
            <w:vAlign w:val="bottom"/>
          </w:tcPr>
          <w:p>
            <w:pPr>
              <w:jc w:val="right"/>
              <w:ind w:right="302"/>
              <w:spacing w:after="0"/>
              <w:rPr>
                <w:sz w:val="20"/>
                <w:szCs w:val="20"/>
                <w:color w:val="auto"/>
              </w:rPr>
            </w:pPr>
            <w:r>
              <w:rPr>
                <w:rFonts w:ascii="Arial" w:cs="Arial" w:eastAsia="Arial" w:hAnsi="Arial"/>
                <w:sz w:val="16"/>
                <w:szCs w:val="16"/>
                <w:color w:val="auto"/>
              </w:rPr>
              <w:t>$210,000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35"/>
        </w:trPr>
        <w:tc>
          <w:tcPr>
            <w:tcW w:w="644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auto"/>
              </w:rPr>
              <w:t>Dr. Amrit Ray</w:t>
            </w:r>
          </w:p>
        </w:tc>
        <w:tc>
          <w:tcPr>
            <w:tcW w:w="80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DEDED"/>
          </w:tcPr>
          <w:p>
            <w:pPr>
              <w:jc w:val="right"/>
              <w:ind w:right="481"/>
              <w:spacing w:after="0"/>
              <w:rPr>
                <w:sz w:val="20"/>
                <w:szCs w:val="20"/>
                <w:color w:val="auto"/>
              </w:rPr>
            </w:pPr>
            <w:r>
              <w:rPr>
                <w:rFonts w:ascii="Arial" w:cs="Arial" w:eastAsia="Arial" w:hAnsi="Arial"/>
                <w:sz w:val="16"/>
                <w:szCs w:val="16"/>
                <w:color w:val="auto"/>
                <w:w w:val="96"/>
              </w:rPr>
              <w:t>130,000</w:t>
            </w:r>
          </w:p>
        </w:tc>
        <w:tc>
          <w:tcPr>
            <w:tcW w:w="1600" w:type="dxa"/>
            <w:vAlign w:val="bottom"/>
            <w:vMerge w:val="restart"/>
            <w:shd w:val="clear" w:color="auto" w:fill="EDEDED"/>
          </w:tcPr>
          <w:p>
            <w:pPr>
              <w:jc w:val="right"/>
              <w:ind w:right="302"/>
              <w:spacing w:after="0"/>
              <w:rPr>
                <w:sz w:val="20"/>
                <w:szCs w:val="20"/>
                <w:color w:val="auto"/>
              </w:rPr>
            </w:pPr>
            <w:r>
              <w:rPr>
                <w:rFonts w:ascii="Arial" w:cs="Arial" w:eastAsia="Arial" w:hAnsi="Arial"/>
                <w:sz w:val="16"/>
                <w:szCs w:val="16"/>
                <w:color w:val="auto"/>
              </w:rPr>
              <w:t>$210,000</w:t>
            </w:r>
          </w:p>
        </w:tc>
        <w:tc>
          <w:tcPr>
            <w:tcW w:w="4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340,000</w:t>
            </w:r>
          </w:p>
        </w:tc>
        <w:tc>
          <w:tcPr>
            <w:tcW w:w="0" w:type="dxa"/>
            <w:vAlign w:val="bottom"/>
          </w:tcPr>
          <w:p>
            <w:pPr>
              <w:spacing w:after="0" w:line="20" w:lineRule="exact"/>
              <w:rPr>
                <w:sz w:val="1"/>
                <w:szCs w:val="1"/>
                <w:color w:val="auto"/>
              </w:rPr>
            </w:pPr>
          </w:p>
        </w:tc>
      </w:tr>
      <w:tr>
        <w:trPr>
          <w:trHeight w:val="216"/>
        </w:trPr>
        <w:tc>
          <w:tcPr>
            <w:tcW w:w="6440" w:type="dxa"/>
            <w:vAlign w:val="bottom"/>
            <w:vMerge w:val="continue"/>
            <w:shd w:val="clear" w:color="auto" w:fill="EDEDED"/>
          </w:tcPr>
          <w:p>
            <w:pPr>
              <w:spacing w:after="0"/>
              <w:rPr>
                <w:sz w:val="18"/>
                <w:szCs w:val="18"/>
                <w:color w:val="auto"/>
              </w:rPr>
            </w:pPr>
          </w:p>
        </w:tc>
        <w:tc>
          <w:tcPr>
            <w:tcW w:w="800" w:type="dxa"/>
            <w:vAlign w:val="bottom"/>
            <w:vMerge w:val="continue"/>
            <w:shd w:val="clear" w:color="auto" w:fill="EDEDED"/>
          </w:tcPr>
          <w:p>
            <w:pPr>
              <w:spacing w:after="0"/>
              <w:rPr>
                <w:sz w:val="18"/>
                <w:szCs w:val="18"/>
                <w:color w:val="auto"/>
              </w:rPr>
            </w:pPr>
          </w:p>
        </w:tc>
        <w:tc>
          <w:tcPr>
            <w:tcW w:w="1140" w:type="dxa"/>
            <w:vAlign w:val="bottom"/>
            <w:vMerge w:val="continue"/>
            <w:shd w:val="clear" w:color="auto" w:fill="EDEDED"/>
          </w:tcPr>
          <w:p>
            <w:pPr>
              <w:spacing w:after="0"/>
              <w:rPr>
                <w:sz w:val="18"/>
                <w:szCs w:val="18"/>
                <w:color w:val="auto"/>
              </w:rPr>
            </w:pPr>
          </w:p>
        </w:tc>
        <w:tc>
          <w:tcPr>
            <w:tcW w:w="1600" w:type="dxa"/>
            <w:vAlign w:val="bottom"/>
            <w:vMerge w:val="continue"/>
            <w:shd w:val="clear" w:color="auto" w:fill="EDEDED"/>
          </w:tcPr>
          <w:p>
            <w:pPr>
              <w:spacing w:after="0"/>
              <w:rPr>
                <w:sz w:val="18"/>
                <w:szCs w:val="18"/>
                <w:color w:val="auto"/>
              </w:rPr>
            </w:pPr>
          </w:p>
        </w:tc>
        <w:tc>
          <w:tcPr>
            <w:tcW w:w="440" w:type="dxa"/>
            <w:vAlign w:val="bottom"/>
            <w:vMerge w:val="continue"/>
            <w:shd w:val="clear" w:color="auto" w:fill="EDEDED"/>
          </w:tcPr>
          <w:p>
            <w:pPr>
              <w:spacing w:after="0"/>
              <w:rPr>
                <w:sz w:val="18"/>
                <w:szCs w:val="18"/>
                <w:color w:val="auto"/>
              </w:rPr>
            </w:pPr>
          </w:p>
        </w:tc>
        <w:tc>
          <w:tcPr>
            <w:tcW w:w="600" w:type="dxa"/>
            <w:vAlign w:val="bottom"/>
            <w:vMerge w:val="continue"/>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EDEDED"/>
            </w:tcBorders>
          </w:tcPr>
          <w:p>
            <w:pPr>
              <w:ind w:left="60"/>
              <w:spacing w:after="0" w:line="243" w:lineRule="exact"/>
              <w:rPr>
                <w:sz w:val="20"/>
                <w:szCs w:val="20"/>
                <w:color w:val="auto"/>
              </w:rPr>
            </w:pPr>
            <w:r>
              <w:rPr>
                <w:rFonts w:ascii="Arial" w:cs="Arial" w:eastAsia="Arial" w:hAnsi="Arial"/>
                <w:sz w:val="16"/>
                <w:szCs w:val="16"/>
                <w:color w:val="auto"/>
              </w:rPr>
              <w:t>Erin L. Russell</w:t>
            </w:r>
            <w:r>
              <w:rPr>
                <w:rFonts w:ascii="Arial" w:cs="Arial" w:eastAsia="Arial" w:hAnsi="Arial"/>
                <w:sz w:val="24"/>
                <w:szCs w:val="24"/>
                <w:color w:val="auto"/>
                <w:vertAlign w:val="superscript"/>
              </w:rPr>
              <w:t>(1)</w:t>
            </w:r>
          </w:p>
        </w:tc>
        <w:tc>
          <w:tcPr>
            <w:tcW w:w="80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DEDED"/>
            </w:tcBorders>
          </w:tcPr>
          <w:p>
            <w:pPr>
              <w:jc w:val="right"/>
              <w:ind w:right="481"/>
              <w:spacing w:after="0"/>
              <w:rPr>
                <w:sz w:val="20"/>
                <w:szCs w:val="20"/>
                <w:color w:val="auto"/>
              </w:rPr>
            </w:pPr>
            <w:r>
              <w:rPr>
                <w:rFonts w:ascii="Arial" w:cs="Arial" w:eastAsia="Arial" w:hAnsi="Arial"/>
                <w:sz w:val="16"/>
                <w:szCs w:val="16"/>
                <w:color w:val="auto"/>
              </w:rPr>
              <w:t>82,500</w:t>
            </w:r>
          </w:p>
        </w:tc>
        <w:tc>
          <w:tcPr>
            <w:tcW w:w="1600" w:type="dxa"/>
            <w:vAlign w:val="bottom"/>
            <w:tcBorders>
              <w:bottom w:val="single" w:sz="8" w:color="EDEDED"/>
            </w:tcBorders>
          </w:tcPr>
          <w:p>
            <w:pPr>
              <w:jc w:val="right"/>
              <w:ind w:right="302"/>
              <w:spacing w:after="0"/>
              <w:rPr>
                <w:sz w:val="20"/>
                <w:szCs w:val="20"/>
                <w:color w:val="auto"/>
              </w:rPr>
            </w:pPr>
            <w:r>
              <w:rPr>
                <w:rFonts w:ascii="Arial" w:cs="Arial" w:eastAsia="Arial" w:hAnsi="Arial"/>
                <w:sz w:val="16"/>
                <w:szCs w:val="16"/>
                <w:color w:val="auto"/>
              </w:rPr>
              <w:t>$420,000</w:t>
            </w:r>
          </w:p>
        </w:tc>
        <w:tc>
          <w:tcPr>
            <w:tcW w:w="44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502,500</w:t>
            </w:r>
          </w:p>
        </w:tc>
        <w:tc>
          <w:tcPr>
            <w:tcW w:w="0" w:type="dxa"/>
            <w:vAlign w:val="bottom"/>
          </w:tcPr>
          <w:p>
            <w:pPr>
              <w:spacing w:after="0"/>
              <w:rPr>
                <w:sz w:val="1"/>
                <w:szCs w:val="1"/>
                <w:color w:val="auto"/>
              </w:rPr>
            </w:pPr>
          </w:p>
        </w:tc>
      </w:tr>
      <w:tr>
        <w:trPr>
          <w:trHeight w:val="216"/>
        </w:trPr>
        <w:tc>
          <w:tcPr>
            <w:tcW w:w="6440" w:type="dxa"/>
            <w:vAlign w:val="bottom"/>
            <w:shd w:val="clear" w:color="auto" w:fill="EDEDED"/>
          </w:tcPr>
          <w:p>
            <w:pPr>
              <w:ind w:left="60"/>
              <w:spacing w:after="0" w:line="216" w:lineRule="exact"/>
              <w:rPr>
                <w:sz w:val="20"/>
                <w:szCs w:val="20"/>
                <w:color w:val="auto"/>
              </w:rPr>
            </w:pPr>
            <w:r>
              <w:rPr>
                <w:rFonts w:ascii="Arial" w:cs="Arial" w:eastAsia="Arial" w:hAnsi="Arial"/>
                <w:sz w:val="16"/>
                <w:szCs w:val="16"/>
                <w:color w:val="auto"/>
              </w:rPr>
              <w:t>Machelle Sanders</w:t>
            </w:r>
            <w:r>
              <w:rPr>
                <w:rFonts w:ascii="Arial" w:cs="Arial" w:eastAsia="Arial" w:hAnsi="Arial"/>
                <w:sz w:val="24"/>
                <w:szCs w:val="24"/>
                <w:color w:val="auto"/>
                <w:vertAlign w:val="superscript"/>
              </w:rPr>
              <w:t>(2)</w:t>
            </w:r>
          </w:p>
        </w:tc>
        <w:tc>
          <w:tcPr>
            <w:tcW w:w="8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D"/>
          </w:tcPr>
          <w:p>
            <w:pPr>
              <w:jc w:val="right"/>
              <w:ind w:right="481"/>
              <w:spacing w:after="0"/>
              <w:rPr>
                <w:sz w:val="20"/>
                <w:szCs w:val="20"/>
                <w:color w:val="auto"/>
              </w:rPr>
            </w:pPr>
            <w:r>
              <w:rPr>
                <w:rFonts w:ascii="Arial" w:cs="Arial" w:eastAsia="Arial" w:hAnsi="Arial"/>
                <w:sz w:val="16"/>
                <w:szCs w:val="16"/>
                <w:color w:val="auto"/>
                <w:w w:val="96"/>
              </w:rPr>
              <w:t>100,000</w:t>
            </w:r>
          </w:p>
        </w:tc>
        <w:tc>
          <w:tcPr>
            <w:tcW w:w="1600" w:type="dxa"/>
            <w:vAlign w:val="bottom"/>
            <w:shd w:val="clear" w:color="auto" w:fill="EDEDED"/>
          </w:tcPr>
          <w:p>
            <w:pPr>
              <w:jc w:val="right"/>
              <w:ind w:right="302"/>
              <w:spacing w:after="0"/>
              <w:rPr>
                <w:sz w:val="20"/>
                <w:szCs w:val="20"/>
                <w:color w:val="auto"/>
              </w:rPr>
            </w:pPr>
            <w:r>
              <w:rPr>
                <w:rFonts w:ascii="Arial" w:cs="Arial" w:eastAsia="Arial" w:hAnsi="Arial"/>
                <w:sz w:val="16"/>
                <w:szCs w:val="16"/>
                <w:color w:val="auto"/>
              </w:rPr>
              <w:t>$210,000</w:t>
            </w:r>
          </w:p>
        </w:tc>
        <w:tc>
          <w:tcPr>
            <w:tcW w:w="4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310,000</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EDEDED"/>
            </w:tcBorders>
          </w:tcPr>
          <w:p>
            <w:pPr>
              <w:ind w:left="60"/>
              <w:spacing w:after="0"/>
              <w:rPr>
                <w:sz w:val="20"/>
                <w:szCs w:val="20"/>
                <w:color w:val="auto"/>
              </w:rPr>
            </w:pPr>
            <w:r>
              <w:rPr>
                <w:rFonts w:ascii="Arial" w:cs="Arial" w:eastAsia="Arial" w:hAnsi="Arial"/>
                <w:sz w:val="16"/>
                <w:szCs w:val="16"/>
                <w:color w:val="auto"/>
              </w:rPr>
              <w:t>William Sharbaugh</w:t>
            </w:r>
          </w:p>
        </w:tc>
        <w:tc>
          <w:tcPr>
            <w:tcW w:w="80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DEDED"/>
            </w:tcBorders>
          </w:tcPr>
          <w:p>
            <w:pPr>
              <w:jc w:val="right"/>
              <w:ind w:right="481"/>
              <w:spacing w:after="0"/>
              <w:rPr>
                <w:sz w:val="20"/>
                <w:szCs w:val="20"/>
                <w:color w:val="auto"/>
              </w:rPr>
            </w:pPr>
            <w:r>
              <w:rPr>
                <w:rFonts w:ascii="Arial" w:cs="Arial" w:eastAsia="Arial" w:hAnsi="Arial"/>
                <w:sz w:val="16"/>
                <w:szCs w:val="16"/>
                <w:color w:val="auto"/>
              </w:rPr>
              <w:t>22,500</w:t>
            </w:r>
          </w:p>
        </w:tc>
        <w:tc>
          <w:tcPr>
            <w:tcW w:w="1600" w:type="dxa"/>
            <w:vAlign w:val="bottom"/>
            <w:tcBorders>
              <w:bottom w:val="single" w:sz="8" w:color="EDEDED"/>
            </w:tcBorders>
          </w:tcPr>
          <w:p>
            <w:pPr>
              <w:jc w:val="right"/>
              <w:ind w:right="30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16"/>
        </w:trPr>
        <w:tc>
          <w:tcPr>
            <w:tcW w:w="6440" w:type="dxa"/>
            <w:vAlign w:val="bottom"/>
            <w:shd w:val="clear" w:color="auto" w:fill="EDEDED"/>
          </w:tcPr>
          <w:p>
            <w:pPr>
              <w:ind w:left="60"/>
              <w:spacing w:after="0" w:line="216" w:lineRule="exact"/>
              <w:rPr>
                <w:sz w:val="20"/>
                <w:szCs w:val="20"/>
                <w:color w:val="auto"/>
              </w:rPr>
            </w:pPr>
            <w:r>
              <w:rPr>
                <w:rFonts w:ascii="Arial" w:cs="Arial" w:eastAsia="Arial" w:hAnsi="Arial"/>
                <w:sz w:val="16"/>
                <w:szCs w:val="16"/>
                <w:color w:val="auto"/>
              </w:rPr>
              <w:t>David Smith</w:t>
            </w:r>
            <w:r>
              <w:rPr>
                <w:rFonts w:ascii="Arial" w:cs="Arial" w:eastAsia="Arial" w:hAnsi="Arial"/>
                <w:sz w:val="24"/>
                <w:szCs w:val="24"/>
                <w:color w:val="auto"/>
                <w:vertAlign w:val="superscript"/>
              </w:rPr>
              <w:t>(4)</w:t>
            </w:r>
          </w:p>
        </w:tc>
        <w:tc>
          <w:tcPr>
            <w:tcW w:w="8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D"/>
          </w:tcPr>
          <w:p>
            <w:pPr>
              <w:jc w:val="right"/>
              <w:ind w:right="481"/>
              <w:spacing w:after="0"/>
              <w:rPr>
                <w:sz w:val="20"/>
                <w:szCs w:val="20"/>
                <w:color w:val="auto"/>
              </w:rPr>
            </w:pPr>
            <w:r>
              <w:rPr>
                <w:rFonts w:ascii="Arial" w:cs="Arial" w:eastAsia="Arial" w:hAnsi="Arial"/>
                <w:sz w:val="16"/>
                <w:szCs w:val="16"/>
                <w:color w:val="auto"/>
                <w:w w:val="96"/>
              </w:rPr>
              <w:t>107,466</w:t>
            </w:r>
          </w:p>
        </w:tc>
        <w:tc>
          <w:tcPr>
            <w:tcW w:w="1600" w:type="dxa"/>
            <w:vAlign w:val="bottom"/>
            <w:shd w:val="clear" w:color="auto" w:fill="EDEDED"/>
          </w:tcPr>
          <w:p>
            <w:pPr>
              <w:jc w:val="right"/>
              <w:ind w:right="302"/>
              <w:spacing w:after="0"/>
              <w:rPr>
                <w:sz w:val="20"/>
                <w:szCs w:val="20"/>
                <w:color w:val="auto"/>
              </w:rPr>
            </w:pPr>
            <w:r>
              <w:rPr>
                <w:rFonts w:ascii="Arial" w:cs="Arial" w:eastAsia="Arial" w:hAnsi="Arial"/>
                <w:sz w:val="16"/>
                <w:szCs w:val="16"/>
                <w:color w:val="auto"/>
              </w:rPr>
              <w:t>$210,000</w:t>
            </w:r>
          </w:p>
        </w:tc>
        <w:tc>
          <w:tcPr>
            <w:tcW w:w="4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317,466</w:t>
            </w:r>
          </w:p>
        </w:tc>
        <w:tc>
          <w:tcPr>
            <w:tcW w:w="0" w:type="dxa"/>
            <w:vAlign w:val="bottom"/>
          </w:tcPr>
          <w:p>
            <w:pPr>
              <w:spacing w:after="0"/>
              <w:rPr>
                <w:sz w:val="1"/>
                <w:szCs w:val="1"/>
                <w:color w:val="auto"/>
              </w:rPr>
            </w:pPr>
          </w:p>
        </w:tc>
      </w:tr>
      <w:tr>
        <w:trPr>
          <w:trHeight w:val="338"/>
        </w:trPr>
        <w:tc>
          <w:tcPr>
            <w:tcW w:w="6440" w:type="dxa"/>
            <w:vAlign w:val="bottom"/>
          </w:tcPr>
          <w:p>
            <w:pPr>
              <w:ind w:left="60"/>
              <w:spacing w:after="0"/>
              <w:rPr>
                <w:sz w:val="20"/>
                <w:szCs w:val="20"/>
                <w:color w:val="auto"/>
              </w:rPr>
            </w:pPr>
            <w:r>
              <w:rPr>
                <w:rFonts w:ascii="Arial" w:cs="Arial" w:eastAsia="Arial" w:hAnsi="Arial"/>
                <w:sz w:val="16"/>
                <w:szCs w:val="16"/>
                <w:color w:val="auto"/>
              </w:rPr>
              <w:t>R. Andrew Eckert</w:t>
            </w:r>
            <w:r>
              <w:rPr>
                <w:rFonts w:ascii="Arial" w:cs="Arial" w:eastAsia="Arial" w:hAnsi="Arial"/>
                <w:sz w:val="24"/>
                <w:szCs w:val="24"/>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81"/>
              <w:spacing w:after="0"/>
              <w:rPr>
                <w:sz w:val="20"/>
                <w:szCs w:val="20"/>
                <w:color w:val="auto"/>
              </w:rPr>
            </w:pPr>
            <w:r>
              <w:rPr>
                <w:rFonts w:ascii="Arial" w:cs="Arial" w:eastAsia="Arial" w:hAnsi="Arial"/>
                <w:sz w:val="16"/>
                <w:szCs w:val="16"/>
                <w:color w:val="auto"/>
              </w:rPr>
              <w:t>75,000</w:t>
            </w:r>
          </w:p>
        </w:tc>
        <w:tc>
          <w:tcPr>
            <w:tcW w:w="16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0" w:right="320" w:hanging="324"/>
        <w:spacing w:after="0" w:line="243"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Ms. Russell joined the Board of Directors in 2025, replacing Mr. Eckert who served on the Board for a partial year in 2025. Mr. Eckert received a prorated annual cash retainer. Ms. Russell received a partial year cash retainer and an initial RSU grant, in addition to her normal annual RSU grant.</w:t>
      </w:r>
    </w:p>
    <w:p>
      <w:pPr>
        <w:spacing w:after="0" w:line="48" w:lineRule="exact"/>
        <w:rPr>
          <w:rFonts w:ascii="Arial" w:cs="Arial" w:eastAsia="Arial" w:hAnsi="Arial"/>
          <w:sz w:val="13"/>
          <w:szCs w:val="13"/>
          <w:color w:val="auto"/>
        </w:rPr>
      </w:pPr>
    </w:p>
    <w:p>
      <w:pPr>
        <w:ind w:left="440" w:right="280" w:hanging="324"/>
        <w:spacing w:after="0" w:line="243"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All RSUs granted to any directors have been valued based on the fair value of the RSUs using the market value as of the date of grant. A discussion of the assumptions used in calculating these values can be found in Note 15 to the Consolidated Financial Statements in the Company’s Annual Report on Form 10-K for the year ended December 31, 2025.</w:t>
      </w:r>
    </w:p>
    <w:p>
      <w:pPr>
        <w:spacing w:after="0" w:line="48" w:lineRule="exact"/>
        <w:rPr>
          <w:rFonts w:ascii="Arial" w:cs="Arial" w:eastAsia="Arial" w:hAnsi="Arial"/>
          <w:sz w:val="13"/>
          <w:szCs w:val="13"/>
          <w:color w:val="auto"/>
        </w:rPr>
      </w:pPr>
    </w:p>
    <w:p>
      <w:pPr>
        <w:ind w:left="440" w:hanging="324"/>
        <w:spacing w:after="0"/>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aggregate number of RSUs outstanding for each director appears in “Security Ownership of Certain Beneficial Owners and Management.”</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Mr. Smith elects to have US tax withholding; therefore, his fees paid in cash are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 xml:space="preserve">FORTREA  •  2026 Proxy Statement   </w:t>
      </w:r>
      <w:r>
        <w:rPr>
          <w:rFonts w:ascii="Arial" w:cs="Arial" w:eastAsia="Arial" w:hAnsi="Arial"/>
          <w:sz w:val="12"/>
          <w:szCs w:val="12"/>
          <w:b w:val="1"/>
          <w:bCs w:val="1"/>
          <w:color w:val="0BC11C"/>
        </w:rPr>
        <w:t>51</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5"/>
          <w:szCs w:val="25"/>
          <w:color w:val="auto"/>
        </w:rPr>
        <w:t>Equity Compensation Plan Information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certain information as of December 31, 2025, regarding Fortrea’s equity compensation plans.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08"/>
        </w:trPr>
        <w:tc>
          <w:tcPr>
            <w:tcW w:w="5240" w:type="dxa"/>
            <w:vAlign w:val="bottom"/>
            <w:shd w:val="clear" w:color="auto" w:fill="0BC11C"/>
          </w:tcPr>
          <w:p>
            <w:pPr>
              <w:spacing w:after="0"/>
              <w:rPr>
                <w:sz w:val="9"/>
                <w:szCs w:val="9"/>
                <w:color w:val="auto"/>
              </w:rPr>
            </w:pPr>
          </w:p>
        </w:tc>
        <w:tc>
          <w:tcPr>
            <w:tcW w:w="880" w:type="dxa"/>
            <w:vAlign w:val="bottom"/>
            <w:shd w:val="clear" w:color="auto" w:fill="0BC11C"/>
          </w:tcPr>
          <w:p>
            <w:pPr>
              <w:spacing w:after="0"/>
              <w:rPr>
                <w:sz w:val="9"/>
                <w:szCs w:val="9"/>
                <w:color w:val="auto"/>
              </w:rPr>
            </w:pPr>
          </w:p>
        </w:tc>
        <w:tc>
          <w:tcPr>
            <w:tcW w:w="780" w:type="dxa"/>
            <w:vAlign w:val="bottom"/>
            <w:shd w:val="clear" w:color="auto" w:fill="0BC11C"/>
          </w:tcPr>
          <w:p>
            <w:pPr>
              <w:spacing w:after="0"/>
              <w:rPr>
                <w:sz w:val="9"/>
                <w:szCs w:val="9"/>
                <w:color w:val="auto"/>
              </w:rPr>
            </w:pPr>
          </w:p>
        </w:tc>
        <w:tc>
          <w:tcPr>
            <w:tcW w:w="400" w:type="dxa"/>
            <w:vAlign w:val="bottom"/>
            <w:shd w:val="clear" w:color="auto" w:fill="0BC11C"/>
          </w:tcPr>
          <w:p>
            <w:pPr>
              <w:spacing w:after="0"/>
              <w:rPr>
                <w:sz w:val="9"/>
                <w:szCs w:val="9"/>
                <w:color w:val="auto"/>
              </w:rPr>
            </w:pPr>
          </w:p>
        </w:tc>
        <w:tc>
          <w:tcPr>
            <w:tcW w:w="1680" w:type="dxa"/>
            <w:vAlign w:val="bottom"/>
            <w:shd w:val="clear" w:color="auto" w:fill="0BC11C"/>
          </w:tcPr>
          <w:p>
            <w:pPr>
              <w:spacing w:after="0"/>
              <w:rPr>
                <w:sz w:val="9"/>
                <w:szCs w:val="9"/>
                <w:color w:val="auto"/>
              </w:rPr>
            </w:pPr>
          </w:p>
        </w:tc>
        <w:tc>
          <w:tcPr>
            <w:tcW w:w="920" w:type="dxa"/>
            <w:vAlign w:val="bottom"/>
            <w:shd w:val="clear" w:color="auto" w:fill="0BC11C"/>
          </w:tcPr>
          <w:p>
            <w:pPr>
              <w:spacing w:after="0"/>
              <w:rPr>
                <w:sz w:val="9"/>
                <w:szCs w:val="9"/>
                <w:color w:val="auto"/>
              </w:rPr>
            </w:pPr>
          </w:p>
        </w:tc>
        <w:tc>
          <w:tcPr>
            <w:tcW w:w="960" w:type="dxa"/>
            <w:vAlign w:val="bottom"/>
            <w:shd w:val="clear" w:color="auto" w:fill="0BC11C"/>
          </w:tcPr>
          <w:p>
            <w:pPr>
              <w:spacing w:after="0"/>
              <w:rPr>
                <w:sz w:val="9"/>
                <w:szCs w:val="9"/>
                <w:color w:val="auto"/>
              </w:rPr>
            </w:pPr>
          </w:p>
        </w:tc>
        <w:tc>
          <w:tcPr>
            <w:tcW w:w="160" w:type="dxa"/>
            <w:vAlign w:val="bottom"/>
            <w:shd w:val="clear" w:color="auto" w:fill="0BC11C"/>
          </w:tcPr>
          <w:p>
            <w:pPr>
              <w:spacing w:after="0"/>
              <w:rPr>
                <w:sz w:val="9"/>
                <w:szCs w:val="9"/>
                <w:color w:val="auto"/>
              </w:rPr>
            </w:pPr>
          </w:p>
        </w:tc>
        <w:tc>
          <w:tcPr>
            <w:tcW w:w="20" w:type="dxa"/>
            <w:vAlign w:val="bottom"/>
          </w:tcPr>
          <w:p>
            <w:pPr>
              <w:spacing w:after="0"/>
              <w:rPr>
                <w:sz w:val="9"/>
                <w:szCs w:val="9"/>
                <w:color w:val="auto"/>
              </w:rPr>
            </w:pPr>
          </w:p>
        </w:tc>
      </w:tr>
      <w:tr>
        <w:trPr>
          <w:trHeight w:val="153"/>
        </w:trPr>
        <w:tc>
          <w:tcPr>
            <w:tcW w:w="5240" w:type="dxa"/>
            <w:vAlign w:val="bottom"/>
            <w:shd w:val="clear" w:color="auto" w:fill="0BC11C"/>
          </w:tcPr>
          <w:p>
            <w:pPr>
              <w:spacing w:after="0"/>
              <w:rPr>
                <w:sz w:val="13"/>
                <w:szCs w:val="13"/>
                <w:color w:val="auto"/>
              </w:rPr>
            </w:pPr>
          </w:p>
        </w:tc>
        <w:tc>
          <w:tcPr>
            <w:tcW w:w="2060" w:type="dxa"/>
            <w:vAlign w:val="bottom"/>
            <w:gridSpan w:val="3"/>
          </w:tcPr>
          <w:p>
            <w:pPr>
              <w:jc w:val="center"/>
              <w:ind w:left="146"/>
              <w:spacing w:after="0" w:line="153" w:lineRule="exact"/>
              <w:rPr>
                <w:sz w:val="20"/>
                <w:szCs w:val="20"/>
                <w:color w:val="auto"/>
              </w:rPr>
            </w:pPr>
            <w:r>
              <w:rPr>
                <w:rFonts w:ascii="Arial" w:cs="Arial" w:eastAsia="Arial" w:hAnsi="Arial"/>
                <w:sz w:val="14"/>
                <w:szCs w:val="14"/>
                <w:b w:val="1"/>
                <w:bCs w:val="1"/>
                <w:color w:val="FFFFFF"/>
              </w:rPr>
              <w:t>Number of</w:t>
            </w: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FFFFFF"/>
              </w:rPr>
              <w:t>Weighted-</w:t>
            </w:r>
          </w:p>
        </w:tc>
        <w:tc>
          <w:tcPr>
            <w:tcW w:w="2040" w:type="dxa"/>
            <w:vAlign w:val="bottom"/>
            <w:gridSpan w:val="3"/>
          </w:tcPr>
          <w:p>
            <w:pPr>
              <w:jc w:val="center"/>
              <w:ind w:left="306"/>
              <w:spacing w:after="0" w:line="153" w:lineRule="exact"/>
              <w:rPr>
                <w:sz w:val="20"/>
                <w:szCs w:val="20"/>
                <w:color w:val="auto"/>
              </w:rPr>
            </w:pPr>
            <w:r>
              <w:rPr>
                <w:rFonts w:ascii="Arial" w:cs="Arial" w:eastAsia="Arial" w:hAnsi="Arial"/>
                <w:sz w:val="14"/>
                <w:szCs w:val="14"/>
                <w:b w:val="1"/>
                <w:bCs w:val="1"/>
                <w:color w:val="FFFFFF"/>
              </w:rPr>
              <w:t xml:space="preserve">Number of securities   </w:t>
            </w:r>
          </w:p>
        </w:tc>
        <w:tc>
          <w:tcPr>
            <w:tcW w:w="20" w:type="dxa"/>
            <w:vAlign w:val="bottom"/>
          </w:tcPr>
          <w:p>
            <w:pPr>
              <w:spacing w:after="0"/>
              <w:rPr>
                <w:sz w:val="13"/>
                <w:szCs w:val="13"/>
                <w:color w:val="auto"/>
              </w:rPr>
            </w:pP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FFFFFF"/>
              </w:rPr>
              <w:t>securities to be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average</w:t>
            </w:r>
          </w:p>
        </w:tc>
        <w:tc>
          <w:tcPr>
            <w:tcW w:w="2060" w:type="dxa"/>
            <w:vAlign w:val="bottom"/>
            <w:gridSpan w:val="4"/>
          </w:tcPr>
          <w:p>
            <w:pPr>
              <w:jc w:val="center"/>
              <w:ind w:left="306"/>
              <w:spacing w:after="0"/>
              <w:rPr>
                <w:sz w:val="20"/>
                <w:szCs w:val="20"/>
                <w:color w:val="auto"/>
              </w:rPr>
            </w:pPr>
            <w:r>
              <w:rPr>
                <w:rFonts w:ascii="Arial" w:cs="Arial" w:eastAsia="Arial" w:hAnsi="Arial"/>
                <w:sz w:val="14"/>
                <w:szCs w:val="14"/>
                <w:b w:val="1"/>
                <w:bCs w:val="1"/>
                <w:color w:val="FFFFFF"/>
              </w:rPr>
              <w:t xml:space="preserve">remaining available for   </w:t>
            </w: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FFFFFF"/>
              </w:rPr>
              <w:t>issued upon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exercise</w:t>
            </w:r>
          </w:p>
        </w:tc>
        <w:tc>
          <w:tcPr>
            <w:tcW w:w="2060" w:type="dxa"/>
            <w:vAlign w:val="bottom"/>
            <w:gridSpan w:val="4"/>
          </w:tcPr>
          <w:p>
            <w:pPr>
              <w:jc w:val="center"/>
              <w:ind w:left="286"/>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FFFFFF"/>
              </w:rPr>
              <w:t>exercise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price of</w:t>
            </w:r>
          </w:p>
        </w:tc>
        <w:tc>
          <w:tcPr>
            <w:tcW w:w="920" w:type="dxa"/>
            <w:vAlign w:val="bottom"/>
          </w:tcPr>
          <w:p>
            <w:pPr>
              <w:spacing w:after="0"/>
              <w:rPr>
                <w:sz w:val="14"/>
                <w:szCs w:val="14"/>
                <w:color w:val="auto"/>
              </w:rPr>
            </w:pPr>
          </w:p>
        </w:tc>
        <w:tc>
          <w:tcPr>
            <w:tcW w:w="11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FFFFFF"/>
              </w:rPr>
              <w:t xml:space="preserve">under   </w:t>
            </w: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FFFFFF"/>
              </w:rPr>
              <w:t>outstanding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outstanding</w:t>
            </w:r>
          </w:p>
        </w:tc>
        <w:tc>
          <w:tcPr>
            <w:tcW w:w="2060" w:type="dxa"/>
            <w:vAlign w:val="bottom"/>
            <w:gridSpan w:val="4"/>
          </w:tcPr>
          <w:p>
            <w:pPr>
              <w:jc w:val="center"/>
              <w:ind w:left="306"/>
              <w:spacing w:after="0"/>
              <w:rPr>
                <w:sz w:val="20"/>
                <w:szCs w:val="20"/>
                <w:color w:val="auto"/>
              </w:rPr>
            </w:pPr>
            <w:r>
              <w:rPr>
                <w:rFonts w:ascii="Arial" w:cs="Arial" w:eastAsia="Arial" w:hAnsi="Arial"/>
                <w:sz w:val="14"/>
                <w:szCs w:val="14"/>
                <w:b w:val="1"/>
                <w:bCs w:val="1"/>
                <w:color w:val="FFFFFF"/>
              </w:rPr>
              <w:t xml:space="preserve">equity compensation   </w:t>
            </w: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46"/>
              <w:spacing w:after="0"/>
              <w:rPr>
                <w:sz w:val="20"/>
                <w:szCs w:val="20"/>
                <w:color w:val="auto"/>
              </w:rPr>
            </w:pPr>
            <w:r>
              <w:rPr>
                <w:rFonts w:ascii="Arial" w:cs="Arial" w:eastAsia="Arial" w:hAnsi="Arial"/>
                <w:sz w:val="14"/>
                <w:szCs w:val="14"/>
                <w:b w:val="1"/>
                <w:bCs w:val="1"/>
                <w:color w:val="FFFFFF"/>
              </w:rPr>
              <w:t>options,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options,</w:t>
            </w:r>
          </w:p>
        </w:tc>
        <w:tc>
          <w:tcPr>
            <w:tcW w:w="2060" w:type="dxa"/>
            <w:vAlign w:val="bottom"/>
            <w:gridSpan w:val="4"/>
          </w:tcPr>
          <w:p>
            <w:pPr>
              <w:jc w:val="center"/>
              <w:ind w:left="306"/>
              <w:spacing w:after="0"/>
              <w:rPr>
                <w:sz w:val="20"/>
                <w:szCs w:val="20"/>
                <w:color w:val="auto"/>
              </w:rPr>
            </w:pPr>
            <w:r>
              <w:rPr>
                <w:rFonts w:ascii="Arial" w:cs="Arial" w:eastAsia="Arial" w:hAnsi="Arial"/>
                <w:sz w:val="14"/>
                <w:szCs w:val="14"/>
                <w:b w:val="1"/>
                <w:bCs w:val="1"/>
                <w:color w:val="FFFFFF"/>
              </w:rPr>
              <w:t xml:space="preserve">plans (excluding   </w:t>
            </w:r>
          </w:p>
        </w:tc>
      </w:tr>
      <w:tr>
        <w:trPr>
          <w:trHeight w:val="162"/>
        </w:trPr>
        <w:tc>
          <w:tcPr>
            <w:tcW w:w="5240" w:type="dxa"/>
            <w:vAlign w:val="bottom"/>
            <w:shd w:val="clear" w:color="auto" w:fill="0BC11C"/>
          </w:tcPr>
          <w:p>
            <w:pPr>
              <w:spacing w:after="0"/>
              <w:rPr>
                <w:sz w:val="14"/>
                <w:szCs w:val="14"/>
                <w:color w:val="auto"/>
              </w:rPr>
            </w:pPr>
          </w:p>
        </w:tc>
        <w:tc>
          <w:tcPr>
            <w:tcW w:w="2060" w:type="dxa"/>
            <w:vAlign w:val="bottom"/>
            <w:gridSpan w:val="3"/>
          </w:tcPr>
          <w:p>
            <w:pPr>
              <w:jc w:val="center"/>
              <w:ind w:left="166"/>
              <w:spacing w:after="0"/>
              <w:rPr>
                <w:sz w:val="20"/>
                <w:szCs w:val="20"/>
                <w:color w:val="auto"/>
              </w:rPr>
            </w:pPr>
            <w:r>
              <w:rPr>
                <w:rFonts w:ascii="Arial" w:cs="Arial" w:eastAsia="Arial" w:hAnsi="Arial"/>
                <w:sz w:val="14"/>
                <w:szCs w:val="14"/>
                <w:b w:val="1"/>
                <w:bCs w:val="1"/>
                <w:color w:val="FFFFFF"/>
              </w:rPr>
              <w:t>warrants and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warrants and</w:t>
            </w:r>
          </w:p>
        </w:tc>
        <w:tc>
          <w:tcPr>
            <w:tcW w:w="2060" w:type="dxa"/>
            <w:vAlign w:val="bottom"/>
            <w:gridSpan w:val="4"/>
          </w:tcPr>
          <w:p>
            <w:pPr>
              <w:jc w:val="center"/>
              <w:ind w:left="286"/>
              <w:spacing w:after="0"/>
              <w:rPr>
                <w:sz w:val="20"/>
                <w:szCs w:val="20"/>
                <w:color w:val="auto"/>
              </w:rPr>
            </w:pPr>
            <w:r>
              <w:rPr>
                <w:rFonts w:ascii="Arial" w:cs="Arial" w:eastAsia="Arial" w:hAnsi="Arial"/>
                <w:sz w:val="14"/>
                <w:szCs w:val="14"/>
                <w:b w:val="1"/>
                <w:bCs w:val="1"/>
                <w:color w:val="FFFFFF"/>
              </w:rPr>
              <w:t xml:space="preserve">securities reflected   </w:t>
            </w:r>
          </w:p>
        </w:tc>
      </w:tr>
      <w:tr>
        <w:trPr>
          <w:trHeight w:val="162"/>
        </w:trPr>
        <w:tc>
          <w:tcPr>
            <w:tcW w:w="5240" w:type="dxa"/>
            <w:vAlign w:val="bottom"/>
            <w:shd w:val="clear" w:color="auto" w:fill="0BC11C"/>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FFFFFF"/>
              </w:rPr>
              <w:t>rights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rights</w:t>
            </w:r>
          </w:p>
        </w:tc>
        <w:tc>
          <w:tcPr>
            <w:tcW w:w="2060" w:type="dxa"/>
            <w:vAlign w:val="bottom"/>
            <w:gridSpan w:val="4"/>
          </w:tcPr>
          <w:p>
            <w:pPr>
              <w:jc w:val="center"/>
              <w:ind w:left="286"/>
              <w:spacing w:after="0"/>
              <w:rPr>
                <w:sz w:val="20"/>
                <w:szCs w:val="20"/>
                <w:color w:val="auto"/>
              </w:rPr>
            </w:pPr>
            <w:r>
              <w:rPr>
                <w:rFonts w:ascii="Arial" w:cs="Arial" w:eastAsia="Arial" w:hAnsi="Arial"/>
                <w:sz w:val="14"/>
                <w:szCs w:val="14"/>
                <w:b w:val="1"/>
                <w:bCs w:val="1"/>
                <w:color w:val="FFFFFF"/>
              </w:rPr>
              <w:t xml:space="preserve">in column(a))   </w:t>
            </w:r>
          </w:p>
        </w:tc>
      </w:tr>
      <w:tr>
        <w:trPr>
          <w:trHeight w:val="210"/>
        </w:trPr>
        <w:tc>
          <w:tcPr>
            <w:tcW w:w="5240" w:type="dxa"/>
            <w:vAlign w:val="bottom"/>
            <w:shd w:val="clear" w:color="auto" w:fill="0BC11C"/>
          </w:tcPr>
          <w:p>
            <w:pPr>
              <w:ind w:left="60"/>
              <w:spacing w:after="0"/>
              <w:rPr>
                <w:sz w:val="20"/>
                <w:szCs w:val="20"/>
                <w:color w:val="auto"/>
              </w:rPr>
            </w:pPr>
            <w:r>
              <w:rPr>
                <w:rFonts w:ascii="Arial" w:cs="Arial" w:eastAsia="Arial" w:hAnsi="Arial"/>
                <w:sz w:val="14"/>
                <w:szCs w:val="14"/>
                <w:b w:val="1"/>
                <w:bCs w:val="1"/>
                <w:color w:val="FFFFFF"/>
              </w:rPr>
              <w:t>Plan</w:t>
            </w:r>
          </w:p>
        </w:tc>
        <w:tc>
          <w:tcPr>
            <w:tcW w:w="880" w:type="dxa"/>
            <w:vAlign w:val="bottom"/>
          </w:tcPr>
          <w:p>
            <w:pPr>
              <w:spacing w:after="0"/>
              <w:rPr>
                <w:sz w:val="18"/>
                <w:szCs w:val="18"/>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FFFFFF"/>
              </w:rPr>
              <w:t>(a)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FFFFFF"/>
              </w:rPr>
              <w:t>(b)</w:t>
            </w:r>
          </w:p>
        </w:tc>
        <w:tc>
          <w:tcPr>
            <w:tcW w:w="920" w:type="dxa"/>
            <w:vAlign w:val="bottom"/>
          </w:tcPr>
          <w:p>
            <w:pPr>
              <w:spacing w:after="0"/>
              <w:rPr>
                <w:sz w:val="18"/>
                <w:szCs w:val="18"/>
                <w:color w:val="auto"/>
              </w:rPr>
            </w:pPr>
          </w:p>
        </w:tc>
        <w:tc>
          <w:tcPr>
            <w:tcW w:w="11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FFFFFF"/>
              </w:rPr>
              <w:t xml:space="preserve">(c)   </w:t>
            </w:r>
          </w:p>
        </w:tc>
      </w:tr>
      <w:tr>
        <w:trPr>
          <w:trHeight w:val="83"/>
        </w:trPr>
        <w:tc>
          <w:tcPr>
            <w:tcW w:w="5240" w:type="dxa"/>
            <w:vAlign w:val="bottom"/>
            <w:shd w:val="clear" w:color="auto" w:fill="0BC11C"/>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54"/>
        </w:trPr>
        <w:tc>
          <w:tcPr>
            <w:tcW w:w="524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5,588,892</w:t>
            </w:r>
          </w:p>
        </w:tc>
        <w:tc>
          <w:tcPr>
            <w:tcW w:w="4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3"/>
              </w:rPr>
              <w:t>— </w:t>
            </w:r>
          </w:p>
        </w:tc>
        <w:tc>
          <w:tcPr>
            <w:tcW w:w="1880" w:type="dxa"/>
            <w:vAlign w:val="bottom"/>
            <w:gridSpan w:val="2"/>
          </w:tcPr>
          <w:p>
            <w:pPr>
              <w:jc w:val="right"/>
              <w:ind w:right="5"/>
              <w:spacing w:after="0"/>
              <w:rPr>
                <w:sz w:val="20"/>
                <w:szCs w:val="20"/>
                <w:color w:val="auto"/>
              </w:rPr>
            </w:pPr>
            <w:r>
              <w:rPr>
                <w:rFonts w:ascii="Arial" w:cs="Arial" w:eastAsia="Arial" w:hAnsi="Arial"/>
                <w:sz w:val="16"/>
                <w:szCs w:val="16"/>
                <w:color w:val="auto"/>
              </w:rPr>
              <w:t>7,900,217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
        </w:trPr>
        <w:tc>
          <w:tcPr>
            <w:tcW w:w="5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5240" w:type="dxa"/>
            <w:vAlign w:val="bottom"/>
            <w:shd w:val="clear" w:color="auto" w:fill="EDEDED"/>
          </w:tcPr>
          <w:p>
            <w:pPr>
              <w:ind w:left="60"/>
              <w:spacing w:after="0"/>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4"/>
                <w:szCs w:val="24"/>
                <w:color w:val="auto"/>
                <w:vertAlign w:val="superscript"/>
              </w:rPr>
              <w:t>(1)</w:t>
            </w:r>
          </w:p>
        </w:tc>
        <w:tc>
          <w:tcPr>
            <w:tcW w:w="880" w:type="dxa"/>
            <w:vAlign w:val="bottom"/>
            <w:shd w:val="clear" w:color="auto" w:fill="EDEDED"/>
          </w:tcPr>
          <w:p>
            <w:pPr>
              <w:spacing w:after="0"/>
              <w:rPr>
                <w:sz w:val="24"/>
                <w:szCs w:val="24"/>
                <w:color w:val="auto"/>
              </w:rPr>
            </w:pPr>
          </w:p>
        </w:tc>
        <w:tc>
          <w:tcPr>
            <w:tcW w:w="7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2,820,000</w:t>
            </w:r>
          </w:p>
        </w:tc>
        <w:tc>
          <w:tcPr>
            <w:tcW w:w="400" w:type="dxa"/>
            <w:vAlign w:val="bottom"/>
            <w:shd w:val="clear" w:color="auto" w:fill="EDEDED"/>
          </w:tcPr>
          <w:p>
            <w:pPr>
              <w:spacing w:after="0"/>
              <w:rPr>
                <w:sz w:val="24"/>
                <w:szCs w:val="24"/>
                <w:color w:val="auto"/>
              </w:rPr>
            </w:pPr>
          </w:p>
        </w:tc>
        <w:tc>
          <w:tcPr>
            <w:tcW w:w="168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83"/>
              </w:rPr>
              <w:t>— </w:t>
            </w:r>
          </w:p>
        </w:tc>
        <w:tc>
          <w:tcPr>
            <w:tcW w:w="920" w:type="dxa"/>
            <w:vAlign w:val="bottom"/>
            <w:shd w:val="clear" w:color="auto" w:fill="EDEDED"/>
          </w:tcPr>
          <w:p>
            <w:pPr>
              <w:spacing w:after="0"/>
              <w:rPr>
                <w:sz w:val="24"/>
                <w:szCs w:val="24"/>
                <w:color w:val="auto"/>
              </w:rPr>
            </w:pPr>
          </w:p>
        </w:tc>
        <w:tc>
          <w:tcPr>
            <w:tcW w:w="960" w:type="dxa"/>
            <w:vAlign w:val="bottom"/>
            <w:tcBorders>
              <w:bottom w:val="single" w:sz="8" w:color="auto"/>
            </w:tcBorders>
            <w:shd w:val="clear" w:color="auto" w:fill="EDEDED"/>
          </w:tcPr>
          <w:p>
            <w:pPr>
              <w:jc w:val="right"/>
              <w:ind w:right="5"/>
              <w:spacing w:after="0"/>
              <w:rPr>
                <w:sz w:val="20"/>
                <w:szCs w:val="20"/>
                <w:color w:val="auto"/>
              </w:rPr>
            </w:pPr>
            <w:r>
              <w:rPr>
                <w:rFonts w:ascii="Arial" w:cs="Arial" w:eastAsia="Arial" w:hAnsi="Arial"/>
                <w:sz w:val="16"/>
                <w:szCs w:val="16"/>
                <w:color w:val="auto"/>
              </w:rPr>
              <w:t>2,180,000</w:t>
            </w:r>
          </w:p>
        </w:tc>
        <w:tc>
          <w:tcPr>
            <w:tcW w:w="160" w:type="dxa"/>
            <w:vAlign w:val="bottom"/>
            <w:shd w:val="clear" w:color="auto" w:fill="EDEDED"/>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240" w:type="dxa"/>
            <w:vAlign w:val="bottom"/>
          </w:tcPr>
          <w:p>
            <w:pPr>
              <w:ind w:left="60"/>
              <w:spacing w:after="0"/>
              <w:rPr>
                <w:sz w:val="20"/>
                <w:szCs w:val="20"/>
                <w:color w:val="auto"/>
              </w:rPr>
            </w:pPr>
            <w:r>
              <w:rPr>
                <w:rFonts w:ascii="Arial" w:cs="Arial" w:eastAsia="Arial" w:hAnsi="Arial"/>
                <w:sz w:val="16"/>
                <w:szCs w:val="16"/>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8,408,892</w:t>
            </w:r>
          </w:p>
        </w:tc>
        <w:tc>
          <w:tcPr>
            <w:tcW w:w="4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3"/>
              </w:rPr>
              <w:t>— </w:t>
            </w:r>
          </w:p>
        </w:tc>
        <w:tc>
          <w:tcPr>
            <w:tcW w:w="1880" w:type="dxa"/>
            <w:vAlign w:val="bottom"/>
            <w:gridSpan w:val="2"/>
          </w:tcPr>
          <w:p>
            <w:pPr>
              <w:jc w:val="right"/>
              <w:ind w:right="5"/>
              <w:spacing w:after="0"/>
              <w:rPr>
                <w:sz w:val="20"/>
                <w:szCs w:val="20"/>
                <w:color w:val="auto"/>
              </w:rPr>
            </w:pPr>
            <w:r>
              <w:rPr>
                <w:rFonts w:ascii="Arial" w:cs="Arial" w:eastAsia="Arial" w:hAnsi="Arial"/>
                <w:sz w:val="16"/>
                <w:szCs w:val="16"/>
                <w:color w:val="auto"/>
              </w:rPr>
              <w:t>10,080,217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-1576705</wp:posOffset>
            </wp:positionV>
            <wp:extent cx="3669030" cy="10026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69030" cy="1002665"/>
                    </a:xfrm>
                    <a:prstGeom prst="rect">
                      <a:avLst/>
                    </a:prstGeom>
                    <a:noFill/>
                  </pic:spPr>
                </pic:pic>
              </a:graphicData>
            </a:graphic>
          </wp:anchor>
        </w:drawing>
      </w:r>
    </w:p>
    <w:p>
      <w:pPr>
        <w:spacing w:after="0" w:line="124"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equity issued and reserved for issuance under the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52</w:t>
      </w:r>
      <w:r>
        <w:rPr>
          <w:rFonts w:ascii="Arial" w:cs="Arial" w:eastAsia="Arial" w:hAnsi="Arial"/>
          <w:sz w:val="12"/>
          <w:szCs w:val="12"/>
          <w:color w:val="000000"/>
        </w:rPr>
        <w:t xml:space="preserve">   2026 Proxy Statement  •  FORTREA</w:t>
      </w:r>
    </w:p>
    <w:p>
      <w:pPr>
        <w:sectPr>
          <w:pgSz w:w="11900" w:h="16838" w:orient="portrait"/>
          <w:cols w:equalWidth="0" w:num="1">
            <w:col w:w="11160"/>
          </w:cols>
          <w:pgMar w:left="320" w:top="482"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Common Stock</w:t>
      </w:r>
    </w:p>
    <w:p>
      <w:pPr>
        <w:spacing w:after="0" w:line="16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To the best of our knowledge, 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15, 2026, unless otherwise indicated. The number of shares beneficially owned by each stockholder is determined under rules issued by the SEC. Under these rules, beneficial ownership includes any shares as to which a person or an entity has sole or shared voting power or investment power. Applicable percentage ownership is based on 94,584,730 shares of Common Stock outstanding and entitled to vote as of April 15, 2026.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15, 2026 are considered outstanding, although these shares are not considered outstanding for purposes of computing the percentage ownership of any other person.</w:t>
      </w:r>
    </w:p>
    <w:p>
      <w:pPr>
        <w:spacing w:after="0" w:line="10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Unless otherwise indicated, the address of each beneficial owner listed below is 8 Moore Drive, Durham, North Carolina 27713.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60" w:type="dxa"/>
            <w:vAlign w:val="bottom"/>
            <w:shd w:val="clear" w:color="auto" w:fill="0BC11C"/>
          </w:tcPr>
          <w:p>
            <w:pPr>
              <w:spacing w:after="0"/>
              <w:rPr>
                <w:sz w:val="17"/>
                <w:szCs w:val="17"/>
                <w:color w:val="auto"/>
              </w:rPr>
            </w:pPr>
          </w:p>
        </w:tc>
        <w:tc>
          <w:tcPr>
            <w:tcW w:w="2320" w:type="dxa"/>
            <w:vAlign w:val="bottom"/>
            <w:shd w:val="clear" w:color="auto" w:fill="0BC11C"/>
          </w:tcPr>
          <w:p>
            <w:pPr>
              <w:jc w:val="center"/>
              <w:ind w:left="240"/>
              <w:spacing w:after="0"/>
              <w:rPr>
                <w:sz w:val="20"/>
                <w:szCs w:val="20"/>
                <w:color w:val="auto"/>
              </w:rPr>
            </w:pPr>
            <w:r>
              <w:rPr>
                <w:rFonts w:ascii="Arial" w:cs="Arial" w:eastAsia="Arial" w:hAnsi="Arial"/>
                <w:sz w:val="14"/>
                <w:szCs w:val="14"/>
                <w:b w:val="1"/>
                <w:bCs w:val="1"/>
                <w:color w:val="FFFFFF"/>
              </w:rPr>
              <w:t>Common Stock</w:t>
            </w:r>
          </w:p>
        </w:tc>
        <w:tc>
          <w:tcPr>
            <w:tcW w:w="1540" w:type="dxa"/>
            <w:vAlign w:val="bottom"/>
            <w:shd w:val="clear" w:color="auto" w:fill="0BC11C"/>
          </w:tcPr>
          <w:p>
            <w:pPr>
              <w:spacing w:after="0"/>
              <w:rPr>
                <w:sz w:val="17"/>
                <w:szCs w:val="17"/>
                <w:color w:val="auto"/>
              </w:rPr>
            </w:pPr>
          </w:p>
        </w:tc>
      </w:tr>
      <w:tr>
        <w:trPr>
          <w:trHeight w:val="162"/>
        </w:trPr>
        <w:tc>
          <w:tcPr>
            <w:tcW w:w="7160" w:type="dxa"/>
            <w:vAlign w:val="bottom"/>
            <w:shd w:val="clear" w:color="auto" w:fill="0BC11C"/>
          </w:tcPr>
          <w:p>
            <w:pPr>
              <w:spacing w:after="0"/>
              <w:rPr>
                <w:sz w:val="14"/>
                <w:szCs w:val="14"/>
                <w:color w:val="auto"/>
              </w:rPr>
            </w:pPr>
          </w:p>
        </w:tc>
        <w:tc>
          <w:tcPr>
            <w:tcW w:w="2320" w:type="dxa"/>
            <w:vAlign w:val="bottom"/>
            <w:shd w:val="clear" w:color="auto" w:fill="0BC11C"/>
          </w:tcPr>
          <w:p>
            <w:pPr>
              <w:jc w:val="center"/>
              <w:ind w:left="240"/>
              <w:spacing w:after="0"/>
              <w:rPr>
                <w:sz w:val="20"/>
                <w:szCs w:val="20"/>
                <w:color w:val="auto"/>
              </w:rPr>
            </w:pPr>
            <w:r>
              <w:rPr>
                <w:rFonts w:ascii="Arial" w:cs="Arial" w:eastAsia="Arial" w:hAnsi="Arial"/>
                <w:sz w:val="14"/>
                <w:szCs w:val="14"/>
                <w:b w:val="1"/>
                <w:bCs w:val="1"/>
                <w:color w:val="FFFFFF"/>
              </w:rPr>
              <w:t>Beneficially</w:t>
            </w:r>
          </w:p>
        </w:tc>
        <w:tc>
          <w:tcPr>
            <w:tcW w:w="1540" w:type="dxa"/>
            <w:vAlign w:val="bottom"/>
            <w:shd w:val="clear" w:color="auto" w:fill="0BC11C"/>
          </w:tcPr>
          <w:p>
            <w:pPr>
              <w:spacing w:after="0"/>
              <w:rPr>
                <w:sz w:val="14"/>
                <w:szCs w:val="14"/>
                <w:color w:val="auto"/>
              </w:rPr>
            </w:pPr>
          </w:p>
        </w:tc>
      </w:tr>
      <w:tr>
        <w:trPr>
          <w:trHeight w:val="205"/>
        </w:trPr>
        <w:tc>
          <w:tcPr>
            <w:tcW w:w="7160" w:type="dxa"/>
            <w:vAlign w:val="bottom"/>
            <w:tcBorders>
              <w:bottom w:val="single" w:sz="8" w:color="0BC11C"/>
            </w:tcBorders>
            <w:shd w:val="clear" w:color="auto" w:fill="0BC11C"/>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320" w:type="dxa"/>
            <w:vAlign w:val="bottom"/>
            <w:tcBorders>
              <w:bottom w:val="single" w:sz="8" w:color="0BC11C"/>
            </w:tcBorders>
            <w:shd w:val="clear" w:color="auto" w:fill="0BC11C"/>
          </w:tcPr>
          <w:p>
            <w:pPr>
              <w:jc w:val="center"/>
              <w:ind w:left="240"/>
              <w:spacing w:after="0"/>
              <w:rPr>
                <w:sz w:val="20"/>
                <w:szCs w:val="20"/>
                <w:color w:val="auto"/>
              </w:rPr>
            </w:pPr>
            <w:r>
              <w:rPr>
                <w:rFonts w:ascii="Arial" w:cs="Arial" w:eastAsia="Arial" w:hAnsi="Arial"/>
                <w:sz w:val="14"/>
                <w:szCs w:val="14"/>
                <w:b w:val="1"/>
                <w:bCs w:val="1"/>
                <w:color w:val="FFFFFF"/>
              </w:rPr>
              <w:t>Owned</w:t>
            </w:r>
          </w:p>
        </w:tc>
        <w:tc>
          <w:tcPr>
            <w:tcW w:w="1540" w:type="dxa"/>
            <w:vAlign w:val="bottom"/>
            <w:tcBorders>
              <w:bottom w:val="single" w:sz="8" w:color="0BC11C"/>
            </w:tcBorders>
            <w:shd w:val="clear" w:color="auto" w:fill="0BC11C"/>
          </w:tcPr>
          <w:p>
            <w:pPr>
              <w:jc w:val="right"/>
              <w:ind w:right="80"/>
              <w:spacing w:after="0"/>
              <w:rPr>
                <w:sz w:val="20"/>
                <w:szCs w:val="20"/>
                <w:color w:val="auto"/>
              </w:rPr>
            </w:pPr>
            <w:r>
              <w:rPr>
                <w:rFonts w:ascii="Arial" w:cs="Arial" w:eastAsia="Arial" w:hAnsi="Arial"/>
                <w:sz w:val="14"/>
                <w:szCs w:val="14"/>
                <w:b w:val="1"/>
                <w:bCs w:val="1"/>
                <w:color w:val="FFFFFF"/>
              </w:rPr>
              <w:t xml:space="preserve">Percentage   </w:t>
            </w:r>
          </w:p>
        </w:tc>
      </w:tr>
      <w:tr>
        <w:trPr>
          <w:trHeight w:val="239"/>
        </w:trPr>
        <w:tc>
          <w:tcPr>
            <w:tcW w:w="7160" w:type="dxa"/>
            <w:vAlign w:val="bottom"/>
          </w:tcPr>
          <w:p>
            <w:pPr>
              <w:ind w:left="60"/>
              <w:spacing w:after="0"/>
              <w:rPr>
                <w:sz w:val="20"/>
                <w:szCs w:val="20"/>
                <w:color w:val="auto"/>
              </w:rPr>
            </w:pPr>
            <w:r>
              <w:rPr>
                <w:rFonts w:ascii="Arial" w:cs="Arial" w:eastAsia="Arial" w:hAnsi="Arial"/>
                <w:sz w:val="16"/>
                <w:szCs w:val="16"/>
                <w:b w:val="1"/>
                <w:bCs w:val="1"/>
                <w:color w:val="auto"/>
              </w:rPr>
              <w:t>5% or Greater Stockholders</w:t>
            </w: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160" w:type="dxa"/>
            <w:vAlign w:val="bottom"/>
            <w:shd w:val="clear" w:color="auto" w:fill="EDEDED"/>
          </w:tcPr>
          <w:p>
            <w:pPr>
              <w:ind w:left="60"/>
              <w:spacing w:after="0" w:line="247"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(1)</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13,807,176</w:t>
            </w:r>
          </w:p>
        </w:tc>
        <w:tc>
          <w:tcPr>
            <w:tcW w:w="1540" w:type="dxa"/>
            <w:vAlign w:val="bottom"/>
            <w:shd w:val="clear" w:color="auto" w:fill="EDEDED"/>
          </w:tcPr>
          <w:p>
            <w:pPr>
              <w:jc w:val="right"/>
              <w:ind w:right="120"/>
              <w:spacing w:after="0"/>
              <w:rPr>
                <w:sz w:val="20"/>
                <w:szCs w:val="20"/>
                <w:color w:val="auto"/>
              </w:rPr>
            </w:pPr>
            <w:r>
              <w:rPr>
                <w:rFonts w:ascii="Arial" w:cs="Arial" w:eastAsia="Arial" w:hAnsi="Arial"/>
                <w:sz w:val="16"/>
                <w:szCs w:val="16"/>
                <w:color w:val="auto"/>
              </w:rPr>
              <w:t>14.60% </w:t>
            </w:r>
          </w:p>
        </w:tc>
      </w:tr>
      <w:tr>
        <w:trPr>
          <w:trHeight w:val="243"/>
        </w:trPr>
        <w:tc>
          <w:tcPr>
            <w:tcW w:w="7160" w:type="dxa"/>
            <w:vAlign w:val="bottom"/>
          </w:tcPr>
          <w:p>
            <w:pPr>
              <w:ind w:left="60"/>
              <w:spacing w:after="0" w:line="243" w:lineRule="exact"/>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(2)</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8,691,374</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9.19% </w:t>
            </w:r>
          </w:p>
        </w:tc>
      </w:tr>
      <w:tr>
        <w:trPr>
          <w:trHeight w:val="189"/>
        </w:trPr>
        <w:tc>
          <w:tcPr>
            <w:tcW w:w="7160" w:type="dxa"/>
            <w:vAlign w:val="bottom"/>
            <w:shd w:val="clear" w:color="auto" w:fill="EDEDED"/>
          </w:tcPr>
          <w:p>
            <w:pPr>
              <w:ind w:left="60"/>
              <w:spacing w:after="0" w:line="189" w:lineRule="exact"/>
              <w:rPr>
                <w:sz w:val="20"/>
                <w:szCs w:val="20"/>
                <w:color w:val="auto"/>
              </w:rPr>
            </w:pPr>
            <w:r>
              <w:rPr>
                <w:rFonts w:ascii="Arial" w:cs="Arial" w:eastAsia="Arial" w:hAnsi="Arial"/>
                <w:sz w:val="14"/>
                <w:szCs w:val="14"/>
                <w:color w:val="auto"/>
              </w:rPr>
              <w:t>The Goldman Sachs Group, Inc.</w:t>
            </w:r>
            <w:r>
              <w:rPr>
                <w:rFonts w:ascii="Arial" w:cs="Arial" w:eastAsia="Arial" w:hAnsi="Arial"/>
                <w:sz w:val="21"/>
                <w:szCs w:val="21"/>
                <w:color w:val="auto"/>
                <w:vertAlign w:val="superscript"/>
              </w:rPr>
              <w:t>(3)</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8,031,366</w:t>
            </w:r>
          </w:p>
        </w:tc>
        <w:tc>
          <w:tcPr>
            <w:tcW w:w="1540" w:type="dxa"/>
            <w:vAlign w:val="bottom"/>
            <w:shd w:val="clear" w:color="auto" w:fill="EDEDED"/>
          </w:tcPr>
          <w:p>
            <w:pPr>
              <w:jc w:val="right"/>
              <w:ind w:right="120"/>
              <w:spacing w:after="0"/>
              <w:rPr>
                <w:sz w:val="20"/>
                <w:szCs w:val="20"/>
                <w:color w:val="auto"/>
              </w:rPr>
            </w:pPr>
            <w:r>
              <w:rPr>
                <w:rFonts w:ascii="Arial" w:cs="Arial" w:eastAsia="Arial" w:hAnsi="Arial"/>
                <w:sz w:val="16"/>
                <w:szCs w:val="16"/>
                <w:color w:val="auto"/>
              </w:rPr>
              <w:t>8.49% </w:t>
            </w:r>
          </w:p>
        </w:tc>
      </w:tr>
      <w:tr>
        <w:trPr>
          <w:trHeight w:val="239"/>
        </w:trPr>
        <w:tc>
          <w:tcPr>
            <w:tcW w:w="7160" w:type="dxa"/>
            <w:vAlign w:val="bottom"/>
          </w:tcPr>
          <w:p>
            <w:pPr>
              <w:ind w:left="60"/>
              <w:spacing w:after="0"/>
              <w:rPr>
                <w:sz w:val="20"/>
                <w:szCs w:val="20"/>
                <w:color w:val="auto"/>
              </w:rPr>
            </w:pPr>
            <w:r>
              <w:rPr>
                <w:rFonts w:ascii="Arial" w:cs="Arial" w:eastAsia="Arial" w:hAnsi="Arial"/>
                <w:sz w:val="16"/>
                <w:szCs w:val="16"/>
                <w:b w:val="1"/>
                <w:bCs w:val="1"/>
                <w:color w:val="auto"/>
              </w:rPr>
              <w:t>Named Executive Officers</w:t>
            </w: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160" w:type="dxa"/>
            <w:vAlign w:val="bottom"/>
            <w:shd w:val="clear" w:color="auto" w:fill="EDEDED"/>
          </w:tcPr>
          <w:p>
            <w:pPr>
              <w:ind w:left="60"/>
              <w:spacing w:after="0" w:line="247" w:lineRule="exact"/>
              <w:rPr>
                <w:sz w:val="20"/>
                <w:szCs w:val="20"/>
                <w:color w:val="auto"/>
              </w:rPr>
            </w:pPr>
            <w:r>
              <w:rPr>
                <w:rFonts w:ascii="Arial" w:cs="Arial" w:eastAsia="Arial" w:hAnsi="Arial"/>
                <w:sz w:val="16"/>
                <w:szCs w:val="16"/>
                <w:color w:val="auto"/>
              </w:rPr>
              <w:t>Anshul Thakral</w:t>
            </w:r>
            <w:r>
              <w:rPr>
                <w:rFonts w:ascii="Arial" w:cs="Arial" w:eastAsia="Arial" w:hAnsi="Arial"/>
                <w:sz w:val="24"/>
                <w:szCs w:val="24"/>
                <w:color w:val="auto"/>
                <w:vertAlign w:val="superscript"/>
              </w:rPr>
              <w:t>(4)</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tcPr>
          <w:p>
            <w:pPr>
              <w:ind w:left="60"/>
              <w:spacing w:after="0" w:line="243" w:lineRule="exact"/>
              <w:rPr>
                <w:sz w:val="20"/>
                <w:szCs w:val="20"/>
                <w:color w:val="auto"/>
              </w:rPr>
            </w:pPr>
            <w:r>
              <w:rPr>
                <w:rFonts w:ascii="Arial" w:cs="Arial" w:eastAsia="Arial" w:hAnsi="Arial"/>
                <w:sz w:val="16"/>
                <w:szCs w:val="16"/>
                <w:color w:val="auto"/>
              </w:rPr>
              <w:t>Jill McConnell</w:t>
            </w:r>
            <w:r>
              <w:rPr>
                <w:rFonts w:ascii="Arial" w:cs="Arial" w:eastAsia="Arial" w:hAnsi="Arial"/>
                <w:sz w:val="24"/>
                <w:szCs w:val="24"/>
                <w:color w:val="auto"/>
                <w:vertAlign w:val="superscript"/>
              </w:rPr>
              <w:t>(5)</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85,086</w:t>
            </w:r>
          </w:p>
        </w:tc>
        <w:tc>
          <w:tcPr>
            <w:tcW w:w="154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shd w:val="clear" w:color="auto" w:fill="EDEDED"/>
          </w:tcPr>
          <w:p>
            <w:pPr>
              <w:ind w:left="60"/>
              <w:spacing w:after="0" w:line="243" w:lineRule="exact"/>
              <w:rPr>
                <w:sz w:val="20"/>
                <w:szCs w:val="20"/>
                <w:color w:val="auto"/>
              </w:rPr>
            </w:pPr>
            <w:r>
              <w:rPr>
                <w:rFonts w:ascii="Arial" w:cs="Arial" w:eastAsia="Arial" w:hAnsi="Arial"/>
                <w:sz w:val="16"/>
                <w:szCs w:val="16"/>
                <w:color w:val="auto"/>
              </w:rPr>
              <w:t>Mark Morais</w:t>
            </w:r>
            <w:r>
              <w:rPr>
                <w:rFonts w:ascii="Arial" w:cs="Arial" w:eastAsia="Arial" w:hAnsi="Arial"/>
                <w:sz w:val="24"/>
                <w:szCs w:val="24"/>
                <w:color w:val="auto"/>
                <w:vertAlign w:val="superscript"/>
              </w:rPr>
              <w:t>(6)</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87,334</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239"/>
        </w:trPr>
        <w:tc>
          <w:tcPr>
            <w:tcW w:w="7160" w:type="dxa"/>
            <w:vAlign w:val="bottom"/>
          </w:tcPr>
          <w:p>
            <w:pPr>
              <w:ind w:left="60"/>
              <w:spacing w:after="0"/>
              <w:rPr>
                <w:sz w:val="20"/>
                <w:szCs w:val="20"/>
                <w:color w:val="auto"/>
              </w:rPr>
            </w:pPr>
            <w:r>
              <w:rPr>
                <w:rFonts w:ascii="Arial" w:cs="Arial" w:eastAsia="Arial" w:hAnsi="Arial"/>
                <w:sz w:val="16"/>
                <w:szCs w:val="16"/>
                <w:b w:val="1"/>
                <w:bCs w:val="1"/>
                <w:color w:val="auto"/>
              </w:rPr>
              <w:t>Non-Employee Directors</w:t>
            </w: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160" w:type="dxa"/>
            <w:vAlign w:val="bottom"/>
            <w:shd w:val="clear" w:color="auto" w:fill="EDEDED"/>
          </w:tcPr>
          <w:p>
            <w:pPr>
              <w:ind w:left="60"/>
              <w:spacing w:after="0" w:line="247" w:lineRule="exact"/>
              <w:rPr>
                <w:sz w:val="20"/>
                <w:szCs w:val="20"/>
                <w:color w:val="auto"/>
              </w:rPr>
            </w:pPr>
            <w:r>
              <w:rPr>
                <w:rFonts w:ascii="Arial" w:cs="Arial" w:eastAsia="Arial" w:hAnsi="Arial"/>
                <w:sz w:val="16"/>
                <w:szCs w:val="16"/>
                <w:color w:val="auto"/>
              </w:rPr>
              <w:t>Peter Neupert</w:t>
            </w:r>
            <w:r>
              <w:rPr>
                <w:rFonts w:ascii="Arial" w:cs="Arial" w:eastAsia="Arial" w:hAnsi="Arial"/>
                <w:sz w:val="24"/>
                <w:szCs w:val="24"/>
                <w:color w:val="auto"/>
                <w:vertAlign w:val="superscript"/>
              </w:rPr>
              <w:t>(7)</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246,668</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tcPr>
          <w:p>
            <w:pPr>
              <w:ind w:left="60"/>
              <w:spacing w:after="0" w:line="243" w:lineRule="exact"/>
              <w:rPr>
                <w:sz w:val="20"/>
                <w:szCs w:val="20"/>
                <w:color w:val="auto"/>
              </w:rPr>
            </w:pPr>
            <w:r>
              <w:rPr>
                <w:rFonts w:ascii="Arial" w:cs="Arial" w:eastAsia="Arial" w:hAnsi="Arial"/>
                <w:sz w:val="16"/>
                <w:szCs w:val="16"/>
                <w:color w:val="auto"/>
              </w:rPr>
              <w:t>Edward Pesicka</w:t>
            </w:r>
            <w:r>
              <w:rPr>
                <w:rFonts w:ascii="Arial" w:cs="Arial" w:eastAsia="Arial" w:hAnsi="Arial"/>
                <w:sz w:val="24"/>
                <w:szCs w:val="24"/>
                <w:color w:val="auto"/>
                <w:vertAlign w:val="superscript"/>
              </w:rPr>
              <w:t>(8)</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52,453</w:t>
            </w:r>
          </w:p>
        </w:tc>
        <w:tc>
          <w:tcPr>
            <w:tcW w:w="154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shd w:val="clear" w:color="auto" w:fill="EDEDED"/>
          </w:tcPr>
          <w:p>
            <w:pPr>
              <w:ind w:left="60"/>
              <w:spacing w:after="0" w:line="243" w:lineRule="exact"/>
              <w:rPr>
                <w:sz w:val="20"/>
                <w:szCs w:val="20"/>
                <w:color w:val="auto"/>
              </w:rPr>
            </w:pPr>
            <w:r>
              <w:rPr>
                <w:rFonts w:ascii="Arial" w:cs="Arial" w:eastAsia="Arial" w:hAnsi="Arial"/>
                <w:sz w:val="16"/>
                <w:szCs w:val="16"/>
                <w:color w:val="auto"/>
              </w:rPr>
              <w:t>Dr. Amrit Ray</w:t>
            </w:r>
            <w:r>
              <w:rPr>
                <w:rFonts w:ascii="Arial" w:cs="Arial" w:eastAsia="Arial" w:hAnsi="Arial"/>
                <w:sz w:val="24"/>
                <w:szCs w:val="24"/>
                <w:color w:val="auto"/>
                <w:vertAlign w:val="superscript"/>
              </w:rPr>
              <w:t>(9)</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52,453</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tcPr>
          <w:p>
            <w:pPr>
              <w:ind w:left="60"/>
              <w:spacing w:after="0" w:line="243" w:lineRule="exact"/>
              <w:rPr>
                <w:sz w:val="20"/>
                <w:szCs w:val="20"/>
                <w:color w:val="auto"/>
              </w:rPr>
            </w:pPr>
            <w:r>
              <w:rPr>
                <w:rFonts w:ascii="Arial" w:cs="Arial" w:eastAsia="Arial" w:hAnsi="Arial"/>
                <w:sz w:val="16"/>
                <w:szCs w:val="16"/>
                <w:color w:val="auto"/>
              </w:rPr>
              <w:t>Erin L. Russell</w:t>
            </w:r>
            <w:r>
              <w:rPr>
                <w:rFonts w:ascii="Arial" w:cs="Arial" w:eastAsia="Arial" w:hAnsi="Arial"/>
                <w:sz w:val="24"/>
                <w:szCs w:val="24"/>
                <w:color w:val="auto"/>
                <w:vertAlign w:val="superscript"/>
              </w:rPr>
              <w:t>(10)</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72,671</w:t>
            </w:r>
          </w:p>
        </w:tc>
        <w:tc>
          <w:tcPr>
            <w:tcW w:w="154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203"/>
        </w:trPr>
        <w:tc>
          <w:tcPr>
            <w:tcW w:w="7160" w:type="dxa"/>
            <w:vAlign w:val="bottom"/>
            <w:shd w:val="clear" w:color="auto" w:fill="EDEDED"/>
          </w:tcPr>
          <w:p>
            <w:pPr>
              <w:ind w:left="60"/>
              <w:spacing w:after="0" w:line="202" w:lineRule="exact"/>
              <w:rPr>
                <w:sz w:val="20"/>
                <w:szCs w:val="20"/>
                <w:color w:val="auto"/>
              </w:rPr>
            </w:pPr>
            <w:r>
              <w:rPr>
                <w:rFonts w:ascii="Arial" w:cs="Arial" w:eastAsia="Arial" w:hAnsi="Arial"/>
                <w:sz w:val="16"/>
                <w:szCs w:val="16"/>
                <w:color w:val="auto"/>
              </w:rPr>
              <w:t>Machelle Sanders</w:t>
            </w:r>
            <w:r>
              <w:rPr>
                <w:rFonts w:ascii="Arial" w:cs="Arial" w:eastAsia="Arial" w:hAnsi="Arial"/>
                <w:sz w:val="23"/>
                <w:szCs w:val="23"/>
                <w:color w:val="auto"/>
                <w:vertAlign w:val="superscript"/>
              </w:rPr>
              <w:t>(11)</w:t>
            </w:r>
          </w:p>
        </w:tc>
        <w:tc>
          <w:tcPr>
            <w:tcW w:w="2320" w:type="dxa"/>
            <w:vAlign w:val="bottom"/>
            <w:shd w:val="clear" w:color="auto" w:fill="EDEDED"/>
          </w:tcPr>
          <w:p>
            <w:pPr>
              <w:jc w:val="right"/>
              <w:ind w:right="480"/>
              <w:spacing w:after="0" w:line="202" w:lineRule="exact"/>
              <w:rPr>
                <w:sz w:val="20"/>
                <w:szCs w:val="20"/>
                <w:color w:val="auto"/>
              </w:rPr>
            </w:pPr>
            <w:r>
              <w:rPr>
                <w:rFonts w:ascii="Arial" w:cs="Arial" w:eastAsia="Arial" w:hAnsi="Arial"/>
                <w:sz w:val="18"/>
                <w:szCs w:val="18"/>
                <w:color w:val="auto"/>
              </w:rPr>
              <w:t>46,099</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tcPr>
          <w:p>
            <w:pPr>
              <w:ind w:left="60"/>
              <w:spacing w:after="0" w:line="243" w:lineRule="exact"/>
              <w:rPr>
                <w:sz w:val="20"/>
                <w:szCs w:val="20"/>
                <w:color w:val="auto"/>
              </w:rPr>
            </w:pPr>
            <w:r>
              <w:rPr>
                <w:rFonts w:ascii="Arial" w:cs="Arial" w:eastAsia="Arial" w:hAnsi="Arial"/>
                <w:sz w:val="16"/>
                <w:szCs w:val="16"/>
                <w:color w:val="auto"/>
              </w:rPr>
              <w:t>William Sharbaugh</w:t>
            </w:r>
            <w:r>
              <w:rPr>
                <w:rFonts w:ascii="Arial" w:cs="Arial" w:eastAsia="Arial" w:hAnsi="Arial"/>
                <w:sz w:val="24"/>
                <w:szCs w:val="24"/>
                <w:color w:val="auto"/>
                <w:vertAlign w:val="superscript"/>
              </w:rPr>
              <w:t>(12)</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243"/>
        </w:trPr>
        <w:tc>
          <w:tcPr>
            <w:tcW w:w="7160" w:type="dxa"/>
            <w:vAlign w:val="bottom"/>
            <w:shd w:val="clear" w:color="auto" w:fill="EDEDED"/>
          </w:tcPr>
          <w:p>
            <w:pPr>
              <w:ind w:left="60"/>
              <w:spacing w:after="0" w:line="243" w:lineRule="exact"/>
              <w:rPr>
                <w:sz w:val="20"/>
                <w:szCs w:val="20"/>
                <w:color w:val="auto"/>
              </w:rPr>
            </w:pPr>
            <w:r>
              <w:rPr>
                <w:rFonts w:ascii="Arial" w:cs="Arial" w:eastAsia="Arial" w:hAnsi="Arial"/>
                <w:sz w:val="16"/>
                <w:szCs w:val="16"/>
                <w:color w:val="auto"/>
              </w:rPr>
              <w:t>David Smith</w:t>
            </w:r>
            <w:r>
              <w:rPr>
                <w:rFonts w:ascii="Arial" w:cs="Arial" w:eastAsia="Arial" w:hAnsi="Arial"/>
                <w:sz w:val="24"/>
                <w:szCs w:val="24"/>
                <w:color w:val="auto"/>
                <w:vertAlign w:val="superscript"/>
              </w:rPr>
              <w:t>(13)</w:t>
            </w:r>
          </w:p>
        </w:tc>
        <w:tc>
          <w:tcPr>
            <w:tcW w:w="232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48,361</w:t>
            </w:r>
          </w:p>
        </w:tc>
        <w:tc>
          <w:tcPr>
            <w:tcW w:w="1540" w:type="dxa"/>
            <w:vAlign w:val="bottom"/>
            <w:shd w:val="clear" w:color="auto" w:fill="EDEDED"/>
          </w:tcPr>
          <w:p>
            <w:pPr>
              <w:jc w:val="right"/>
              <w:ind w:right="380"/>
              <w:spacing w:after="0"/>
              <w:rPr>
                <w:sz w:val="20"/>
                <w:szCs w:val="20"/>
                <w:color w:val="auto"/>
              </w:rPr>
            </w:pPr>
            <w:r>
              <w:rPr>
                <w:rFonts w:ascii="Arial" w:cs="Arial" w:eastAsia="Arial" w:hAnsi="Arial"/>
                <w:sz w:val="16"/>
                <w:szCs w:val="16"/>
                <w:color w:val="auto"/>
              </w:rPr>
              <w:t>*</w:t>
            </w:r>
          </w:p>
        </w:tc>
      </w:tr>
      <w:tr>
        <w:trPr>
          <w:trHeight w:val="338"/>
        </w:trPr>
        <w:tc>
          <w:tcPr>
            <w:tcW w:w="7160" w:type="dxa"/>
            <w:vAlign w:val="bottom"/>
          </w:tcPr>
          <w:p>
            <w:pPr>
              <w:ind w:left="60"/>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24"/>
                <w:szCs w:val="24"/>
                <w:color w:val="auto"/>
                <w:vertAlign w:val="superscript"/>
              </w:rPr>
              <w:t>(14)</w:t>
            </w:r>
          </w:p>
        </w:tc>
        <w:tc>
          <w:tcPr>
            <w:tcW w:w="2320" w:type="dxa"/>
            <w:vAlign w:val="bottom"/>
          </w:tcPr>
          <w:p>
            <w:pPr>
              <w:jc w:val="right"/>
              <w:ind w:right="480"/>
              <w:spacing w:after="0"/>
              <w:rPr>
                <w:sz w:val="20"/>
                <w:szCs w:val="20"/>
                <w:color w:val="auto"/>
              </w:rPr>
            </w:pPr>
            <w:r>
              <w:rPr>
                <w:rFonts w:ascii="Arial" w:cs="Arial" w:eastAsia="Arial" w:hAnsi="Arial"/>
                <w:sz w:val="16"/>
                <w:szCs w:val="16"/>
                <w:color w:val="auto"/>
              </w:rPr>
              <w:t>691,125</w:t>
            </w:r>
          </w:p>
        </w:tc>
        <w:tc>
          <w:tcPr>
            <w:tcW w:w="1540" w:type="dxa"/>
            <w:vAlign w:val="bottom"/>
          </w:tcPr>
          <w:p>
            <w:pPr>
              <w:jc w:val="right"/>
              <w:ind w:right="380"/>
              <w:spacing w:after="0"/>
              <w:rPr>
                <w:sz w:val="20"/>
                <w:szCs w:val="20"/>
                <w:color w:val="auto"/>
              </w:rPr>
            </w:pPr>
            <w:r>
              <w:rPr>
                <w:rFonts w:ascii="Arial" w:cs="Arial" w:eastAsia="Arial" w:hAnsi="Arial"/>
                <w:sz w:val="16"/>
                <w:szCs w:val="16"/>
                <w:color w:val="auto"/>
              </w:rPr>
              <w:t>*</w:t>
            </w:r>
          </w:p>
        </w:tc>
      </w:tr>
    </w:tbl>
    <w:p>
      <w:pPr>
        <w:spacing w:after="0" w:line="36"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 xml:space="preserve">FORTREA  •  2026 Proxy Statement   </w:t>
      </w:r>
      <w:r>
        <w:rPr>
          <w:rFonts w:ascii="Arial" w:cs="Arial" w:eastAsia="Arial" w:hAnsi="Arial"/>
          <w:sz w:val="12"/>
          <w:szCs w:val="12"/>
          <w:b w:val="1"/>
          <w:bCs w:val="1"/>
          <w:color w:val="0BC11C"/>
        </w:rPr>
        <w:t>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368" w:lineRule="exact"/>
        <w:rPr>
          <w:sz w:val="20"/>
          <w:szCs w:val="20"/>
          <w:color w:val="auto"/>
        </w:rPr>
      </w:pPr>
    </w:p>
    <w:p>
      <w:pPr>
        <w:jc w:val="both"/>
        <w:ind w:left="440" w:right="200" w:hanging="324"/>
        <w:spacing w:after="0" w:line="283" w:lineRule="auto"/>
        <w:tabs>
          <w:tab w:leader="none" w:pos="4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solely on information contained in an amended Schedule 13G filed with the SEC on July 17, 2025 by BlackRock, Inc. reporting sole voting power of 13,584,809 shares, shared voting power of 0 shares, sole dispositive power of 13,807,176 shares and shared dispositive power of 0 shares. The address for BlackRock, Inc. is 50 Hudson Yards, New York, New York 10001.</w:t>
      </w:r>
    </w:p>
    <w:p>
      <w:pPr>
        <w:spacing w:after="0" w:line="25" w:lineRule="exact"/>
        <w:rPr>
          <w:rFonts w:ascii="Arial" w:cs="Arial" w:eastAsia="Arial" w:hAnsi="Arial"/>
          <w:sz w:val="12"/>
          <w:szCs w:val="12"/>
          <w:color w:val="auto"/>
        </w:rPr>
      </w:pPr>
    </w:p>
    <w:p>
      <w:pPr>
        <w:ind w:left="440" w:hanging="324"/>
        <w:spacing w:after="0" w:line="226" w:lineRule="auto"/>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amendment filed with the SEC on July 29, 2025 by The Vanguard Group reporting sole voting power of 0 shares, shared voting power of 222,603.00 shares, sole dispositive power of 8,372,876.00 shares and shared dispositive power of 318,498.00 shares. The address for The Vanguard Group is 100 Vanguard Blvd., Malvern, Pennsylvania 19355. The Vanguard Group subsequently reported that due to an internal realignment it no longer has, or is deemed to have, beneficial ownership over our securities beneficially owned by various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52" w:lineRule="exact"/>
        <w:rPr>
          <w:rFonts w:ascii="Arial" w:cs="Arial" w:eastAsia="Arial" w:hAnsi="Arial"/>
          <w:sz w:val="13"/>
          <w:szCs w:val="13"/>
          <w:color w:val="auto"/>
        </w:rPr>
      </w:pPr>
    </w:p>
    <w:p>
      <w:pPr>
        <w:ind w:left="440" w:right="220" w:hanging="324"/>
        <w:spacing w:after="0" w:line="233" w:lineRule="auto"/>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August 13, 2025 by The Goldman Sachs Group, Inc. reporting sole voting power of 0 shares, shared voting power of 8,028,366.47 shares, sole dispositive power of 0 shares and shared dispositive power of 8,028,366.47 shares. The address for The Goldman Sachs Group, Inc. is 200 West Street New York, NY 10282.</w:t>
      </w:r>
    </w:p>
    <w:p>
      <w:pPr>
        <w:spacing w:after="0" w:line="50"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Does not include 1,250,000 unvested RSUs that will not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15,290 RSUs that are scheduled to vest within 60 days of April 15, 2026. Does not include 140,841 RSUs that are scheduled to vest after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15,290 RSUs that are scheduled to vest within 60 days of April 15, 2026. Does not include 101,995 RSUs that are scheduled to vest after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148,536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38,817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38,817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38,817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38,817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Does not include 20,916 RSUs that are scheduled to vest after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38,817 RSUs that are scheduled to vest within 60 days of April 15, 2026.</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373,201 RSUs that are scheduled to vest within 60 days of April 15, 2026. Does not include 1,270,916 RSUs that are scheduled to vest after 60 days of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54</w:t>
      </w:r>
      <w:r>
        <w:rPr>
          <w:rFonts w:ascii="Arial" w:cs="Arial" w:eastAsia="Arial" w:hAnsi="Arial"/>
          <w:sz w:val="12"/>
          <w:szCs w:val="12"/>
          <w:color w:val="000000"/>
        </w:rPr>
        <w:t xml:space="preserve">   2026 Proxy Statement  •  FORTREA</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POLICIES AND PROCEDURES FOR RELATED PERSON TRANSACTIONS</w:t>
      </w:r>
    </w:p>
    <w:p>
      <w:pPr>
        <w:spacing w:after="0" w:line="135"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Our Board has adopted a written-related person transactions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which may include, without limitation, purchases of goods or services by or from the related party or entities in which the related party has a material interest, indebtedness, guarantees of indebtedness and employment by us of a related party.</w:t>
      </w:r>
    </w:p>
    <w:p>
      <w:pPr>
        <w:spacing w:after="0" w:line="11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Under the policy, management is required to present to the Audit Committee each proposed related party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If advance Audit Committee approval of a related party transaction is not feasible, then the transaction may be preliminarily entered into by management upon prior approval by the Chairman of the Audit Committee, subject to ratification of the transaction by the Audit Committee at the Audit Committee’s next regularly scheduled meeting. Any related party transaction must be approved or ratified by the Audit Committee in order to be consummated or continue, as applicable. Management is responsible for updating the Audit Committee as to any material changes to any approved or ratified related party transaction and for providing a status report at least annually of all current related party transactions at a regularly scheduled meeting of the Audit Committee. No director may participate in approval of a related party transaction for which he or she is a related 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Labcorp</w:t>
      </w:r>
    </w:p>
    <w:p>
      <w:pPr>
        <w:spacing w:after="0" w:line="135"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In order to govern the ongoing relationships between us and Labcorp after the Spin and to facilitate an orderly transition, we and Labcorp entered into the Separation and Distribution Agreement as well as other agreements, including a Transition Services Agreement, a Tax Matters Agreement and an Employee Matters Agreement, which are described on the Company Form 8-K filed with the SEC on July 3, 2023, and forms of which are filed with the SEC as exhibits to the Annual Report on Form 10-K and its prior filings.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Delinquent Section 16(a) Reports</w:t>
      </w:r>
    </w:p>
    <w:p>
      <w:pPr>
        <w:spacing w:after="0" w:line="149"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2025.</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9"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During the fiscal year ended December 31, 2025, Dr. Amrit Ray, Edward Pesicka, Machelle Sanders, David Smith, William Sharbaugh, and Andrew Eckert (prior to his resignation from the Board in February 2025) served as members of the MDCC. No current or former member of the MDCC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the MDCC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55</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RELATIONSHIPS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Stockholders who intend to have a proposal considered for inclusion in our proxy materials for presentation at our 2027 Annual Meeting pursuant to Rule 14a-8 under the Exchange Act must submit the proposal to our Corporate Secretary at our offices at 8 Moore Drive, Durham, North Carolina 27713 in writing not later than December 28, 2026.</w:t>
      </w:r>
    </w:p>
    <w:p>
      <w:pPr>
        <w:spacing w:after="0" w:line="10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Stockholders intending to present a proposal at the 2027 Annual Meeting, but not to include the proposal in our proxy statement, or to nominate a person for election as a director, must comply with the requirements set forth in our Amended and Restated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we must receive notice of such a proposal or nomination for the 2027 Annual Meeting no earlier than the close of business on February 9, 2027, and no later than the close of business on March 11, 2027.</w:t>
      </w:r>
    </w:p>
    <w:p>
      <w:pPr>
        <w:spacing w:after="0" w:line="114" w:lineRule="exact"/>
        <w:rPr>
          <w:sz w:val="20"/>
          <w:szCs w:val="20"/>
          <w:color w:val="auto"/>
        </w:rPr>
      </w:pPr>
    </w:p>
    <w:p>
      <w:pPr>
        <w:ind w:left="120" w:right="240"/>
        <w:spacing w:after="0" w:line="252" w:lineRule="auto"/>
        <w:rPr>
          <w:sz w:val="20"/>
          <w:szCs w:val="20"/>
          <w:color w:val="auto"/>
        </w:rPr>
      </w:pPr>
      <w:r>
        <w:rPr>
          <w:rFonts w:ascii="Arial" w:cs="Arial" w:eastAsia="Arial" w:hAnsi="Arial"/>
          <w:sz w:val="16"/>
          <w:szCs w:val="16"/>
          <w:color w:val="auto"/>
        </w:rPr>
        <w:t>The notice must contain the information required by the Bylaws, a copy of which is available upon request to our Corporate Secretary. In the event that the date of the 2027 Annual Meeting is more than 30 days before or more than 30 days after June 9, 2027. then our Corporate Secretary must receive such written notice not earlier than the close of business on the 120th day prior to the 2027 Annual Meeting and not later than the close of business on the 90th day prior to the 2027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in order to comply with the universal proxy rules, stockholders who intend to solicit proxies for the 2027 Annual Meeting in support of director nominees other than Fortrea’s nominees must provide notice to Fortrea that sets forth the information required by Exchange Act Rule 14a-19 not later than April 12, 2027.</w:t>
      </w:r>
    </w:p>
    <w:p>
      <w:pPr>
        <w:spacing w:after="0" w:line="102"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these or other applicable requirements.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49" w:lineRule="exact"/>
        <w:rPr>
          <w:sz w:val="20"/>
          <w:szCs w:val="20"/>
          <w:color w:val="auto"/>
        </w:rPr>
      </w:pPr>
    </w:p>
    <w:p>
      <w:pPr>
        <w:jc w:val="both"/>
        <w:ind w:left="120" w:right="260"/>
        <w:spacing w:after="0" w:line="266" w:lineRule="auto"/>
        <w:rPr>
          <w:sz w:val="20"/>
          <w:szCs w:val="20"/>
          <w:color w:val="auto"/>
        </w:rPr>
      </w:pPr>
      <w:r>
        <w:rPr>
          <w:rFonts w:ascii="Arial" w:cs="Arial" w:eastAsia="Arial" w:hAnsi="Arial"/>
          <w:sz w:val="16"/>
          <w:szCs w:val="16"/>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35"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The accompanying proxy is solicited by and on behalf of our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12" w:lineRule="exact"/>
        <w:rPr>
          <w:sz w:val="20"/>
          <w:szCs w:val="20"/>
          <w:color w:val="auto"/>
        </w:rPr>
      </w:pPr>
    </w:p>
    <w:p>
      <w:pPr>
        <w:ind w:left="120" w:right="660"/>
        <w:spacing w:after="0" w:line="286" w:lineRule="auto"/>
        <w:rPr>
          <w:sz w:val="20"/>
          <w:szCs w:val="20"/>
          <w:color w:val="auto"/>
        </w:rPr>
      </w:pPr>
      <w:r>
        <w:rPr>
          <w:rFonts w:ascii="Arial" w:cs="Arial" w:eastAsia="Arial" w:hAnsi="Arial"/>
          <w:sz w:val="16"/>
          <w:szCs w:val="16"/>
          <w:color w:val="auto"/>
        </w:rPr>
        <w:t>Certain information contained in this proxy statement relating to the occupations and security holdings of our directors and officers is based upon information received from the individual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56</w:t>
      </w:r>
      <w:r>
        <w:rPr>
          <w:rFonts w:ascii="Arial" w:cs="Arial" w:eastAsia="Arial" w:hAnsi="Arial"/>
          <w:sz w:val="12"/>
          <w:szCs w:val="12"/>
          <w:color w:val="000000"/>
        </w:rPr>
        <w:t xml:space="preserve">   2026 Proxy Statement  •  FORTREA</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auto"/>
        </w:rPr>
        <w:t>Fortrea’s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A copy of Fortrea’s Annual Report on Form 10-K for the fiscal year ended December 31, 2025, including financial statements and schedules thereto but not including exhibits, as filed with the SEC, will be sent to any stockholder of record on April 15, 2026, without charge upon written request addressed to:</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Fortrea Holdings Inc.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 Moore Drive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Durham, North Carolina 27713</w:t>
      </w:r>
    </w:p>
    <w:p>
      <w:pPr>
        <w:spacing w:after="0" w:line="97" w:lineRule="exact"/>
        <w:rPr>
          <w:sz w:val="20"/>
          <w:szCs w:val="20"/>
          <w:color w:val="auto"/>
        </w:rPr>
      </w:pPr>
    </w:p>
    <w:p>
      <w:pPr>
        <w:ind w:left="120" w:right="1160"/>
        <w:spacing w:after="0" w:line="286" w:lineRule="auto"/>
        <w:rPr>
          <w:sz w:val="20"/>
          <w:szCs w:val="20"/>
          <w:color w:val="auto"/>
        </w:rPr>
      </w:pPr>
      <w:r>
        <w:rPr>
          <w:rFonts w:ascii="Arial" w:cs="Arial" w:eastAsia="Arial" w:hAnsi="Arial"/>
          <w:sz w:val="16"/>
          <w:szCs w:val="16"/>
          <w:color w:val="auto"/>
        </w:rPr>
        <w:t xml:space="preserve">A reasonable fee will be charged for copies of exhibits. You also may access this proxy statement and our Annual Report on Form 10-K at </w:t>
      </w:r>
      <w:r>
        <w:rPr>
          <w:rFonts w:ascii="Arial" w:cs="Arial" w:eastAsia="Arial" w:hAnsi="Arial"/>
          <w:sz w:val="16"/>
          <w:szCs w:val="16"/>
          <w:i w:val="1"/>
          <w:iCs w:val="1"/>
          <w:color w:val="auto"/>
        </w:rPr>
        <w:t>www.proxyvote.com</w:t>
      </w:r>
      <w:r>
        <w:rPr>
          <w:rFonts w:ascii="Arial" w:cs="Arial" w:eastAsia="Arial" w:hAnsi="Arial"/>
          <w:sz w:val="16"/>
          <w:szCs w:val="16"/>
          <w:color w:val="auto"/>
        </w:rPr>
        <w:t>. You also may access our Annual Report on Form 10-K for the year ended December 31, 2025, at</w:t>
      </w:r>
      <w:r>
        <w:rPr>
          <w:rFonts w:ascii="Arial" w:cs="Arial" w:eastAsia="Arial" w:hAnsi="Arial"/>
          <w:sz w:val="16"/>
          <w:szCs w:val="16"/>
          <w:i w:val="1"/>
          <w:iCs w:val="1"/>
          <w:color w:val="auto"/>
        </w:rPr>
        <w:t xml:space="preserve"> www.fortrea.com.</w:t>
      </w:r>
    </w:p>
    <w:p>
      <w:pPr>
        <w:spacing w:after="0" w:line="88"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b w:val="1"/>
          <w:bCs w:val="1"/>
          <w:color w:val="auto"/>
        </w:rPr>
        <w:t>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POSTAGE-PAID ENVELOPE. PROMPTLY VOTING YOUR SHARES WILL ENSURE THE PRESENCE OF A QUORUM AT THE ANNUAL MEETING AND WILL SAVE US THE EXPENSE OF FURTHER SOLICITATION.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979930" cy="4889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799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Agnieszka M. Gallagher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Counsel and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Durham, North Carolina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57</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SUPPLEMENTAL NON-GAAP FINANCIAL INFORMATION USED IN</w:t>
      </w:r>
    </w:p>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COMPENSATION PERFORMANCE METRICS</w:t>
      </w:r>
    </w:p>
    <w:p>
      <w:pPr>
        <w:spacing w:after="0" w:line="145"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Our consolidated financial statements are prepared and presented in accordance with generally accepted accounting principles in the United States (“GAAP”). The Executive Compensation section of the Proxy Statement, including the “Compensation Discussion and Analysis” and “Pay Versus Performance” subsections, contains references to certain financial measures that are not presented in accordance with GAAP, including Adjusted EBITDA. These non-GAAP financial measures are not based on any comprehensive set of accounting rules or principles and should be considered in addition to, and not as a substitute for or superior to, net income (loss) as a measure of financial performance or any other performance measure derived in accordance with GAAP, and should not be construed as an inference that our future results will be unaffected by unusual or non-recurring items. In addition, these non-GAAP financial measures should be read in conjunction with the Company’s financial statements prepared in accordance with GAAP. The reconciliations of the Company’s non-GAAP financial measures to the corresponding GAAP measures should be carefully evaluated. You are encouraged to evaluate these adjustments and the reasons we consider them appropriate for supplemental analysis. In evaluating the non-GAAP financial measures, you should be aware that, in the future, we may incur expenses that are the same as or similar to some of the adjustments in our presentation of our non-GAAP financial measures. There can be no assurance that we will not modify the presentation of non-GAAP financial measures in future periods, and any such modification may be material. In addition, our non-GAAP financial measures may not be comparable to similarly titled measures used by other companies in our industry or across different industries.</w:t>
      </w:r>
    </w:p>
    <w:p>
      <w:pPr>
        <w:spacing w:after="0" w:line="12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We consider Adjusted EBITDA in assessing the performance of our business and comparing our operating performance across reporting periods on a consistent basis by excluding items from the calculation of net income that management does not believe are indicative of our ongoing operating performance. We also use Adjusted EBITDA as a compensation performance measure.</w:t>
      </w:r>
    </w:p>
    <w:p>
      <w:pPr>
        <w:spacing w:after="0" w:line="104"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In calculating EBITDA, the Company excludes from the calculation of net income, among other things, all the amortization of intangible assets associated with acquired customer relationships and backlog, databases, non-compete agreements and trademarks, trade names and other from non-GAAP expense and income measures as such amounts can be significantly impacted by the timing and size of acquisitions. Although the Company excludes amortization of acquired intangible assets from the Company’s non-GAAP expenses, the Company believes that it is important for investors to understand that revenue generated from such intangibles is included within revenue in determining net income attributable to the Company.</w:t>
      </w:r>
    </w:p>
    <w:p>
      <w:pPr>
        <w:spacing w:after="0" w:line="99"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In calculating Adjusted EBITDA, the Company excludes from the calculation of EBITDA, among other things, all of the stock-based compensation expense, as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 Similarly, we exclude other expenses that we believe are not representative of the day-to-day operating performance of our business, such as disposition-related expenses, restructuring and related expenses, the amount of one-time Spin-related costs, incremental costs relating to implementation of transition services agreements, and certain costs relating to a customer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BC11C"/>
        </w:rPr>
        <w:t>58</w:t>
      </w:r>
      <w:r>
        <w:rPr>
          <w:rFonts w:ascii="Arial" w:cs="Arial" w:eastAsia="Arial" w:hAnsi="Arial"/>
          <w:sz w:val="12"/>
          <w:szCs w:val="12"/>
          <w:color w:val="000000"/>
        </w:rPr>
        <w:t xml:space="preserve">   2026 Proxy Statement  •  FORTREA</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a reconciliation of net income (loss), the most directly comparable GAAP measure, to Adjusted EBITDA:</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RECONCILIATION OF NON-GAAP MEASURES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FORTREA HOLDINGS,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NET INCOME TO ADJUSTED EBITDA RECONCILIATION</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419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419735"/>
                    </a:xfrm>
                    <a:prstGeom prst="rect">
                      <a:avLst/>
                    </a:prstGeom>
                    <a:noFill/>
                  </pic:spPr>
                </pic:pic>
              </a:graphicData>
            </a:graphic>
          </wp:anchor>
        </w:drawing>
      </w:r>
    </w:p>
    <w:p>
      <w:pPr>
        <w:spacing w:after="0" w:line="27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FFFFFF"/>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-95885</wp:posOffset>
            </wp:positionV>
            <wp:extent cx="112268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22680" cy="386080"/>
                    </a:xfrm>
                    <a:prstGeom prst="rect">
                      <a:avLst/>
                    </a:prstGeom>
                    <a:noFill/>
                  </pic:spPr>
                </pic:pic>
              </a:graphicData>
            </a:graphic>
          </wp:anchor>
        </w:drawing>
      </w:r>
    </w:p>
    <w:p>
      <w:pPr>
        <w:jc w:val="center"/>
        <w:ind w:left="9240"/>
        <w:spacing w:after="0"/>
        <w:rPr>
          <w:sz w:val="20"/>
          <w:szCs w:val="20"/>
          <w:color w:val="auto"/>
        </w:rPr>
      </w:pPr>
      <w:r>
        <w:rPr>
          <w:rFonts w:ascii="Arial" w:cs="Arial" w:eastAsia="Arial" w:hAnsi="Arial"/>
          <w:sz w:val="14"/>
          <w:szCs w:val="14"/>
          <w:b w:val="1"/>
          <w:bCs w:val="1"/>
          <w:color w:val="FFFFFF"/>
        </w:rPr>
        <w:t>December 31,</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160" w:type="dxa"/>
            <w:vAlign w:val="bottom"/>
          </w:tcPr>
          <w:p>
            <w:pPr>
              <w:spacing w:after="0"/>
              <w:rPr>
                <w:sz w:val="20"/>
                <w:szCs w:val="20"/>
                <w:color w:val="auto"/>
              </w:rPr>
            </w:pPr>
            <w:r>
              <w:rPr>
                <w:rFonts w:ascii="Arial" w:cs="Arial" w:eastAsia="Arial" w:hAnsi="Arial"/>
                <w:sz w:val="14"/>
                <w:szCs w:val="14"/>
                <w:i w:val="1"/>
                <w:iCs w:val="1"/>
                <w:color w:val="FFFFFF"/>
              </w:rPr>
              <w:t>($ in millions)</w:t>
            </w:r>
          </w:p>
        </w:tc>
        <w:tc>
          <w:tcPr>
            <w:tcW w:w="4900" w:type="dxa"/>
            <w:vAlign w:val="bottom"/>
          </w:tcPr>
          <w:p>
            <w:pPr>
              <w:jc w:val="right"/>
              <w:ind w:right="228"/>
              <w:spacing w:after="0"/>
              <w:rPr>
                <w:sz w:val="20"/>
                <w:szCs w:val="20"/>
                <w:color w:val="auto"/>
              </w:rPr>
            </w:pPr>
            <w:r>
              <w:rPr>
                <w:rFonts w:ascii="Arial" w:cs="Arial" w:eastAsia="Arial" w:hAnsi="Arial"/>
                <w:sz w:val="14"/>
                <w:szCs w:val="14"/>
                <w:b w:val="1"/>
                <w:bCs w:val="1"/>
                <w:color w:val="FFFFFF"/>
              </w:rPr>
              <w:t>2025</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FFFFFF"/>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699516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587184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(benefit)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587184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71845" cy="16256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exchange (gain) loss</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6"/>
          <w:szCs w:val="26"/>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587184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Goodwill and other asset impairment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6"/>
          <w:szCs w:val="26"/>
          <w:i w:val="1"/>
          <w:iCs w:val="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587184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1845"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Stock based compensation</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Disposition-related costs </w:t>
      </w:r>
      <w:r>
        <w:rPr>
          <w:rFonts w:ascii="Arial" w:cs="Arial" w:eastAsia="Arial" w:hAnsi="Arial"/>
          <w:sz w:val="26"/>
          <w:szCs w:val="26"/>
          <w:i w:val="1"/>
          <w:iCs w:val="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587184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ind w:left="180"/>
        <w:spacing w:after="0" w:line="205" w:lineRule="auto"/>
        <w:rPr>
          <w:sz w:val="20"/>
          <w:szCs w:val="20"/>
          <w:color w:val="auto"/>
        </w:rPr>
      </w:pPr>
      <w:r>
        <w:rPr>
          <w:rFonts w:ascii="Arial" w:cs="Arial" w:eastAsia="Arial" w:hAnsi="Arial"/>
          <w:sz w:val="18"/>
          <w:szCs w:val="18"/>
          <w:color w:val="auto"/>
        </w:rPr>
        <w:t xml:space="preserve">One-time spin-related costs </w:t>
      </w:r>
      <w:r>
        <w:rPr>
          <w:rFonts w:ascii="Arial" w:cs="Arial" w:eastAsia="Arial" w:hAnsi="Arial"/>
          <w:sz w:val="26"/>
          <w:szCs w:val="26"/>
          <w:i w:val="1"/>
          <w:iCs w:val="1"/>
          <w:color w:val="auto"/>
          <w:vertAlign w:val="superscript"/>
        </w:rPr>
        <w:t>(d)</w:t>
      </w:r>
    </w:p>
    <w:p>
      <w:pPr>
        <w:ind w:left="180"/>
        <w:spacing w:after="0" w:line="206" w:lineRule="auto"/>
        <w:rPr>
          <w:sz w:val="20"/>
          <w:szCs w:val="20"/>
          <w:color w:val="auto"/>
        </w:rPr>
      </w:pPr>
      <w:r>
        <w:rPr>
          <w:rFonts w:ascii="Arial" w:cs="Arial" w:eastAsia="Arial" w:hAnsi="Arial"/>
          <w:sz w:val="18"/>
          <w:szCs w:val="18"/>
          <w:color w:val="auto"/>
        </w:rPr>
        <w:t xml:space="preserve">Customer matter </w:t>
      </w:r>
      <w:r>
        <w:rPr>
          <w:rFonts w:ascii="Arial" w:cs="Arial" w:eastAsia="Arial" w:hAnsi="Arial"/>
          <w:sz w:val="26"/>
          <w:szCs w:val="26"/>
          <w:i w:val="1"/>
          <w:iCs w:val="1"/>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5871845"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71845" cy="162560"/>
                    </a:xfrm>
                    <a:prstGeom prst="rect">
                      <a:avLst/>
                    </a:prstGeom>
                    <a:noFill/>
                  </pic:spPr>
                </pic:pic>
              </a:graphicData>
            </a:graphic>
          </wp:anchor>
        </w:drawing>
      </w:r>
    </w:p>
    <w:p>
      <w:pPr>
        <w:ind w:left="180"/>
        <w:spacing w:after="0" w:line="206" w:lineRule="auto"/>
        <w:rPr>
          <w:sz w:val="20"/>
          <w:szCs w:val="20"/>
          <w:color w:val="auto"/>
        </w:rPr>
      </w:pPr>
      <w:r>
        <w:rPr>
          <w:rFonts w:ascii="Arial" w:cs="Arial" w:eastAsia="Arial" w:hAnsi="Arial"/>
          <w:sz w:val="18"/>
          <w:szCs w:val="18"/>
          <w:color w:val="auto"/>
        </w:rPr>
        <w:t xml:space="preserve">Enabling Services Segment costs </w:t>
      </w:r>
      <w:r>
        <w:rPr>
          <w:rFonts w:ascii="Arial" w:cs="Arial" w:eastAsia="Arial" w:hAnsi="Arial"/>
          <w:sz w:val="26"/>
          <w:szCs w:val="26"/>
          <w:i w:val="1"/>
          <w:iCs w:val="1"/>
          <w:color w:val="auto"/>
          <w:vertAlign w:val="superscript"/>
        </w:rPr>
        <w:t>(f)</w:t>
      </w:r>
    </w:p>
    <w:p>
      <w:pPr>
        <w:ind w:left="180"/>
        <w:spacing w:after="0" w:line="228" w:lineRule="auto"/>
        <w:rPr>
          <w:sz w:val="20"/>
          <w:szCs w:val="20"/>
          <w:color w:val="auto"/>
        </w:rPr>
      </w:pPr>
      <w:r>
        <w:rPr>
          <w:rFonts w:ascii="Arial" w:cs="Arial" w:eastAsia="Arial" w:hAnsi="Arial"/>
          <w:sz w:val="18"/>
          <w:szCs w:val="18"/>
          <w:color w:val="auto"/>
        </w:rPr>
        <w:t xml:space="preserve">Other </w:t>
      </w:r>
      <w:r>
        <w:rPr>
          <w:rFonts w:ascii="Arial" w:cs="Arial" w:eastAsia="Arial" w:hAnsi="Arial"/>
          <w:sz w:val="26"/>
          <w:szCs w:val="26"/>
          <w:i w:val="1"/>
          <w:iCs w:val="1"/>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wp:posOffset>
            </wp:positionV>
            <wp:extent cx="587184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Adjusted EBITDA from continuing operations</w:t>
      </w:r>
    </w:p>
    <w:p>
      <w:pPr>
        <w:spacing w:after="0" w:line="52" w:lineRule="exact"/>
        <w:rPr>
          <w:sz w:val="20"/>
          <w:szCs w:val="20"/>
          <w:color w:val="auto"/>
        </w:rPr>
      </w:pPr>
    </w:p>
    <w:p>
      <w:pPr>
        <w:ind w:left="300" w:hanging="184"/>
        <w:spacing w:after="0"/>
        <w:tabs>
          <w:tab w:leader="none" w:pos="300" w:val="left"/>
        </w:tabs>
        <w:numPr>
          <w:ilvl w:val="0"/>
          <w:numId w:val="53"/>
        </w:numPr>
        <w:rPr>
          <w:rFonts w:ascii="Arial" w:cs="Arial" w:eastAsia="Arial" w:hAnsi="Arial"/>
          <w:sz w:val="22"/>
          <w:szCs w:val="22"/>
          <w:color w:val="auto"/>
          <w:vertAlign w:val="superscript"/>
        </w:rPr>
      </w:pPr>
      <w:r>
        <w:rPr>
          <w:rFonts w:ascii="Arial" w:cs="Arial" w:eastAsia="Arial" w:hAnsi="Arial"/>
          <w:sz w:val="15"/>
          <w:szCs w:val="15"/>
          <w:color w:val="auto"/>
        </w:rPr>
        <w:t>Includes amortization of intangible assets acquired as part of business acquisitions.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29" w:hanging="129"/>
        <w:spacing w:after="0"/>
        <w:tabs>
          <w:tab w:leader="none" w:pos="1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(986.2)  $ (271.5)</w:t>
      </w:r>
    </w:p>
    <w:p>
      <w:pPr>
        <w:spacing w:after="0" w:line="49" w:lineRule="exact"/>
        <w:rPr>
          <w:rFonts w:ascii="Arial" w:cs="Arial" w:eastAsia="Arial" w:hAnsi="Arial"/>
          <w:sz w:val="18"/>
          <w:szCs w:val="18"/>
          <w:color w:val="auto"/>
        </w:rPr>
      </w:pPr>
    </w:p>
    <w:p>
      <w:pPr>
        <w:ind w:left="389"/>
        <w:spacing w:after="0"/>
        <w:rPr>
          <w:rFonts w:ascii="Arial" w:cs="Arial" w:eastAsia="Arial" w:hAnsi="Arial"/>
          <w:sz w:val="18"/>
          <w:szCs w:val="18"/>
          <w:color w:val="auto"/>
        </w:rPr>
      </w:pPr>
      <w:r>
        <w:rPr>
          <w:rFonts w:ascii="Arial" w:cs="Arial" w:eastAsia="Arial" w:hAnsi="Arial"/>
          <w:sz w:val="18"/>
          <w:szCs w:val="18"/>
          <w:color w:val="auto"/>
        </w:rPr>
        <w:t>3.2(3.5)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-444500</wp:posOffset>
            </wp:positionV>
            <wp:extent cx="112268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22680" cy="14541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-135890</wp:posOffset>
            </wp:positionV>
            <wp:extent cx="11226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22680" cy="16319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068"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color w:val="auto"/>
        </w:rPr>
        <w:t>123.8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11226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22680" cy="1714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168"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12268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22680" cy="14541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168" w:val="left"/>
        </w:tabs>
        <w:rPr>
          <w:sz w:val="20"/>
          <w:szCs w:val="20"/>
          <w:color w:val="auto"/>
        </w:rPr>
      </w:pPr>
      <w:r>
        <w:rPr>
          <w:rFonts w:ascii="Arial" w:cs="Arial" w:eastAsia="Arial" w:hAnsi="Arial"/>
          <w:sz w:val="18"/>
          <w:szCs w:val="18"/>
          <w:color w:val="auto"/>
        </w:rPr>
        <w:t>78.0</w:t>
      </w:r>
      <w:r>
        <w:rPr>
          <w:sz w:val="20"/>
          <w:szCs w:val="20"/>
          <w:color w:val="auto"/>
        </w:rPr>
        <w:tab/>
      </w:r>
      <w:r>
        <w:rPr>
          <w:rFonts w:ascii="Arial" w:cs="Arial" w:eastAsia="Arial" w:hAnsi="Arial"/>
          <w:sz w:val="18"/>
          <w:szCs w:val="18"/>
          <w:color w:val="auto"/>
        </w:rPr>
        <w:t>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11226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22680" cy="17145"/>
                    </a:xfrm>
                    <a:prstGeom prst="rect">
                      <a:avLst/>
                    </a:prstGeom>
                    <a:noFill/>
                  </pic:spPr>
                </pic:pic>
              </a:graphicData>
            </a:graphic>
          </wp:anchor>
        </w:drawing>
      </w:r>
    </w:p>
    <w:p>
      <w:pPr>
        <w:spacing w:after="0" w:line="30" w:lineRule="exact"/>
        <w:rPr>
          <w:sz w:val="20"/>
          <w:szCs w:val="20"/>
          <w:color w:val="auto"/>
        </w:rPr>
      </w:pPr>
    </w:p>
    <w:p>
      <w:pPr>
        <w:ind w:left="189"/>
        <w:spacing w:after="0"/>
        <w:tabs>
          <w:tab w:leader="none" w:pos="1348" w:val="left"/>
        </w:tabs>
        <w:rPr>
          <w:sz w:val="20"/>
          <w:szCs w:val="20"/>
          <w:color w:val="auto"/>
        </w:rPr>
      </w:pPr>
      <w:r>
        <w:rPr>
          <w:rFonts w:ascii="Arial" w:cs="Arial" w:eastAsia="Arial" w:hAnsi="Arial"/>
          <w:sz w:val="18"/>
          <w:szCs w:val="18"/>
          <w:color w:val="auto"/>
        </w:rPr>
        <w:t>797.9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12268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22680" cy="146050"/>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168"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8"/>
          <w:szCs w:val="18"/>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11226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22680" cy="1714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168"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12268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22680" cy="14541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168"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26035</wp:posOffset>
            </wp:positionV>
            <wp:extent cx="11226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22680" cy="17145"/>
                    </a:xfrm>
                    <a:prstGeom prst="rect">
                      <a:avLst/>
                    </a:prstGeom>
                    <a:noFill/>
                  </pic:spPr>
                </pic:pic>
              </a:graphicData>
            </a:graphic>
          </wp:anchor>
        </w:drawing>
      </w:r>
    </w:p>
    <w:p>
      <w:pPr>
        <w:spacing w:after="0" w:line="30" w:lineRule="exact"/>
        <w:rPr>
          <w:sz w:val="20"/>
          <w:szCs w:val="20"/>
          <w:color w:val="auto"/>
        </w:rPr>
      </w:pPr>
    </w:p>
    <w:p>
      <w:pPr>
        <w:ind w:left="289"/>
        <w:spacing w:after="0"/>
        <w:tabs>
          <w:tab w:leader="none" w:pos="1068"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8"/>
          <w:szCs w:val="18"/>
          <w:color w:val="auto"/>
        </w:rPr>
        <w:t>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12268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22680" cy="145415"/>
                    </a:xfrm>
                    <a:prstGeom prst="rect">
                      <a:avLst/>
                    </a:prstGeom>
                    <a:noFill/>
                  </pic:spPr>
                </pic:pic>
              </a:graphicData>
            </a:graphic>
          </wp:anchor>
        </w:drawing>
      </w:r>
    </w:p>
    <w:p>
      <w:pPr>
        <w:spacing w:after="0" w:line="30" w:lineRule="exact"/>
        <w:rPr>
          <w:sz w:val="20"/>
          <w:szCs w:val="20"/>
          <w:color w:val="auto"/>
        </w:rPr>
      </w:pPr>
    </w:p>
    <w:p>
      <w:pPr>
        <w:ind w:left="449"/>
        <w:spacing w:after="0"/>
        <w:rPr>
          <w:sz w:val="20"/>
          <w:szCs w:val="20"/>
          <w:color w:val="auto"/>
        </w:rPr>
      </w:pPr>
      <w:r>
        <w:rPr>
          <w:rFonts w:ascii="Arial" w:cs="Arial" w:eastAsia="Arial" w:hAnsi="Arial"/>
          <w:sz w:val="18"/>
          <w:szCs w:val="18"/>
          <w:color w:val="auto"/>
        </w:rPr>
        <w:t>—6.0</w:t>
      </w:r>
    </w:p>
    <w:p>
      <w:pPr>
        <w:spacing w:after="0" w:line="49" w:lineRule="exact"/>
        <w:rPr>
          <w:sz w:val="20"/>
          <w:szCs w:val="20"/>
          <w:color w:val="auto"/>
        </w:rPr>
      </w:pPr>
    </w:p>
    <w:p>
      <w:pPr>
        <w:ind w:left="449"/>
        <w:spacing w:after="0"/>
        <w:rPr>
          <w:sz w:val="20"/>
          <w:szCs w:val="20"/>
          <w:color w:val="auto"/>
        </w:rPr>
      </w:pPr>
      <w:r>
        <w:rPr>
          <w:rFonts w:ascii="Arial" w:cs="Arial" w:eastAsia="Arial" w:hAnsi="Arial"/>
          <w:sz w:val="18"/>
          <w:szCs w:val="18"/>
          <w:color w:val="auto"/>
        </w:rPr>
        <w:t>—7.3</w:t>
      </w:r>
    </w:p>
    <w:p>
      <w:pPr>
        <w:spacing w:after="0" w:line="49" w:lineRule="exact"/>
        <w:rPr>
          <w:sz w:val="20"/>
          <w:szCs w:val="20"/>
          <w:color w:val="auto"/>
        </w:rPr>
      </w:pPr>
    </w:p>
    <w:p>
      <w:pPr>
        <w:ind w:left="289"/>
        <w:spacing w:after="0"/>
        <w:rPr>
          <w:sz w:val="20"/>
          <w:szCs w:val="20"/>
          <w:color w:val="auto"/>
        </w:rPr>
      </w:pPr>
      <w:r>
        <w:rPr>
          <w:rFonts w:ascii="Arial" w:cs="Arial" w:eastAsia="Arial" w:hAnsi="Arial"/>
          <w:sz w:val="18"/>
          <w:szCs w:val="18"/>
          <w:color w:val="auto"/>
        </w:rPr>
        <w:t>15.4(7.3)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-299085</wp:posOffset>
            </wp:positionV>
            <wp:extent cx="11226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22680" cy="16256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43180</wp:posOffset>
            </wp:positionV>
            <wp:extent cx="11226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226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9772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7" w:lineRule="exact"/>
        <w:rPr>
          <w:sz w:val="20"/>
          <w:szCs w:val="20"/>
          <w:color w:val="auto"/>
        </w:rPr>
      </w:pPr>
    </w:p>
    <w:p>
      <w:pPr>
        <w:ind w:left="9"/>
        <w:spacing w:after="0"/>
        <w:tabs>
          <w:tab w:leader="none" w:pos="848" w:val="left"/>
        </w:tabs>
        <w:rPr>
          <w:sz w:val="20"/>
          <w:szCs w:val="20"/>
          <w:color w:val="auto"/>
        </w:rPr>
      </w:pPr>
      <w:r>
        <w:rPr>
          <w:rFonts w:ascii="Arial" w:cs="Arial" w:eastAsia="Arial" w:hAnsi="Arial"/>
          <w:sz w:val="18"/>
          <w:szCs w:val="18"/>
          <w:color w:val="auto"/>
        </w:rPr>
        <w:t>$ 189.9</w:t>
        <w:tab/>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1226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22680" cy="17145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8751" w:space="720"/>
            <w:col w:w="1669"/>
          </w:cols>
          <w:pgMar w:left="320" w:top="482" w:right="439" w:bottom="1440" w:gutter="0" w:footer="0" w:header="0"/>
          <w:type w:val="continuous"/>
        </w:sectPr>
      </w:pPr>
    </w:p>
    <w:p>
      <w:pPr>
        <w:ind w:left="120" w:right="340" w:hanging="4"/>
        <w:spacing w:after="0" w:line="204" w:lineRule="auto"/>
        <w:tabs>
          <w:tab w:leader="none" w:pos="313"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Restructuring and other charges represent amounts incurred in connection with the elimination of redundant positions to reduce overcapacity, align resources and facilities, and restructure certain operations.</w:t>
      </w:r>
    </w:p>
    <w:p>
      <w:pPr>
        <w:spacing w:after="0" w:line="15" w:lineRule="exact"/>
        <w:rPr>
          <w:rFonts w:ascii="Arial" w:cs="Arial" w:eastAsia="Arial" w:hAnsi="Arial"/>
          <w:sz w:val="24"/>
          <w:szCs w:val="24"/>
          <w:color w:val="auto"/>
          <w:vertAlign w:val="superscript"/>
        </w:rPr>
      </w:pPr>
    </w:p>
    <w:p>
      <w:pPr>
        <w:ind w:left="120" w:right="620" w:hanging="4"/>
        <w:spacing w:after="0" w:line="210" w:lineRule="auto"/>
        <w:tabs>
          <w:tab w:leader="none" w:pos="307"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Disposition-related costs are short-term incremental costs to support the transition services agreement associated with the sale of the Enabling Services Segment.</w:t>
      </w:r>
    </w:p>
    <w:p>
      <w:pPr>
        <w:spacing w:after="0" w:line="1" w:lineRule="exact"/>
        <w:rPr>
          <w:rFonts w:ascii="Arial" w:cs="Arial" w:eastAsia="Arial" w:hAnsi="Arial"/>
          <w:sz w:val="24"/>
          <w:szCs w:val="24"/>
          <w:color w:val="auto"/>
          <w:vertAlign w:val="superscript"/>
        </w:rPr>
      </w:pPr>
    </w:p>
    <w:p>
      <w:pPr>
        <w:ind w:left="300" w:hanging="184"/>
        <w:spacing w:after="0" w:line="204" w:lineRule="auto"/>
        <w:tabs>
          <w:tab w:leader="none" w:pos="300" w:val="left"/>
        </w:tabs>
        <w:numPr>
          <w:ilvl w:val="0"/>
          <w:numId w:val="56"/>
        </w:numPr>
        <w:rPr>
          <w:rFonts w:ascii="Arial" w:cs="Arial" w:eastAsia="Arial" w:hAnsi="Arial"/>
          <w:sz w:val="22"/>
          <w:szCs w:val="22"/>
          <w:color w:val="auto"/>
          <w:vertAlign w:val="superscript"/>
        </w:rPr>
      </w:pPr>
      <w:r>
        <w:rPr>
          <w:rFonts w:ascii="Arial" w:cs="Arial" w:eastAsia="Arial" w:hAnsi="Arial"/>
          <w:sz w:val="15"/>
          <w:szCs w:val="15"/>
          <w:color w:val="auto"/>
        </w:rPr>
        <w:t>Represents one-time or incremental costs required to implement capabilities to exit the transition services agreement with former parent.</w:t>
      </w:r>
    </w:p>
    <w:p>
      <w:pPr>
        <w:spacing w:after="0" w:line="31" w:lineRule="exact"/>
        <w:rPr>
          <w:rFonts w:ascii="Arial" w:cs="Arial" w:eastAsia="Arial" w:hAnsi="Arial"/>
          <w:sz w:val="22"/>
          <w:szCs w:val="22"/>
          <w:color w:val="auto"/>
          <w:vertAlign w:val="superscript"/>
        </w:rPr>
      </w:pPr>
    </w:p>
    <w:p>
      <w:pPr>
        <w:ind w:left="120" w:right="140" w:hanging="4"/>
        <w:spacing w:after="0" w:line="202" w:lineRule="auto"/>
        <w:tabs>
          <w:tab w:leader="none" w:pos="313"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As part of working with a customer, the Company agreed to make concessions and provide discounts and other consideration to the customer as part of a multi-party solution. There were no related adjustments in 2025 as the agreed upon amounts had been satisfied.</w:t>
      </w:r>
    </w:p>
    <w:p>
      <w:pPr>
        <w:spacing w:after="0" w:line="1" w:lineRule="exact"/>
        <w:rPr>
          <w:rFonts w:ascii="Arial" w:cs="Arial" w:eastAsia="Arial" w:hAnsi="Arial"/>
          <w:sz w:val="24"/>
          <w:szCs w:val="24"/>
          <w:color w:val="auto"/>
          <w:vertAlign w:val="superscript"/>
        </w:rPr>
      </w:pPr>
    </w:p>
    <w:p>
      <w:pPr>
        <w:ind w:left="120" w:right="60" w:hanging="4"/>
        <w:spacing w:after="0" w:line="210" w:lineRule="auto"/>
        <w:tabs>
          <w:tab w:leader="none" w:pos="28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These adjustments remove the impact of certain Enabling Services costs not included in discontinued operations. The Enabling Services Segment was sold in the second quarter of 2024.</w:t>
      </w:r>
    </w:p>
    <w:p>
      <w:pPr>
        <w:spacing w:after="0" w:line="16" w:lineRule="exact"/>
        <w:rPr>
          <w:rFonts w:ascii="Arial" w:cs="Arial" w:eastAsia="Arial" w:hAnsi="Arial"/>
          <w:sz w:val="24"/>
          <w:szCs w:val="24"/>
          <w:color w:val="auto"/>
          <w:vertAlign w:val="superscript"/>
        </w:rPr>
      </w:pPr>
    </w:p>
    <w:p>
      <w:pPr>
        <w:jc w:val="both"/>
        <w:ind w:left="120" w:right="100" w:hanging="4"/>
        <w:spacing w:after="0" w:line="226" w:lineRule="auto"/>
        <w:tabs>
          <w:tab w:leader="none" w:pos="313"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Includes adjustments to estimated contingent consideration on a sale of a facility, income related to services provided under transition services agreements, settlements related to litigation initiated prior to the spinoff of the Company as a standalone company, the yield expense incurred on amounts received under the Company’s Receivables Securitization Program, and amortization of implementation costs deferred in connection with cloud computing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FORTREA  •  2026 Proxy Statement   </w:t>
      </w:r>
      <w:r>
        <w:rPr>
          <w:rFonts w:ascii="Arial" w:cs="Arial" w:eastAsia="Arial" w:hAnsi="Arial"/>
          <w:sz w:val="14"/>
          <w:szCs w:val="14"/>
          <w:b w:val="1"/>
          <w:bCs w:val="1"/>
          <w:color w:val="0BC11C"/>
        </w:rPr>
        <w:t>59</w:t>
      </w:r>
    </w:p>
    <w:p>
      <w:pPr>
        <w:sectPr>
          <w:pgSz w:w="11900" w:h="16838" w:orient="portrait"/>
          <w:cols w:equalWidth="0" w:num="1">
            <w:col w:w="11140"/>
          </w:cols>
          <w:pgMar w:left="320" w:top="482"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29450" cy="100380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29450" cy="10038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
      <w:numFmt w:val="bullet"/>
      <w:start w:val="1"/>
    </w:lvl>
    <w:lvl w:ilvl="1">
      <w:lvlJc w:val="left"/>
      <w:lvlText w:val=" "/>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
      <w:numFmt w:val="bullet"/>
      <w:start w:val="1"/>
    </w:lvl>
  </w:abstractNum>
  <w:abstractNum w:abstractNumId="8">
    <w:nsid w:val="22221A70"/>
    <w:multiLevelType w:val="hybridMultilevel"/>
    <w:lvl w:ilvl="0">
      <w:lvlJc w:val="left"/>
      <w:lvlText w:val=" "/>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2"/>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lowerRoman"/>
      <w:start w:val="3"/>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
      <w:numFmt w:val="bullet"/>
      <w:start w:val="1"/>
    </w:lvl>
  </w:abstractNum>
  <w:abstractNum w:abstractNumId="34">
    <w:nsid w:val="7A6D8D3C"/>
    <w:multiLevelType w:val="hybridMultilevel"/>
    <w:lvl w:ilvl="0">
      <w:lvlJc w:val="left"/>
      <w:lvlText w:val=" "/>
      <w:numFmt w:val="bullet"/>
      <w:start w:val="1"/>
    </w:lvl>
  </w:abstractNum>
  <w:abstractNum w:abstractNumId="35">
    <w:nsid w:val="4B588F54"/>
    <w:multiLevelType w:val="hybridMultilevel"/>
    <w:lvl w:ilvl="0">
      <w:lvlJc w:val="left"/>
      <w:lvlText w:val="(%1)"/>
      <w:numFmt w:val="decimal"/>
      <w:start w:val="5"/>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bullet"/>
      <w:start w:val="1"/>
    </w:lvl>
  </w:abstractNum>
  <w:abstractNum w:abstractNumId="39">
    <w:nsid w:val="7644A45C"/>
    <w:multiLevelType w:val="hybridMultilevel"/>
    <w:lvl w:ilvl="0">
      <w:lvlJc w:val="left"/>
      <w:lvlText w:val="2"/>
      <w:numFmt w:val="bullet"/>
      <w:start w:val="1"/>
    </w:lvl>
  </w:abstractNum>
  <w:abstractNum w:abstractNumId="40">
    <w:nsid w:val="32FFF902"/>
    <w:multiLevelType w:val="hybridMultilevel"/>
    <w:lvl w:ilvl="0">
      <w:lvlJc w:val="left"/>
      <w:lvlText w:val="4"/>
      <w:numFmt w:val="bullet"/>
      <w:start w:val="1"/>
    </w:lvl>
  </w:abstractNum>
  <w:abstractNum w:abstractNumId="41">
    <w:nsid w:val="684A481A"/>
    <w:multiLevelType w:val="hybridMultilevel"/>
    <w:lvl w:ilvl="0">
      <w:lvlJc w:val="left"/>
      <w:lvlText w:val="5"/>
      <w:numFmt w:val="bullet"/>
      <w:start w:val="1"/>
    </w:lvl>
  </w:abstractNum>
  <w:abstractNum w:abstractNumId="42">
    <w:nsid w:val="579478FE"/>
    <w:multiLevelType w:val="hybridMultilevel"/>
    <w:lvl w:ilvl="0">
      <w:lvlJc w:val="left"/>
      <w:lvlText w:val="6"/>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
      <w:numFmt w:val="bullet"/>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emdash "/>
      <w:numFmt w:val="bullet"/>
      <w:start w:val="1"/>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2026-04-27T05:23:54Z</dcterms:created>
  <dcterms:modified xsi:type="dcterms:W3CDTF">2026-04-27T05:23:54Z</dcterms:modified>
</cp:coreProperties>
</file>