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1260"/>
        <w:jc w:val="left"/>
        <w:rPr/>
      </w:pPr>
      <w:hyperlink w:anchor="i9df3615508ad4698974154594c7d7bbb_7">
        <w:r>
          <w:rPr>
            <w:rStyle w:val="InternetLink"/>
            <w:rFonts w:ascii="Times New Roman;sans-serif" w:hAnsi="Times New Roman;sans-serif"/>
            <w:b w:val="false"/>
            <w:color w:val="0000FF"/>
            <w:sz w:val="20"/>
            <w:u w:val="single"/>
          </w:rPr>
          <w:t>INDEX</w:t>
        </w:r>
      </w:hyperlink>
    </w:p>
    <w:p>
      <w:pPr>
        <w:pStyle w:val="TextBody"/>
        <w:bidi w:val="0"/>
        <w:spacing w:before="200" w:after="283"/>
        <w:ind w:left="0" w:right="0" w:firstLine="720"/>
        <w:jc w:val="left"/>
        <w:rPr/>
      </w:pPr>
      <w:r>
        <w:rPr/>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 to 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001-41704</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FORTREA HOLDINGS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94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481"/>
        <w:gridCol w:w="481"/>
        <w:gridCol w:w="687"/>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92-2796441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8 Moore Drive Durham,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27709</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u w:val="single"/>
        </w:rPr>
        <w:t>(480)-295-7600</w:t>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353" w:type="dxa"/>
        <w:jc w:val="left"/>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FTRE</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0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ind w:left="0" w:right="0" w:hanging="1260"/>
        <w:jc w:val="left"/>
        <w:rPr/>
      </w:pPr>
      <w:hyperlink w:anchor="i9df3615508ad4698974154594c7d7bbb_7">
        <w:r>
          <w:rPr>
            <w:rStyle w:val="InternetLink"/>
            <w:rFonts w:ascii="Times New Roman;sans-serif" w:hAnsi="Times New Roman;sans-serif"/>
            <w:b w:val="false"/>
            <w:color w:val="0000FF"/>
            <w:sz w:val="20"/>
            <w:u w:val="single"/>
          </w:rPr>
          <w:t>INDEX</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6474" w:type="dxa"/>
        <w:jc w:val="left"/>
        <w:tblInd w:w="0" w:type="dxa"/>
        <w:tblLayout w:type="fixed"/>
        <w:tblCellMar>
          <w:top w:w="28" w:type="dxa"/>
          <w:left w:w="28" w:type="dxa"/>
          <w:bottom w:w="28" w:type="dxa"/>
          <w:right w:w="28" w:type="dxa"/>
        </w:tblCellMar>
      </w:tblPr>
      <w:tblGrid>
        <w:gridCol w:w="1119"/>
        <w:gridCol w:w="985"/>
        <w:gridCol w:w="986"/>
        <w:gridCol w:w="125"/>
        <w:gridCol w:w="125"/>
        <w:gridCol w:w="125"/>
        <w:gridCol w:w="109"/>
        <w:gridCol w:w="109"/>
        <w:gridCol w:w="109"/>
        <w:gridCol w:w="769"/>
        <w:gridCol w:w="769"/>
        <w:gridCol w:w="772"/>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18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88.8 million shares of common stock as of November 9,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jc w:val="left"/>
        <w:rPr/>
      </w:pPr>
      <w:hyperlink w:anchor="i9df3615508ad4698974154594c7d7bbb_7">
        <w:r>
          <w:rPr>
            <w:rStyle w:val="InternetLink"/>
            <w:rFonts w:ascii="Times New Roman;sans-serif" w:hAnsi="Times New Roman;sans-serif"/>
            <w:b w:val="false"/>
            <w:color w:val="0000FF"/>
            <w:sz w:val="20"/>
            <w:u w:val="single"/>
          </w:rPr>
          <w:t>INDEX</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INDEX</w:t>
      </w:r>
    </w:p>
    <w:tbl>
      <w:tblPr>
        <w:tblW w:w="9734" w:type="dxa"/>
        <w:jc w:val="left"/>
        <w:tblInd w:w="0" w:type="dxa"/>
        <w:tblLayout w:type="fixed"/>
        <w:tblCellMar>
          <w:top w:w="28" w:type="dxa"/>
          <w:left w:w="28" w:type="dxa"/>
          <w:bottom w:w="28" w:type="dxa"/>
          <w:right w:w="28" w:type="dxa"/>
        </w:tblCellMar>
      </w:tblPr>
      <w:tblGrid>
        <w:gridCol w:w="409"/>
        <w:gridCol w:w="360"/>
        <w:gridCol w:w="360"/>
        <w:gridCol w:w="2455"/>
        <w:gridCol w:w="2455"/>
        <w:gridCol w:w="2455"/>
        <w:gridCol w:w="360"/>
        <w:gridCol w:w="360"/>
        <w:gridCol w:w="520"/>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df3615508ad4698974154594c7d7bbb_10">
              <w:r>
                <w:rPr>
                  <w:rStyle w:val="InternetLink"/>
                  <w:rFonts w:ascii="Times New Roman;sans-serif" w:hAnsi="Times New Roman;sans-serif"/>
                  <w:b/>
                  <w:color w:val="000080"/>
                  <w:sz w:val="20"/>
                </w:rPr>
                <w:t>PART I.</w:t>
              </w:r>
            </w:hyperlink>
            <w:r>
              <w:rPr>
                <w:rFonts w:ascii="Times New Roman;sans-serif" w:hAnsi="Times New Roman;sans-serif"/>
                <w:b/>
                <w:color w:val="000000"/>
                <w:sz w:val="20"/>
              </w:rPr>
              <w:t xml:space="preserve"> FINANCIAL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13">
              <w:r>
                <w:rPr>
                  <w:rStyle w:val="InternetLink"/>
                  <w:rFonts w:ascii="Times New Roman;sans-serif" w:hAnsi="Times New Roman;sans-serif"/>
                  <w:b w:val="false"/>
                  <w:color w:val="0000FF"/>
                  <w:sz w:val="20"/>
                  <w:u w:val="single"/>
                </w:rPr>
                <w:t>Financial Statements (unaudited)</w:t>
              </w:r>
            </w:hyperlink>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16">
              <w:r>
                <w:rPr>
                  <w:rStyle w:val="InternetLink"/>
                  <w:rFonts w:ascii="Times New Roman;sans-serif" w:hAnsi="Times New Roman;sans-serif"/>
                  <w:b w:val="false"/>
                  <w:color w:val="0000FF"/>
                  <w:sz w:val="20"/>
                  <w:u w:val="single"/>
                </w:rPr>
                <w:t>Condensed Consolidated and Combined Balance Sheets</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2023 and December 31, 2022</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16">
              <w:r>
                <w:rPr>
                  <w:rStyle w:val="InternetLink"/>
                  <w:rFonts w:ascii="Times New Roman;sans-serif" w:hAnsi="Times New Roman;sans-serif"/>
                  <w:b w:val="false"/>
                  <w:color w:val="0000FF"/>
                  <w:sz w:val="20"/>
                  <w:u w:val="single"/>
                </w:rPr>
                <w:t>2</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19">
              <w:r>
                <w:rPr>
                  <w:rStyle w:val="InternetLink"/>
                  <w:rFonts w:ascii="Times New Roman;sans-serif" w:hAnsi="Times New Roman;sans-serif"/>
                  <w:b w:val="false"/>
                  <w:color w:val="0000FF"/>
                  <w:sz w:val="20"/>
                  <w:u w:val="single"/>
                </w:rPr>
                <w:t>Condensed Consolidated and Combined Statements of Operations</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and nine months ended September 30, 2023 and 2022</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19">
              <w:r>
                <w:rPr>
                  <w:rStyle w:val="InternetLink"/>
                  <w:rFonts w:ascii="Times New Roman;sans-serif" w:hAnsi="Times New Roman;sans-serif"/>
                  <w:b w:val="false"/>
                  <w:color w:val="0000FF"/>
                  <w:sz w:val="20"/>
                  <w:u w:val="single"/>
                </w:rPr>
                <w:t>3</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22">
              <w:r>
                <w:rPr>
                  <w:rStyle w:val="InternetLink"/>
                  <w:rFonts w:ascii="Times New Roman;sans-serif" w:hAnsi="Times New Roman;sans-serif"/>
                  <w:b w:val="false"/>
                  <w:color w:val="0000FF"/>
                  <w:sz w:val="20"/>
                  <w:u w:val="single"/>
                </w:rPr>
                <w:t>Condensed Consolidated and Combined Statements of Comprehensive Income (Loss)</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and nine months ended September 30, 2023 and 2022</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22">
              <w:r>
                <w:rPr>
                  <w:rStyle w:val="InternetLink"/>
                  <w:rFonts w:ascii="Times New Roman;sans-serif" w:hAnsi="Times New Roman;sans-serif"/>
                  <w:b w:val="false"/>
                  <w:color w:val="0000FF"/>
                  <w:sz w:val="20"/>
                  <w:u w:val="single"/>
                </w:rPr>
                <w:t>4</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25">
              <w:r>
                <w:rPr>
                  <w:rStyle w:val="InternetLink"/>
                  <w:rFonts w:ascii="Times New Roman;sans-serif" w:hAnsi="Times New Roman;sans-serif"/>
                  <w:b w:val="false"/>
                  <w:color w:val="000080"/>
                  <w:sz w:val="20"/>
                  <w:u w:val="single"/>
                </w:rPr>
                <w:t xml:space="preserve">Condensed </w:t>
              </w:r>
            </w:hyperlink>
            <w:hyperlink w:anchor="i9df3615508ad4698974154594c7d7bbb_16">
              <w:r>
                <w:rPr>
                  <w:rStyle w:val="InternetLink"/>
                  <w:rFonts w:ascii="Times New Roman;sans-serif" w:hAnsi="Times New Roman;sans-serif"/>
                  <w:b w:val="false"/>
                  <w:color w:val="000080"/>
                  <w:sz w:val="20"/>
                  <w:u w:val="single"/>
                </w:rPr>
                <w:t xml:space="preserve">Consolidated and </w:t>
              </w:r>
            </w:hyperlink>
            <w:hyperlink w:anchor="i9df3615508ad4698974154594c7d7bbb_25">
              <w:r>
                <w:rPr>
                  <w:rStyle w:val="InternetLink"/>
                  <w:rFonts w:ascii="Times New Roman;sans-serif" w:hAnsi="Times New Roman;sans-serif"/>
                  <w:b w:val="false"/>
                  <w:color w:val="000080"/>
                  <w:sz w:val="20"/>
                  <w:u w:val="single"/>
                </w:rPr>
                <w:t>Combined Statements of Changes in Equity</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and nine months ended September 30, 2023 and 2022</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25">
              <w:r>
                <w:rPr>
                  <w:rStyle w:val="InternetLink"/>
                  <w:rFonts w:ascii="Times New Roman;sans-serif" w:hAnsi="Times New Roman;sans-serif"/>
                  <w:b w:val="false"/>
                  <w:color w:val="0000FF"/>
                  <w:sz w:val="20"/>
                  <w:u w:val="single"/>
                </w:rPr>
                <w:t>5</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28">
              <w:r>
                <w:rPr>
                  <w:rStyle w:val="InternetLink"/>
                  <w:rFonts w:ascii="Times New Roman;sans-serif" w:hAnsi="Times New Roman;sans-serif"/>
                  <w:b w:val="false"/>
                  <w:color w:val="000080"/>
                  <w:sz w:val="20"/>
                  <w:u w:val="single"/>
                </w:rPr>
                <w:t xml:space="preserve">Condensed </w:t>
              </w:r>
            </w:hyperlink>
            <w:hyperlink w:anchor="i9df3615508ad4698974154594c7d7bbb_16">
              <w:r>
                <w:rPr>
                  <w:rStyle w:val="InternetLink"/>
                  <w:rFonts w:ascii="Times New Roman;sans-serif" w:hAnsi="Times New Roman;sans-serif"/>
                  <w:b w:val="false"/>
                  <w:color w:val="000080"/>
                  <w:sz w:val="20"/>
                  <w:u w:val="single"/>
                </w:rPr>
                <w:t xml:space="preserve">Consolidated and </w:t>
              </w:r>
            </w:hyperlink>
            <w:hyperlink w:anchor="i9df3615508ad4698974154594c7d7bbb_28">
              <w:r>
                <w:rPr>
                  <w:rStyle w:val="InternetLink"/>
                  <w:rFonts w:ascii="Times New Roman;sans-serif" w:hAnsi="Times New Roman;sans-serif"/>
                  <w:b w:val="false"/>
                  <w:color w:val="000080"/>
                  <w:sz w:val="20"/>
                  <w:u w:val="single"/>
                </w:rPr>
                <w:t>Combined Statements of Cash Flows</w:t>
              </w:r>
            </w:hyperlink>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2023 and 2022</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28">
              <w:r>
                <w:rPr>
                  <w:rStyle w:val="InternetLink"/>
                  <w:rFonts w:ascii="Times New Roman;sans-serif" w:hAnsi="Times New Roman;sans-serif"/>
                  <w:b w:val="false"/>
                  <w:color w:val="0000FF"/>
                  <w:sz w:val="20"/>
                  <w:u w:val="single"/>
                </w:rPr>
                <w:t>6</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31">
              <w:r>
                <w:rPr>
                  <w:rStyle w:val="InternetLink"/>
                  <w:rFonts w:ascii="Times New Roman;sans-serif" w:hAnsi="Times New Roman;sans-serif"/>
                  <w:b w:val="false"/>
                  <w:color w:val="0000FF"/>
                  <w:sz w:val="20"/>
                  <w:u w:val="single"/>
                </w:rPr>
                <w:t>Notes to Unaudited Condensed Consolidated and Combined Financial Statements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31">
              <w:r>
                <w:rPr>
                  <w:rStyle w:val="InternetLink"/>
                  <w:rFonts w:ascii="Times New Roman;sans-serif" w:hAnsi="Times New Roman;sans-serif"/>
                  <w:b w:val="false"/>
                  <w:color w:val="0000FF"/>
                  <w:sz w:val="20"/>
                  <w:u w:val="single"/>
                </w:rPr>
                <w:t>8</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70">
              <w:r>
                <w:rPr>
                  <w:rStyle w:val="InternetLink"/>
                  <w:rFonts w:ascii="Times New Roman;sans-serif" w:hAnsi="Times New Roman;sans-serif"/>
                  <w:b w:val="false"/>
                  <w:color w:val="000000"/>
                  <w:sz w:val="20"/>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7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70">
              <w:r>
                <w:rPr>
                  <w:rStyle w:val="InternetLink"/>
                  <w:rFonts w:ascii="Times New Roman;sans-serif" w:hAnsi="Times New Roman;sans-serif"/>
                  <w:b w:val="false"/>
                  <w:color w:val="0000FF"/>
                  <w:sz w:val="20"/>
                  <w:u w:val="single"/>
                </w:rPr>
                <w:t>25</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82">
              <w:r>
                <w:rPr>
                  <w:rStyle w:val="InternetLink"/>
                  <w:rFonts w:ascii="Times New Roman;sans-serif" w:hAnsi="Times New Roman;sans-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82">
              <w:r>
                <w:rPr>
                  <w:rStyle w:val="InternetLink"/>
                  <w:rFonts w:ascii="Times New Roman;sans-serif" w:hAnsi="Times New Roman;sans-serif"/>
                  <w:b w:val="false"/>
                  <w:color w:val="0000FF"/>
                  <w:sz w:val="20"/>
                  <w:u w:val="single"/>
                </w:rPr>
                <w:t>Quantitative and Qualitative Disclosures About Market Risk</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82">
              <w:r>
                <w:rPr>
                  <w:rStyle w:val="InternetLink"/>
                  <w:rFonts w:ascii="Times New Roman;sans-serif" w:hAnsi="Times New Roman;sans-serif"/>
                  <w:b w:val="false"/>
                  <w:color w:val="0000FF"/>
                  <w:sz w:val="20"/>
                  <w:u w:val="single"/>
                </w:rPr>
                <w:t>33</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85">
              <w:r>
                <w:rPr>
                  <w:rStyle w:val="InternetLink"/>
                  <w:rFonts w:ascii="Times New Roman;sans-serif" w:hAnsi="Times New Roman;sans-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85">
              <w:r>
                <w:rPr>
                  <w:rStyle w:val="InternetLink"/>
                  <w:rFonts w:ascii="Times New Roman;sans-serif" w:hAnsi="Times New Roman;sans-serif"/>
                  <w:b w:val="false"/>
                  <w:color w:val="0000FF"/>
                  <w:sz w:val="20"/>
                  <w:u w:val="single"/>
                </w:rPr>
                <w:t>Controls and Procedures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85">
              <w:r>
                <w:rPr>
                  <w:rStyle w:val="InternetLink"/>
                  <w:rFonts w:ascii="Times New Roman;sans-serif" w:hAnsi="Times New Roman;sans-serif"/>
                  <w:b w:val="false"/>
                  <w:color w:val="0000FF"/>
                  <w:sz w:val="20"/>
                  <w:u w:val="single"/>
                </w:rPr>
                <w:t>35</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df3615508ad4698974154594c7d7bbb_88">
              <w:r>
                <w:rPr>
                  <w:rStyle w:val="InternetLink"/>
                  <w:rFonts w:ascii="Times New Roman;sans-serif" w:hAnsi="Times New Roman;sans-serif"/>
                  <w:b/>
                  <w:color w:val="000080"/>
                  <w:sz w:val="20"/>
                </w:rPr>
                <w:t>PART II.</w:t>
              </w:r>
            </w:hyperlink>
            <w:r>
              <w:rPr>
                <w:rFonts w:ascii="Times New Roman;sans-serif" w:hAnsi="Times New Roman;sans-serif"/>
                <w:b/>
                <w:color w:val="000000"/>
                <w:sz w:val="20"/>
              </w:rPr>
              <w:t xml:space="preserve"> OTHER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91">
              <w:r>
                <w:rPr>
                  <w:rStyle w:val="InternetLink"/>
                  <w:rFonts w:ascii="Times New Roman;sans-serif" w:hAnsi="Times New Roman;sans-serif"/>
                  <w:b w:val="false"/>
                  <w:color w:val="000000"/>
                  <w:sz w:val="20"/>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91">
              <w:r>
                <w:rPr>
                  <w:rStyle w:val="InternetLink"/>
                  <w:rFonts w:ascii="Times New Roman;sans-serif" w:hAnsi="Times New Roman;sans-serif"/>
                  <w:b w:val="false"/>
                  <w:color w:val="0000FF"/>
                  <w:sz w:val="20"/>
                  <w:u w:val="single"/>
                </w:rPr>
                <w:t>Legal Proceedings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91">
              <w:r>
                <w:rPr>
                  <w:rStyle w:val="InternetLink"/>
                  <w:rFonts w:ascii="Times New Roman;sans-serif" w:hAnsi="Times New Roman;sans-serif"/>
                  <w:b w:val="false"/>
                  <w:color w:val="0000FF"/>
                  <w:sz w:val="20"/>
                  <w:u w:val="single"/>
                </w:rPr>
                <w:t>35</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94">
              <w:r>
                <w:rPr>
                  <w:rStyle w:val="InternetLink"/>
                  <w:rFonts w:ascii="Times New Roman;sans-serif" w:hAnsi="Times New Roman;sans-serif"/>
                  <w:b w:val="false"/>
                  <w:color w:val="000080"/>
                  <w:sz w:val="20"/>
                </w:rPr>
                <w:t xml:space="preserve">Item </w:t>
              </w:r>
            </w:hyperlink>
            <w:r>
              <w:rPr>
                <w:rFonts w:ascii="Times New Roman;sans-serif" w:hAnsi="Times New Roman;sans-serif"/>
                <w:b w:val="false"/>
                <w:color w:val="000000"/>
                <w:sz w:val="20"/>
              </w:rPr>
              <w:t>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94">
              <w:r>
                <w:rPr>
                  <w:rStyle w:val="InternetLink"/>
                  <w:rFonts w:ascii="Times New Roman;sans-serif" w:hAnsi="Times New Roman;sans-serif"/>
                  <w:b w:val="false"/>
                  <w:color w:val="0000FF"/>
                  <w:sz w:val="20"/>
                  <w:u w:val="single"/>
                </w:rPr>
                <w:t>Risk Factors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94">
              <w:r>
                <w:rPr>
                  <w:rStyle w:val="InternetLink"/>
                  <w:rFonts w:ascii="Times New Roman;sans-serif" w:hAnsi="Times New Roman;sans-serif"/>
                  <w:b w:val="false"/>
                  <w:color w:val="0000FF"/>
                  <w:sz w:val="20"/>
                  <w:u w:val="single"/>
                </w:rPr>
                <w:t>35</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97">
              <w:r>
                <w:rPr>
                  <w:rStyle w:val="InternetLink"/>
                  <w:rFonts w:ascii="Times New Roman;sans-serif" w:hAnsi="Times New Roman;sans-serif"/>
                  <w:b w:val="false"/>
                  <w:color w:val="000000"/>
                  <w:sz w:val="20"/>
                </w:rPr>
                <w:t xml:space="preserve">Item 2. </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97">
              <w:r>
                <w:rPr>
                  <w:rStyle w:val="InternetLink"/>
                  <w:rFonts w:ascii="Times New Roman;sans-serif" w:hAnsi="Times New Roman;sans-serif"/>
                  <w:b w:val="false"/>
                  <w:color w:val="0000FF"/>
                  <w:sz w:val="20"/>
                  <w:u w:val="single"/>
                </w:rPr>
                <w:t>Unregistered Sales of Equity Securities and Use of Proceeds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97">
              <w:r>
                <w:rPr>
                  <w:rStyle w:val="InternetLink"/>
                  <w:rFonts w:ascii="Times New Roman;sans-serif" w:hAnsi="Times New Roman;sans-serif"/>
                  <w:b w:val="false"/>
                  <w:color w:val="0000FF"/>
                  <w:sz w:val="20"/>
                  <w:u w:val="single"/>
                </w:rPr>
                <w:t>35</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100">
              <w:r>
                <w:rPr>
                  <w:rStyle w:val="InternetLink"/>
                  <w:rFonts w:ascii="Times New Roman;sans-serif" w:hAnsi="Times New Roman;sans-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100">
              <w:r>
                <w:rPr>
                  <w:rStyle w:val="InternetLink"/>
                  <w:rFonts w:ascii="Times New Roman;sans-serif" w:hAnsi="Times New Roman;sans-serif"/>
                  <w:b w:val="false"/>
                  <w:color w:val="0000FF"/>
                  <w:sz w:val="20"/>
                  <w:u w:val="single"/>
                </w:rPr>
                <w:t>Defaults Upon Senior Securities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100">
              <w:r>
                <w:rPr>
                  <w:rStyle w:val="InternetLink"/>
                  <w:rFonts w:ascii="Times New Roman;sans-serif" w:hAnsi="Times New Roman;sans-serif"/>
                  <w:b w:val="false"/>
                  <w:color w:val="0000FF"/>
                  <w:sz w:val="20"/>
                  <w:u w:val="single"/>
                </w:rPr>
                <w:t>35</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103">
              <w:r>
                <w:rPr>
                  <w:rStyle w:val="InternetLink"/>
                  <w:rFonts w:ascii="Times New Roman;sans-serif" w:hAnsi="Times New Roman;sans-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103">
              <w:r>
                <w:rPr>
                  <w:rStyle w:val="InternetLink"/>
                  <w:rFonts w:ascii="Times New Roman;sans-serif" w:hAnsi="Times New Roman;sans-serif"/>
                  <w:b w:val="false"/>
                  <w:color w:val="0000FF"/>
                  <w:sz w:val="20"/>
                  <w:u w:val="single"/>
                </w:rPr>
                <w:t>Mine Safety Disclosures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103">
              <w:r>
                <w:rPr>
                  <w:rStyle w:val="InternetLink"/>
                  <w:rFonts w:ascii="Times New Roman;sans-serif" w:hAnsi="Times New Roman;sans-serif"/>
                  <w:b w:val="false"/>
                  <w:color w:val="0000FF"/>
                  <w:sz w:val="20"/>
                  <w:u w:val="single"/>
                </w:rPr>
                <w:t>35</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Other Information</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106">
              <w:r>
                <w:rPr>
                  <w:rStyle w:val="InternetLink"/>
                  <w:rFonts w:ascii="Times New Roman;sans-serif" w:hAnsi="Times New Roman;sans-serif"/>
                  <w:b w:val="false"/>
                  <w:color w:val="0000FF"/>
                  <w:sz w:val="20"/>
                  <w:u w:val="single"/>
                </w:rPr>
                <w:t>35</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109">
              <w:r>
                <w:rPr>
                  <w:rStyle w:val="InternetLink"/>
                  <w:rFonts w:ascii="Times New Roman;sans-serif" w:hAnsi="Times New Roman;sans-serif"/>
                  <w:b w:val="false"/>
                  <w:color w:val="000000"/>
                  <w:sz w:val="20"/>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f3615508ad4698974154594c7d7bbb_109">
              <w:r>
                <w:rPr>
                  <w:rStyle w:val="InternetLink"/>
                  <w:rFonts w:ascii="Times New Roman;sans-serif" w:hAnsi="Times New Roman;sans-serif"/>
                  <w:b w:val="false"/>
                  <w:color w:val="0000FF"/>
                  <w:sz w:val="20"/>
                  <w:u w:val="single"/>
                </w:rPr>
                <w:t>Exhibits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f3615508ad4698974154594c7d7bbb_109">
              <w:r>
                <w:rPr>
                  <w:rStyle w:val="InternetLink"/>
                  <w:rFonts w:ascii="Times New Roman;sans-serif" w:hAnsi="Times New Roman;sans-serif"/>
                  <w:b w:val="false"/>
                  <w:color w:val="0000FF"/>
                  <w:sz w:val="20"/>
                  <w:u w:val="singl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AND COMBINED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99"/>
        <w:gridCol w:w="2406"/>
        <w:gridCol w:w="2404"/>
        <w:gridCol w:w="219"/>
        <w:gridCol w:w="797"/>
        <w:gridCol w:w="113"/>
        <w:gridCol w:w="109"/>
        <w:gridCol w:w="109"/>
        <w:gridCol w:w="109"/>
        <w:gridCol w:w="211"/>
        <w:gridCol w:w="770"/>
        <w:gridCol w:w="159"/>
      </w:tblGrid>
      <w:tr>
        <w:trPr/>
        <w:tc>
          <w:tcPr>
            <w:tcW w:w="2799"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and unbilled services, net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operating lease liabilities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and other tax liabilities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 (Note 8)</w:t>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parent investment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88.8 and 0.0 shares outstanding at September 30, 2023 and December 31, 2022, respectively</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and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AND COMBINED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99"/>
        <w:gridCol w:w="1497"/>
        <w:gridCol w:w="1507"/>
        <w:gridCol w:w="221"/>
        <w:gridCol w:w="646"/>
        <w:gridCol w:w="114"/>
        <w:gridCol w:w="114"/>
        <w:gridCol w:w="114"/>
        <w:gridCol w:w="114"/>
        <w:gridCol w:w="221"/>
        <w:gridCol w:w="646"/>
        <w:gridCol w:w="114"/>
        <w:gridCol w:w="109"/>
        <w:gridCol w:w="109"/>
        <w:gridCol w:w="109"/>
        <w:gridCol w:w="212"/>
        <w:gridCol w:w="772"/>
        <w:gridCol w:w="109"/>
        <w:gridCol w:w="109"/>
        <w:gridCol w:w="109"/>
        <w:gridCol w:w="109"/>
        <w:gridCol w:w="212"/>
        <w:gridCol w:w="772"/>
        <w:gridCol w:w="167"/>
      </w:tblGrid>
      <w:tr>
        <w:trPr/>
        <w:tc>
          <w:tcPr>
            <w:tcW w:w="199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 exclusive of depreciation and amortization (including costs incurred from related parties of $0.0, $21.6, $48.8 and $65.7 during the three and nine months ended September 30, 2023 and 2022, respectively)</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exclusive of depreciation and amortization</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before income taxes</w:t>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(loss) per common share</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and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AND COMBINED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59"/>
        <w:gridCol w:w="1519"/>
        <w:gridCol w:w="1509"/>
        <w:gridCol w:w="249"/>
        <w:gridCol w:w="676"/>
        <w:gridCol w:w="128"/>
        <w:gridCol w:w="128"/>
        <w:gridCol w:w="128"/>
        <w:gridCol w:w="128"/>
        <w:gridCol w:w="249"/>
        <w:gridCol w:w="676"/>
        <w:gridCol w:w="128"/>
        <w:gridCol w:w="109"/>
        <w:gridCol w:w="109"/>
        <w:gridCol w:w="109"/>
        <w:gridCol w:w="246"/>
        <w:gridCol w:w="596"/>
        <w:gridCol w:w="126"/>
        <w:gridCol w:w="126"/>
        <w:gridCol w:w="126"/>
        <w:gridCol w:w="126"/>
        <w:gridCol w:w="246"/>
        <w:gridCol w:w="719"/>
        <w:gridCol w:w="190"/>
      </w:tblGrid>
      <w:tr>
        <w:trPr/>
        <w:tc>
          <w:tcPr>
            <w:tcW w:w="185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benefit plan adjustments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 instruments</w:t>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 related to items of comprehensive income</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and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AND COMBINED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25"/>
        <w:gridCol w:w="337"/>
        <w:gridCol w:w="338"/>
        <w:gridCol w:w="255"/>
        <w:gridCol w:w="256"/>
        <w:gridCol w:w="196"/>
        <w:gridCol w:w="236"/>
        <w:gridCol w:w="407"/>
        <w:gridCol w:w="109"/>
        <w:gridCol w:w="109"/>
        <w:gridCol w:w="109"/>
        <w:gridCol w:w="109"/>
        <w:gridCol w:w="213"/>
        <w:gridCol w:w="776"/>
        <w:gridCol w:w="110"/>
        <w:gridCol w:w="109"/>
        <w:gridCol w:w="109"/>
        <w:gridCol w:w="109"/>
        <w:gridCol w:w="214"/>
        <w:gridCol w:w="776"/>
        <w:gridCol w:w="110"/>
        <w:gridCol w:w="109"/>
        <w:gridCol w:w="109"/>
        <w:gridCol w:w="109"/>
        <w:gridCol w:w="264"/>
        <w:gridCol w:w="658"/>
        <w:gridCol w:w="137"/>
        <w:gridCol w:w="109"/>
        <w:gridCol w:w="109"/>
        <w:gridCol w:w="109"/>
        <w:gridCol w:w="269"/>
        <w:gridCol w:w="806"/>
        <w:gridCol w:w="141"/>
        <w:gridCol w:w="109"/>
        <w:gridCol w:w="109"/>
        <w:gridCol w:w="109"/>
        <w:gridCol w:w="211"/>
        <w:gridCol w:w="766"/>
        <w:gridCol w:w="160"/>
      </w:tblGrid>
      <w:tr>
        <w:trPr/>
        <w:tc>
          <w:tcPr>
            <w:tcW w:w="82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Former Parent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transfers from Former Parent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payment to Former Parent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transfers to Former Parent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Former Parent investment to additional paid-in capital</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and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AND COMBINED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71"/>
        <w:gridCol w:w="387"/>
        <w:gridCol w:w="388"/>
        <w:gridCol w:w="203"/>
        <w:gridCol w:w="203"/>
        <w:gridCol w:w="196"/>
        <w:gridCol w:w="236"/>
        <w:gridCol w:w="413"/>
        <w:gridCol w:w="110"/>
        <w:gridCol w:w="109"/>
        <w:gridCol w:w="109"/>
        <w:gridCol w:w="109"/>
        <w:gridCol w:w="291"/>
        <w:gridCol w:w="561"/>
        <w:gridCol w:w="150"/>
        <w:gridCol w:w="109"/>
        <w:gridCol w:w="109"/>
        <w:gridCol w:w="109"/>
        <w:gridCol w:w="232"/>
        <w:gridCol w:w="843"/>
        <w:gridCol w:w="119"/>
        <w:gridCol w:w="109"/>
        <w:gridCol w:w="109"/>
        <w:gridCol w:w="109"/>
        <w:gridCol w:w="322"/>
        <w:gridCol w:w="620"/>
        <w:gridCol w:w="168"/>
        <w:gridCol w:w="109"/>
        <w:gridCol w:w="109"/>
        <w:gridCol w:w="109"/>
        <w:gridCol w:w="269"/>
        <w:gridCol w:w="806"/>
        <w:gridCol w:w="141"/>
        <w:gridCol w:w="109"/>
        <w:gridCol w:w="109"/>
        <w:gridCol w:w="109"/>
        <w:gridCol w:w="211"/>
        <w:gridCol w:w="766"/>
        <w:gridCol w:w="164"/>
      </w:tblGrid>
      <w:tr>
        <w:trPr/>
        <w:tc>
          <w:tcPr>
            <w:tcW w:w="7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Former Parent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transfers from Former Parent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transfers to Former Parent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transfers to Former Parent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2022</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and combined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FORTREA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AND COMBINED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06"/>
        <w:gridCol w:w="2376"/>
        <w:gridCol w:w="2380"/>
        <w:gridCol w:w="248"/>
        <w:gridCol w:w="725"/>
        <w:gridCol w:w="127"/>
        <w:gridCol w:w="127"/>
        <w:gridCol w:w="127"/>
        <w:gridCol w:w="127"/>
        <w:gridCol w:w="248"/>
        <w:gridCol w:w="725"/>
        <w:gridCol w:w="127"/>
        <w:gridCol w:w="162"/>
      </w:tblGrid>
      <w:tr>
        <w:trPr/>
        <w:tc>
          <w:tcPr>
            <w:tcW w:w="2706"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7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(used for) operating activities: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 expense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receivable and unbilled services, net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prepaid expenses and other</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payable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unearned revenue</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accrued expenses and other</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facilities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revolving credit facilities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term loans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senior notes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of long-term debt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payment to Former Parent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transfers to Former Parent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and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NOTES TO UNAUDITED CONDENSED CONSOLIDATED AND COMBINED FINANCIAL STATEMENTS</w:t>
        <w:br/>
        <w:t>                (dollars and shares in millions,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    BASIS OF FINANCIAL STATEMENT PRESENTATION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Fortrea Holdings Inc. ("Fortrea" or the “Company”), a Delaware corporation incorporated on January 31, 2023, is a leading global contract research organization (“CRO”) providing biopharmaceutical product and medical device development services, patient access solutions and other enabling services to pharmaceutical, biotechnology and medical device customers. The Company offers customers highly flexible delivery models that include Full Service, Functional Service Provider, and Hybrid Service structures. The Company has a rich history of providing clinical development services for over 30 years across more than 20 therapeutic areas, first as Covance and later as Labcorp Drug Development. On June 30, 2023, the Company completed a spin-off (the “Spin” or the “Separation”) from Laboratory Corporation of America Holdings (“Labcorp” or “Former Parent”). The Company leverages its global scale, clinical data insights, technology innovation, industry network and decades of experience as a standalone company and as a business unit prior to the Spin to deliver tailored solutions to its customers. With what the Company believes is a distinctive market offering, Fortrea meets growing global demand for clinical development services.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team of approximately 19,000 employees conducts operations in more than 90 countries and delivers comprehensive phase I – IV clinical trial management, clinical pharmacology, differentiated technology enabled trial solutions and post-approval services for our customers. The Company’s offering is scaled to deliver focused and agile solutions to customers globally, streamlining the biopharmaceutical product and medical device development process. Additionally, Fortrea successfully utilizes enabling technologies to optimize processes and evolve with a dynamic marketplace.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Company manages its business in two reportable segments - Clinical Services and Enabling Services. The Clinical Services segment provides services across the clinical pharmacology and clinical development spectrum. The Enabling Services segment provides patient access and clinical trial technology solutions to customers that streamline complex randomization and optimize the trial drug supply process, while minimizing operational costs and supporting timely and accurate patient dosing. For further financial information about these segments, see Note 14, </w:t>
      </w:r>
      <w:r>
        <w:rPr>
          <w:rFonts w:ascii="Times New Roman;sans-serif" w:hAnsi="Times New Roman;sans-serif"/>
          <w:b w:val="false"/>
          <w:i/>
          <w:color w:val="000000"/>
          <w:sz w:val="20"/>
        </w:rPr>
        <w:t>Business Segment Information</w:t>
      </w:r>
      <w:r>
        <w:rPr>
          <w:color w:val="000000"/>
        </w:rPr>
        <w:t xml:space="preserve"> </w:t>
      </w:r>
      <w:r>
        <w:rPr>
          <w:rFonts w:ascii="Times New Roman;sans-serif" w:hAnsi="Times New Roman;sans-serif"/>
          <w:b w:val="false"/>
          <w:color w:val="000000"/>
          <w:sz w:val="20"/>
        </w:rPr>
        <w:t>to the condensed consolidated and combined financial statements.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access to all key markets worldwide through a strategic footprint of primary office locations in five countries (the United States, the United Kingdom, China, India and Singapore) with field operations in other jurisdictions worldwide.</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Agreements with Labcorp</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2023, the Company completed the Spin from Labcorp. The Company has entered into several agreements with Labcorp that govern the relationship of the parties following the Separation, including the Separation and Distribution Agreement, the Tax Matters Agreement, the Employee Matters Agreement, and the Transition Services Agreement, which are described in the Company’s Registration Statement on Form 10, as amended (“Form 10”), as filed with the Securities and Exchange Commission (the “SEC”). Under the terms of the Transition Services Agreement, the Company and Labcorp agreed to provide each other certain transitional services. The services and assets to be provided to Fortrea by Labcorp support the Company’s enterprise functions, most notably IT applications, network and security support and hosting as well as finance, human resources, marketing and other administrative support.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Basis of Financial Statement Presentation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June 30, 2023, Fortrea existed and functioned as part of the consolidated business of Former Parent. The Company’s financial statements for periods through the Spin reflect the historical financial position, results of operations and cash flows of the Company, for the periods presented, prepared on a “carve-out” basis and have been derived from the condensed consolidated financial statements and accounting records of Labcorp using the historical results of operations and historical basis of assets and liabilities of the Company and reflect Labcorp’s net investment in the Company. The Company’s balance sheet as of September 30, 2023 is a consolidated balance sheet based on the financial position of Fortrea as a standalone company. The three months ended September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includes condensed consolidated financial statements, whereas all prior periods included combined financial statements. The Company’s unaudited condensed consolidated and combined financial statements for all periods presented are referred to throughout this document as “financial statements.”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and combined financial statements have been prepared in conformity with accounting principles generally accepted in the United States of America (“U.S. GAAP”). The condensed consolidated and combined financial statements do not necessarily reflect what the financial position, results of operations, and cash flows would have been had it operated as a standalone company during the prior periods presented.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and combined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and combined balance sheet data was derived from audited financial statements but does not include all disclosures required by U.S. GAAP. The condensed consolidated and combined financial statements and notes are presented in accordance with the rules and regulations of the SEC and do not contain certain information included in the Company’s fiscal year 2022 reporting included within the Form 10. Therefore, these interim statements should be read in conjunction with the combined financial statements and notes thereto contained in the Form 10.</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combined statements of operations include all revenues and costs directly attributable to our business. The condensed combined statements of operations for prior periods also include costs for certain centralized functions and programs provided and administered by Labcorp that were allocated to Fortrea. These centralized functions and programs include, but are not limited to legal, tax, treasury, risk management, sales expenses, information technology, human resources, finance, supply chain, executive leadership and stock-based compensation.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These expenses were allocated to Fortrea based on direct usage when identifiable or, when not directly identifiable, on the basis of proportional net revenues or headcount or other reasonable driver, as applicable. Fortrea considers the basis on which the expenses have been allocated to reasonably reflect the utilization of services provided to, or the benefit received by, Fortrea during the prior periods presented. However, the allocations may not reflect the expenses Fortrea would have incurred as an independent company for the prior periods presented. Actual costs that may have been incurred if Fortrea had been a standalone company would depend on a number of factors, including, but not limited to, the organizational structure, whether functions were outsourced or performed by employees, and strategic decisions made in areas such as information technology and infrastructure. For a period following the Spin some of these functions are provided by Labcorp as discussed within the</w:t>
      </w:r>
      <w:r>
        <w:rPr>
          <w:color w:val="000000"/>
        </w:rPr>
        <w:t xml:space="preserve"> </w:t>
      </w:r>
      <w:r>
        <w:rPr>
          <w:rFonts w:ascii="Times New Roman;sans-serif" w:hAnsi="Times New Roman;sans-serif"/>
          <w:b w:val="false"/>
          <w:i/>
          <w:color w:val="000000"/>
          <w:sz w:val="20"/>
        </w:rPr>
        <w:t>Agreements with Labcorp</w:t>
      </w:r>
      <w:r>
        <w:rPr>
          <w:color w:val="000000"/>
        </w:rPr>
        <w:t xml:space="preserve"> </w:t>
      </w:r>
      <w:r>
        <w:rPr>
          <w:rFonts w:ascii="Times New Roman;sans-serif" w:hAnsi="Times New Roman;sans-serif"/>
          <w:b w:val="false"/>
          <w:color w:val="000000"/>
          <w:sz w:val="20"/>
        </w:rPr>
        <w:t>section above.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Labcorp utilizes a centralized approach to cash management and financing of its operations. The cash and cash equivalents held by Labcorp at the corporate level were not specifically identifiable to Fortrea and therefore have not been reflected in the Company’s condensed combined balance sheet as of December 31, 2022. Cash and cash equivalents in the condensed consolidated and combined balance sheets represent cash and cash equivalents held by the Company.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condensed combined financial statements include certain assets and liabilities that have historically been held at the Labcorp corporate level but are specifically identifiable or otherwise attributable to Fortrea. Labcorp’s third-party long-term debt and the related interest expense have not been allocated to Fortrea for any of the periods presented because Fortrea was not the legal obligor of such debt.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 Former Parent investment is shown in lieu of common stock and retained earnings accounts in the condensed combined financial statements. The total net effect of the settlement of the transactions between the Company and Labcorp, exclusive of those historically settled in cash, is reflected in the condensed combined statements of cash flows in cash flows from financing activities as net transfers (to) from Former Parent and in the condensed consolidated and combined balance sheets as Former Parent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All intercompany transactions within the Company have been eliminated. All transactions between the Company and Former Parent have been included in these condensed consolidated and combined financial statements. For those transactions between the Company and Former Parent that were historically settled in cash, the Company has reflected such balances in the condensed consolidated and combined balance sheets as due from related parties or due to related parties. The Former Parent investment and all due from or due to Former Parent were settled at the time of the Spin. Refer to </w:t>
      </w:r>
      <w:r>
        <w:rPr>
          <w:rFonts w:ascii="Times New Roman;sans-serif" w:hAnsi="Times New Roman;sans-serif"/>
          <w:b w:val="false"/>
          <w:i/>
          <w:color w:val="000000"/>
          <w:sz w:val="20"/>
        </w:rPr>
        <w:t>Note 12</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Transactions with Former Parent</w:t>
      </w:r>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primarily of cash and cash equivalents, accounts receivable and unbilled services.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cash and cash equivalents with various major financial institutions. These financial institutions are generally highly rated and geographically dispersed. The Company evaluates the relative credit standing of these financial institutions and has not sustained credit losses from instruments held at financial institutions.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Substantially all the Company’s accounts receivable and unbilled services are with companies in the pharmaceutical, biotechnology and medical device industries. As of September 30, 2023, no customer accounted for more than 10% of the Company's combined gross accounts receivable and unbilled services. As of December 31, 2022, one pharmaceutical company accounted for approximately 10.5% of the Company's combined gross accounts receivable and unbilled services. Additionally, for the three months and nine months ended September 30, 2023, one customer accounted for approximately 13.5% and 10.2% of revenues, respectively. For the three and nine months ended September 30, 2022, no customer accounted for more than 10% of revenues. Concentrations of credit risk are mitigated due to the number of the Company’s customers as well as their dispersion across many different geographic regions. Additionally, the Company applies assumptions and judgments, including historical collection experience and reasonable and supportable forecasts, for assessing collectability and determining allowances for doubtful accounts.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2.    REVENUES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by segment and geography for the three and nine months ended September 30, 2023 and 2022 are as follows:</w:t>
      </w:r>
    </w:p>
    <w:tbl>
      <w:tblPr>
        <w:tblW w:w="10693" w:type="dxa"/>
        <w:jc w:val="left"/>
        <w:tblInd w:w="0" w:type="dxa"/>
        <w:tblLayout w:type="fixed"/>
        <w:tblCellMar>
          <w:top w:w="28" w:type="dxa"/>
          <w:left w:w="28" w:type="dxa"/>
          <w:bottom w:w="28" w:type="dxa"/>
          <w:right w:w="28" w:type="dxa"/>
        </w:tblCellMar>
      </w:tblPr>
      <w:tblGrid>
        <w:gridCol w:w="363"/>
        <w:gridCol w:w="253"/>
        <w:gridCol w:w="25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93" w:type="dxa"/>
        <w:jc w:val="left"/>
        <w:tblInd w:w="0" w:type="dxa"/>
        <w:tblLayout w:type="fixed"/>
        <w:tblCellMar>
          <w:top w:w="28" w:type="dxa"/>
          <w:left w:w="28" w:type="dxa"/>
          <w:bottom w:w="28" w:type="dxa"/>
          <w:right w:w="28" w:type="dxa"/>
        </w:tblCellMar>
      </w:tblPr>
      <w:tblGrid>
        <w:gridCol w:w="363"/>
        <w:gridCol w:w="253"/>
        <w:gridCol w:w="255"/>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United States comprises substantially all revenue in North America.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Contract Costs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 balances:</w:t>
      </w:r>
    </w:p>
    <w:tbl>
      <w:tblPr>
        <w:tblW w:w="5486" w:type="dxa"/>
        <w:jc w:val="left"/>
        <w:tblInd w:w="0" w:type="dxa"/>
        <w:tblLayout w:type="fixed"/>
        <w:tblCellMar>
          <w:top w:w="28" w:type="dxa"/>
          <w:left w:w="28" w:type="dxa"/>
          <w:bottom w:w="28" w:type="dxa"/>
          <w:right w:w="28" w:type="dxa"/>
        </w:tblCellMar>
      </w:tblPr>
      <w:tblGrid>
        <w:gridCol w:w="750"/>
        <w:gridCol w:w="659"/>
        <w:gridCol w:w="661"/>
        <w:gridCol w:w="392"/>
        <w:gridCol w:w="949"/>
        <w:gridCol w:w="204"/>
        <w:gridCol w:w="109"/>
        <w:gridCol w:w="109"/>
        <w:gridCol w:w="109"/>
        <w:gridCol w:w="372"/>
        <w:gridCol w:w="901"/>
        <w:gridCol w:w="271"/>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commission assets</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costs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Amortization related to sales commission assets for the three months ended September 30, 2023 and 2022 was $2.3 and $3.7</w:t>
      </w:r>
      <w:r>
        <w:rPr>
          <w:rFonts w:ascii="Times New Roman;sans-serif" w:hAnsi="Times New Roman;sans-serif"/>
          <w:b w:val="false"/>
          <w:color w:val="000000"/>
          <w:sz w:val="20"/>
          <w:shd w:fill="FFFFFF" w:val="clear"/>
        </w:rPr>
        <w:t xml:space="preserve">, respectively, and for the </w:t>
      </w:r>
      <w:r>
        <w:rPr>
          <w:rFonts w:ascii="Times New Roman;sans-serif" w:hAnsi="Times New Roman;sans-serif"/>
          <w:b w:val="false"/>
          <w:color w:val="000000"/>
          <w:sz w:val="20"/>
        </w:rPr>
        <w:t xml:space="preserve">nine months ended September 30, 2023 and 2022 </w:t>
      </w:r>
      <w:r>
        <w:rPr>
          <w:rFonts w:ascii="Times New Roman;sans-serif" w:hAnsi="Times New Roman;sans-serif"/>
          <w:b w:val="false"/>
          <w:color w:val="000000"/>
          <w:sz w:val="20"/>
          <w:shd w:fill="FFFFFF" w:val="clear"/>
        </w:rPr>
        <w:t>was $</w:t>
      </w:r>
      <w:r>
        <w:rPr>
          <w:rFonts w:ascii="Times New Roman;sans-serif" w:hAnsi="Times New Roman;sans-serif"/>
          <w:b w:val="false"/>
          <w:color w:val="000000"/>
          <w:sz w:val="20"/>
        </w:rPr>
        <w:t>10.2</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10.2</w:t>
      </w:r>
      <w:r>
        <w:rPr>
          <w:rFonts w:ascii="Times New Roman;sans-serif" w:hAnsi="Times New Roman;sans-serif"/>
          <w:b w:val="false"/>
          <w:color w:val="000000"/>
          <w:sz w:val="20"/>
          <w:shd w:fill="FFFFFF" w:val="clear"/>
        </w:rPr>
        <w:t xml:space="preserve">, respectively. Amortization related to deferred contract costs </w:t>
      </w:r>
      <w:r>
        <w:rPr>
          <w:rFonts w:ascii="Times New Roman;sans-serif" w:hAnsi="Times New Roman;sans-serif"/>
          <w:b w:val="false"/>
          <w:color w:val="000000"/>
          <w:sz w:val="20"/>
        </w:rPr>
        <w:t xml:space="preserve">for the three months ended September 30, 2023 and 2022 </w:t>
      </w:r>
      <w:r>
        <w:rPr>
          <w:rFonts w:ascii="Times New Roman;sans-serif" w:hAnsi="Times New Roman;sans-serif"/>
          <w:b w:val="false"/>
          <w:color w:val="000000"/>
          <w:sz w:val="20"/>
          <w:shd w:fill="FFFFFF" w:val="clear"/>
        </w:rPr>
        <w:t>was $</w:t>
      </w:r>
      <w:r>
        <w:rPr>
          <w:rFonts w:ascii="Times New Roman;sans-serif" w:hAnsi="Times New Roman;sans-serif"/>
          <w:b w:val="false"/>
          <w:color w:val="000000"/>
          <w:sz w:val="20"/>
        </w:rPr>
        <w:t>2.2</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3.1</w:t>
      </w:r>
      <w:r>
        <w:rPr>
          <w:rFonts w:ascii="Times New Roman;sans-serif" w:hAnsi="Times New Roman;sans-serif"/>
          <w:b w:val="false"/>
          <w:color w:val="000000"/>
          <w:sz w:val="20"/>
          <w:shd w:fill="FFFFFF" w:val="clear"/>
        </w:rPr>
        <w:t xml:space="preserve">, respectively, and for the </w:t>
      </w:r>
      <w:r>
        <w:rPr>
          <w:rFonts w:ascii="Times New Roman;sans-serif" w:hAnsi="Times New Roman;sans-serif"/>
          <w:b w:val="false"/>
          <w:color w:val="000000"/>
          <w:sz w:val="20"/>
        </w:rPr>
        <w:t xml:space="preserve">nine months ended September 30, 2023 and 2022 </w:t>
      </w:r>
      <w:r>
        <w:rPr>
          <w:rFonts w:ascii="Times New Roman;sans-serif" w:hAnsi="Times New Roman;sans-serif"/>
          <w:b w:val="false"/>
          <w:color w:val="000000"/>
          <w:sz w:val="20"/>
          <w:shd w:fill="FFFFFF" w:val="clear"/>
        </w:rPr>
        <w:t>was $</w:t>
      </w:r>
      <w:r>
        <w:rPr>
          <w:rFonts w:ascii="Times New Roman;sans-serif" w:hAnsi="Times New Roman;sans-serif"/>
          <w:b w:val="false"/>
          <w:color w:val="000000"/>
          <w:sz w:val="20"/>
        </w:rPr>
        <w:t>6.9</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9.1</w:t>
      </w:r>
      <w:r>
        <w:rPr>
          <w:rFonts w:ascii="Times New Roman;sans-serif" w:hAnsi="Times New Roman;sans-serif"/>
          <w:b w:val="false"/>
          <w:color w:val="000000"/>
          <w:sz w:val="20"/>
          <w:shd w:fill="FFFFFF" w:val="clear"/>
        </w:rPr>
        <w:t>, respectively. The Company does not recognize the effect of financing in its contracts with customers when the difference in timing of payment and performance is one year or less.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Accounts Receivable, Unbilled Services and Unearned Revenue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accounts receivable, unbilled services and unearned revenue from contracts with customers:</w:t>
      </w:r>
    </w:p>
    <w:tbl>
      <w:tblPr>
        <w:tblW w:w="6176" w:type="dxa"/>
        <w:jc w:val="left"/>
        <w:tblInd w:w="0" w:type="dxa"/>
        <w:tblLayout w:type="fixed"/>
        <w:tblCellMar>
          <w:top w:w="28" w:type="dxa"/>
          <w:left w:w="28" w:type="dxa"/>
          <w:bottom w:w="28" w:type="dxa"/>
          <w:right w:w="28" w:type="dxa"/>
        </w:tblCellMar>
      </w:tblPr>
      <w:tblGrid>
        <w:gridCol w:w="1000"/>
        <w:gridCol w:w="878"/>
        <w:gridCol w:w="881"/>
        <w:gridCol w:w="300"/>
        <w:gridCol w:w="1090"/>
        <w:gridCol w:w="155"/>
        <w:gridCol w:w="109"/>
        <w:gridCol w:w="109"/>
        <w:gridCol w:w="109"/>
        <w:gridCol w:w="288"/>
        <w:gridCol w:w="1047"/>
        <w:gridCol w:w="210"/>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unbilled services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21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Revenue recognized during the period included in the unearned revenue balance at the beginning of the peri</w:t>
      </w:r>
      <w:r>
        <w:rPr>
          <w:rFonts w:ascii="Times New Roman;sans-serif" w:hAnsi="Times New Roman;sans-serif"/>
          <w:b w:val="false"/>
          <w:color w:val="000000"/>
          <w:sz w:val="20"/>
          <w:shd w:fill="FFFFFF" w:val="clear"/>
        </w:rPr>
        <w:t xml:space="preserve">od was </w:t>
      </w:r>
      <w:r>
        <w:rPr>
          <w:rFonts w:ascii="Times New Roman;sans-serif" w:hAnsi="Times New Roman;sans-serif"/>
          <w:b w:val="false"/>
          <w:color w:val="000000"/>
          <w:sz w:val="20"/>
        </w:rPr>
        <w:t xml:space="preserve">$187.6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212.0</w:t>
      </w:r>
      <w:r>
        <w:rPr>
          <w:color w:val="000000"/>
          <w:shd w:fill="FFFFFF" w:val="clear"/>
        </w:rPr>
        <w:t xml:space="preserve"> </w:t>
      </w:r>
      <w:r>
        <w:rPr>
          <w:rFonts w:ascii="Times New Roman;sans-serif" w:hAnsi="Times New Roman;sans-serif"/>
          <w:b w:val="false"/>
          <w:color w:val="000000"/>
          <w:sz w:val="20"/>
          <w:shd w:fill="FFFFFF" w:val="clear"/>
        </w:rPr>
        <w:t xml:space="preserve">for the nine months ended </w:t>
      </w:r>
      <w:r>
        <w:rPr>
          <w:rFonts w:ascii="Times New Roman;sans-serif" w:hAnsi="Times New Roman;sans-serif"/>
          <w:b w:val="false"/>
          <w:color w:val="000000"/>
          <w:sz w:val="20"/>
        </w:rPr>
        <w:t>September 30,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xml:space="preserve">, respectively.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Credit Loss Rollforward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estimates future expected losses on accounts receivable and unbilled services over the remaining collection period of the instrument.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rollforward for the allowance for credit losses for the nine months ended September 30, 2023 is as follows:</w:t>
      </w:r>
    </w:p>
    <w:tbl>
      <w:tblPr>
        <w:tblW w:w="6015" w:type="dxa"/>
        <w:jc w:val="left"/>
        <w:tblInd w:w="0" w:type="dxa"/>
        <w:tblLayout w:type="fixed"/>
        <w:tblCellMar>
          <w:top w:w="28" w:type="dxa"/>
          <w:left w:w="28" w:type="dxa"/>
          <w:bottom w:w="28" w:type="dxa"/>
          <w:right w:w="28" w:type="dxa"/>
        </w:tblCellMar>
      </w:tblPr>
      <w:tblGrid>
        <w:gridCol w:w="1587"/>
        <w:gridCol w:w="1392"/>
        <w:gridCol w:w="1401"/>
        <w:gridCol w:w="394"/>
        <w:gridCol w:w="954"/>
        <w:gridCol w:w="287"/>
      </w:tblGrid>
      <w:tr>
        <w:trPr/>
        <w:tc>
          <w:tcPr>
            <w:tcW w:w="158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Accounts Receivable</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as of December, 2022</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 expense</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as of September 30, 2023</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Performance Obligations Under Long-Term Contracts</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As </w:t>
      </w:r>
      <w:r>
        <w:rPr>
          <w:rFonts w:ascii="Times New Roman;sans-serif" w:hAnsi="Times New Roman;sans-serif"/>
          <w:b w:val="false"/>
          <w:color w:val="000000"/>
          <w:sz w:val="20"/>
        </w:rPr>
        <w:t xml:space="preserve">of September 30, 2023, approximately $4,958.2 of revenues are expected to be recognized from remaining long-term performance obligations. The Company expects to recognize approximately 29% of the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jc w:val="left"/>
        <w:rPr/>
      </w:pPr>
      <w:r>
        <w:rPr>
          <w:rFonts w:ascii="Times New Roman;sans-serif" w:hAnsi="Times New Roman;sans-serif"/>
          <w:b w:val="false"/>
          <w:color w:val="000000"/>
          <w:sz w:val="20"/>
          <w:shd w:fill="FFFFFF" w:val="clear"/>
        </w:rPr>
        <w:t>performance obligations as of September 30, 2023 as revenue over the next 12 months and the remaining balance thereafter. The Company's long-term contracts generally range from one to eight years</w:t>
      </w:r>
      <w:r>
        <w:rPr>
          <w:rFonts w:ascii="Times New Roman;sans-serif" w:hAnsi="Times New Roman;sans-serif"/>
          <w:b w:val="false"/>
          <w:color w:val="000000"/>
          <w:sz w:val="20"/>
        </w:rPr>
        <w: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there were reductions of approximately $15.6 and $48.5, respectively, in the Company’s revenues related to performance obligations partially satisfied in previous periods. These reductions primarily relate to changes in scope. The gross and net amounts of revenue recognized solely from changes in estimates were not material.</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Accounts Receivable Purchase Program</w:t>
      </w:r>
    </w:p>
    <w:p>
      <w:pPr>
        <w:pStyle w:val="TextBody"/>
        <w:bidi w:val="0"/>
        <w:spacing w:lineRule="auto" w:line="268" w:before="0" w:after="180"/>
        <w:ind w:left="0" w:right="0" w:firstLine="360"/>
        <w:jc w:val="left"/>
        <w:rPr/>
      </w:pPr>
      <w:r>
        <w:rPr>
          <w:rFonts w:ascii="Times New Roman;sans-serif" w:hAnsi="Times New Roman;sans-serif"/>
          <w:b w:val="false"/>
          <w:color w:val="000000"/>
          <w:sz w:val="20"/>
        </w:rPr>
        <w:t>On June 23, 2023, Fortrea entered into an accounts receivable purchase program (“ARPP”) with a financial institution (</w:t>
      </w:r>
      <w:r>
        <w:rPr>
          <w:rFonts w:ascii="Times New Roman;sans-serif" w:hAnsi="Times New Roman;sans-serif"/>
          <w:b w:val="false"/>
          <w:color w:val="000000"/>
          <w:sz w:val="20"/>
          <w:shd w:fill="FFFFFF" w:val="clear"/>
        </w:rPr>
        <w:t>the "Financial Institution")</w:t>
      </w:r>
      <w:r>
        <w:rPr>
          <w:rFonts w:ascii="Times New Roman;sans-serif" w:hAnsi="Times New Roman;sans-serif"/>
          <w:b w:val="false"/>
          <w:color w:val="000000"/>
          <w:sz w:val="20"/>
        </w:rPr>
        <w:t xml:space="preserve">. The ARPP establishes a receivables factoring facility whereby the Company may sell up to $80.0 in customer receivables based on the availability of certain eligible receivables and the satisfaction of certain conditions. </w:t>
      </w:r>
      <w:r>
        <w:rPr>
          <w:rFonts w:ascii="Times New Roman;sans-serif" w:hAnsi="Times New Roman;sans-serif"/>
          <w:b w:val="false"/>
          <w:color w:val="000000"/>
          <w:sz w:val="20"/>
          <w:shd w:fill="FFFFFF" w:val="clear"/>
        </w:rPr>
        <w:t>Under the facility, the Company may sell eligible receivables and retains no interest in the transferred receivables other than collection and administrative functions for the Financial Institution.</w:t>
      </w:r>
    </w:p>
    <w:p>
      <w:pPr>
        <w:pStyle w:val="TextBody"/>
        <w:bidi w:val="0"/>
        <w:spacing w:lineRule="auto" w:line="268" w:before="0" w:after="180"/>
        <w:ind w:left="0" w:right="0" w:firstLine="360"/>
        <w:jc w:val="left"/>
        <w:rPr/>
      </w:pPr>
      <w:r>
        <w:rPr>
          <w:rFonts w:ascii="Times New Roman;sans-serif" w:hAnsi="Times New Roman;sans-serif"/>
          <w:b w:val="false"/>
          <w:color w:val="000000"/>
          <w:sz w:val="20"/>
        </w:rPr>
        <w:t>The Company accounts for these receivable transfers as sales and derecognizes the sold receivables from its balance sheets. The fair value of the sold receivables approximated their book value due to their short-term nature. The Company continues to service, administer and collect the receivables on behalf of the Financial Institution and does not receive a servicing fee as part of the arrangement. During the three months ended September 30, 2023, no receivables were sold. During the nine months ended September 30, 2023, $17.5 of receivables were sold with net proceeds of $17.3.</w:t>
      </w:r>
      <w:r>
        <w:rPr>
          <w:color w:val="000000"/>
          <w:shd w:fill="FFFFFF" w:val="clear"/>
        </w:rPr>
        <w:t xml:space="preserve">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3.    RESTRUCTURING AND OTHER CHARGES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2023, the Company took actions to reduce overcapacity, align resources, and restructure certain operations. These actions included eliminating redundant positions and aligning resources for cost improvement and to meet customer requirements. These restructuring actions are expected to continue throughout 2023 and 2024.</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a component of the Company’s restructuring and other charges:</w:t>
      </w:r>
    </w:p>
    <w:tbl>
      <w:tblPr>
        <w:tblW w:w="8204" w:type="dxa"/>
        <w:jc w:val="left"/>
        <w:tblInd w:w="0" w:type="dxa"/>
        <w:tblLayout w:type="fixed"/>
        <w:tblCellMar>
          <w:top w:w="28" w:type="dxa"/>
          <w:left w:w="28" w:type="dxa"/>
          <w:bottom w:w="28" w:type="dxa"/>
          <w:right w:w="28" w:type="dxa"/>
        </w:tblCellMar>
      </w:tblPr>
      <w:tblGrid>
        <w:gridCol w:w="1038"/>
        <w:gridCol w:w="910"/>
        <w:gridCol w:w="917"/>
        <w:gridCol w:w="818"/>
        <w:gridCol w:w="1576"/>
        <w:gridCol w:w="426"/>
        <w:gridCol w:w="109"/>
        <w:gridCol w:w="109"/>
        <w:gridCol w:w="109"/>
        <w:gridCol w:w="318"/>
        <w:gridCol w:w="612"/>
        <w:gridCol w:w="164"/>
        <w:gridCol w:w="109"/>
        <w:gridCol w:w="109"/>
        <w:gridCol w:w="109"/>
        <w:gridCol w:w="211"/>
        <w:gridCol w:w="40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Facility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w:t>
            </w:r>
          </w:p>
        </w:tc>
        <w:tc>
          <w:tcPr>
            <w:tcW w:w="2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expects the restructuring and other charges accrued as of September 30, 2023 will be paid within the next twelve months and are included within accrued expenses and other current liabilities on the accompanying condensed consolidated and combined balance sheets. Restructuring costs are not allocated to the Company’s reportable segments as they are not part of the segment performance measures regularly reviewed by management.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4.    EARNINGS (LOSS) PER SHARE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2023, the Separation from Labcorp was effected through a pro-rata distribution of one share of the Company's common stock for every share of Labcorp common stock held at the close of business on the record date of June 20, 2023. As a result, on June 30, 2023, the Company had 88.8 shares of common stock outstanding. This share amount is being utilized for the calculation of basic earnings per share for all periods presented through the Separation date. As of the Separation date, actual outstanding shares are used to calculate basic weighted average common shares outstanding. Basic earnings per share is computed by dividing net earnings attributable to the Company by the weighted average number of common shares outstanding. Diluted earnings per share is computed by dividing net earnings including the impact of dilutive adjustments by the weighted average number of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and performance share awards.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represents a reconciliation of basic earnings per share to diluted earnings per share. </w:t>
      </w:r>
    </w:p>
    <w:tbl>
      <w:tblPr>
        <w:tblW w:w="10205" w:type="dxa"/>
        <w:jc w:val="left"/>
        <w:tblInd w:w="0" w:type="dxa"/>
        <w:tblLayout w:type="fixed"/>
        <w:tblCellMar>
          <w:top w:w="28" w:type="dxa"/>
          <w:left w:w="28" w:type="dxa"/>
          <w:bottom w:w="28" w:type="dxa"/>
          <w:right w:w="28" w:type="dxa"/>
        </w:tblCellMar>
      </w:tblPr>
      <w:tblGrid>
        <w:gridCol w:w="1120"/>
        <w:gridCol w:w="843"/>
        <w:gridCol w:w="847"/>
        <w:gridCol w:w="109"/>
        <w:gridCol w:w="109"/>
        <w:gridCol w:w="109"/>
        <w:gridCol w:w="211"/>
        <w:gridCol w:w="552"/>
        <w:gridCol w:w="109"/>
        <w:gridCol w:w="109"/>
        <w:gridCol w:w="109"/>
        <w:gridCol w:w="109"/>
        <w:gridCol w:w="211"/>
        <w:gridCol w:w="511"/>
        <w:gridCol w:w="109"/>
        <w:gridCol w:w="109"/>
        <w:gridCol w:w="109"/>
        <w:gridCol w:w="109"/>
        <w:gridCol w:w="259"/>
        <w:gridCol w:w="688"/>
        <w:gridCol w:w="134"/>
        <w:gridCol w:w="109"/>
        <w:gridCol w:w="109"/>
        <w:gridCol w:w="109"/>
        <w:gridCol w:w="211"/>
        <w:gridCol w:w="511"/>
        <w:gridCol w:w="109"/>
        <w:gridCol w:w="109"/>
        <w:gridCol w:w="109"/>
        <w:gridCol w:w="109"/>
        <w:gridCol w:w="255"/>
        <w:gridCol w:w="256"/>
        <w:gridCol w:w="186"/>
        <w:gridCol w:w="109"/>
        <w:gridCol w:w="109"/>
        <w:gridCol w:w="109"/>
        <w:gridCol w:w="269"/>
        <w:gridCol w:w="652"/>
        <w:gridCol w:w="200"/>
      </w:tblGrid>
      <w:tr>
        <w:trPr/>
        <w:tc>
          <w:tcPr>
            <w:tcW w:w="112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8" w:type="dxa"/>
            <w:gridSpan w:val="3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Per Share Amount</w:t>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employee stock options and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including impact of dilutive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40"/>
        <w:gridCol w:w="864"/>
        <w:gridCol w:w="868"/>
        <w:gridCol w:w="109"/>
        <w:gridCol w:w="109"/>
        <w:gridCol w:w="109"/>
        <w:gridCol w:w="211"/>
        <w:gridCol w:w="511"/>
        <w:gridCol w:w="109"/>
        <w:gridCol w:w="109"/>
        <w:gridCol w:w="109"/>
        <w:gridCol w:w="109"/>
        <w:gridCol w:w="255"/>
        <w:gridCol w:w="256"/>
        <w:gridCol w:w="186"/>
        <w:gridCol w:w="109"/>
        <w:gridCol w:w="109"/>
        <w:gridCol w:w="109"/>
        <w:gridCol w:w="274"/>
        <w:gridCol w:w="665"/>
        <w:gridCol w:w="141"/>
        <w:gridCol w:w="109"/>
        <w:gridCol w:w="109"/>
        <w:gridCol w:w="109"/>
        <w:gridCol w:w="211"/>
        <w:gridCol w:w="616"/>
        <w:gridCol w:w="109"/>
        <w:gridCol w:w="109"/>
        <w:gridCol w:w="109"/>
        <w:gridCol w:w="109"/>
        <w:gridCol w:w="255"/>
        <w:gridCol w:w="256"/>
        <w:gridCol w:w="186"/>
        <w:gridCol w:w="109"/>
        <w:gridCol w:w="109"/>
        <w:gridCol w:w="109"/>
        <w:gridCol w:w="271"/>
        <w:gridCol w:w="657"/>
        <w:gridCol w:w="202"/>
      </w:tblGrid>
      <w:tr>
        <w:trPr/>
        <w:tc>
          <w:tcPr>
            <w:tcW w:w="1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3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Per Share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Per Share Amount</w:t>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employee stock options and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including impact of dilutive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represent the potential dilution that could occur if securities or other contracts to issue common stock were exercised or converted into common stock. These potential shares include dilutive stock options and unissued restricted stock awards. Potential common shares are also considered antidilutive in the event of a net loss from operations.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potential common shares not included in the computation of diluted earnings per share because their impact would have been antidilutive:</w:t>
      </w:r>
    </w:p>
    <w:tbl>
      <w:tblPr>
        <w:tblW w:w="10205" w:type="dxa"/>
        <w:jc w:val="left"/>
        <w:tblInd w:w="0" w:type="dxa"/>
        <w:tblLayout w:type="fixed"/>
        <w:tblCellMar>
          <w:top w:w="28" w:type="dxa"/>
          <w:left w:w="28" w:type="dxa"/>
          <w:bottom w:w="28" w:type="dxa"/>
          <w:right w:w="28" w:type="dxa"/>
        </w:tblCellMar>
      </w:tblPr>
      <w:tblGrid>
        <w:gridCol w:w="2050"/>
        <w:gridCol w:w="1743"/>
        <w:gridCol w:w="1755"/>
        <w:gridCol w:w="297"/>
        <w:gridCol w:w="224"/>
        <w:gridCol w:w="224"/>
        <w:gridCol w:w="224"/>
        <w:gridCol w:w="224"/>
        <w:gridCol w:w="224"/>
        <w:gridCol w:w="297"/>
        <w:gridCol w:w="224"/>
        <w:gridCol w:w="224"/>
        <w:gridCol w:w="109"/>
        <w:gridCol w:w="109"/>
        <w:gridCol w:w="109"/>
        <w:gridCol w:w="280"/>
        <w:gridCol w:w="220"/>
        <w:gridCol w:w="213"/>
        <w:gridCol w:w="213"/>
        <w:gridCol w:w="213"/>
        <w:gridCol w:w="213"/>
        <w:gridCol w:w="280"/>
        <w:gridCol w:w="220"/>
        <w:gridCol w:w="316"/>
      </w:tblGrid>
      <w:tr>
        <w:trPr/>
        <w:tc>
          <w:tcPr>
            <w:tcW w:w="2050"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options and awards</w:t>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employee stock options and awards excluded based on reporting a net loss for the period</w:t>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5.    GOODWILL AND INTANGIBLE ASSETS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goodwill and intangible assets are the result of historical acquisitions; primarily the acquisition of Covance in 2015 by Labcorp. Subsequent acquisitions of businesses were allocated to the clinical development and commercialization services business of Fortrea based on the inclusion of the business activities using valuations at the time of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nine months ended September 30, 2023 and 2022 are as follows:</w:t>
      </w:r>
    </w:p>
    <w:tbl>
      <w:tblPr>
        <w:tblW w:w="10205" w:type="dxa"/>
        <w:jc w:val="left"/>
        <w:tblInd w:w="0" w:type="dxa"/>
        <w:tblLayout w:type="fixed"/>
        <w:tblCellMar>
          <w:top w:w="28" w:type="dxa"/>
          <w:left w:w="28" w:type="dxa"/>
          <w:bottom w:w="28" w:type="dxa"/>
          <w:right w:w="28" w:type="dxa"/>
        </w:tblCellMar>
      </w:tblPr>
      <w:tblGrid>
        <w:gridCol w:w="572"/>
        <w:gridCol w:w="472"/>
        <w:gridCol w:w="476"/>
        <w:gridCol w:w="233"/>
        <w:gridCol w:w="849"/>
        <w:gridCol w:w="120"/>
        <w:gridCol w:w="109"/>
        <w:gridCol w:w="109"/>
        <w:gridCol w:w="109"/>
        <w:gridCol w:w="233"/>
        <w:gridCol w:w="849"/>
        <w:gridCol w:w="120"/>
        <w:gridCol w:w="109"/>
        <w:gridCol w:w="109"/>
        <w:gridCol w:w="109"/>
        <w:gridCol w:w="246"/>
        <w:gridCol w:w="719"/>
        <w:gridCol w:w="127"/>
        <w:gridCol w:w="109"/>
        <w:gridCol w:w="109"/>
        <w:gridCol w:w="109"/>
        <w:gridCol w:w="246"/>
        <w:gridCol w:w="719"/>
        <w:gridCol w:w="127"/>
        <w:gridCol w:w="109"/>
        <w:gridCol w:w="109"/>
        <w:gridCol w:w="109"/>
        <w:gridCol w:w="233"/>
        <w:gridCol w:w="849"/>
        <w:gridCol w:w="120"/>
        <w:gridCol w:w="109"/>
        <w:gridCol w:w="109"/>
        <w:gridCol w:w="109"/>
        <w:gridCol w:w="232"/>
        <w:gridCol w:w="846"/>
        <w:gridCol w:w="182"/>
      </w:tblGrid>
      <w:tr>
        <w:trPr/>
        <w:tc>
          <w:tcPr>
            <w:tcW w:w="5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Clinical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Enabling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during the period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impact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1,937.2 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assesses goodwill for impairment at least annually or whenever events or changes in circumstances indicate that the carrying amount of goodwill may not be recoverable. The Company recognizes an impairment charge for the amount by which the reporting unit's carrying amount exceeds its fair value.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Company believes that the current assumptions and estimates used in its goodwill analysis are reasonable, supportable and appropriate, the Company’s business could be impacted by unfavorable changes, including those that impact the existing assumptions used in the impairment analysis. Various factors could reasonably be expected to unfavorably impact existing assumptions; primarily a worsening economic environment and protracted economic downturn and related impacts, including delays in revenue from new customers, increases in customer termination activity, or increases in operating costs.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there can be no assurance that the estimates and assumptions made for the purposes of the goodwill impairment analysis will prove to be accurate predictions of future performance.</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continue to monitor the financial performance of and assumptions for its reporting units. A significant increase in the discount rate, decrease in the revenue and terminal growth rates, decreased operating margin or substantial reductions in end markets and volume assumptions could have a negative impact on the estimated fair value of the reporting units. A future impairment charge for goodwill or intangible assets could have a material effect on the Company's consolidated financial position and results of operations.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identifiable intangible assets are as follows:</w:t>
      </w:r>
    </w:p>
    <w:tbl>
      <w:tblPr>
        <w:tblW w:w="10205" w:type="dxa"/>
        <w:jc w:val="left"/>
        <w:tblInd w:w="0" w:type="dxa"/>
        <w:tblLayout w:type="fixed"/>
        <w:tblCellMar>
          <w:top w:w="28" w:type="dxa"/>
          <w:left w:w="28" w:type="dxa"/>
          <w:bottom w:w="28" w:type="dxa"/>
          <w:right w:w="28" w:type="dxa"/>
        </w:tblCellMar>
      </w:tblPr>
      <w:tblGrid>
        <w:gridCol w:w="481"/>
        <w:gridCol w:w="423"/>
        <w:gridCol w:w="424"/>
        <w:gridCol w:w="240"/>
        <w:gridCol w:w="873"/>
        <w:gridCol w:w="124"/>
        <w:gridCol w:w="109"/>
        <w:gridCol w:w="109"/>
        <w:gridCol w:w="109"/>
        <w:gridCol w:w="281"/>
        <w:gridCol w:w="844"/>
        <w:gridCol w:w="147"/>
        <w:gridCol w:w="109"/>
        <w:gridCol w:w="109"/>
        <w:gridCol w:w="109"/>
        <w:gridCol w:w="244"/>
        <w:gridCol w:w="714"/>
        <w:gridCol w:w="126"/>
        <w:gridCol w:w="109"/>
        <w:gridCol w:w="109"/>
        <w:gridCol w:w="109"/>
        <w:gridCol w:w="240"/>
        <w:gridCol w:w="873"/>
        <w:gridCol w:w="124"/>
        <w:gridCol w:w="109"/>
        <w:gridCol w:w="109"/>
        <w:gridCol w:w="109"/>
        <w:gridCol w:w="281"/>
        <w:gridCol w:w="844"/>
        <w:gridCol w:w="147"/>
        <w:gridCol w:w="109"/>
        <w:gridCol w:w="109"/>
        <w:gridCol w:w="109"/>
        <w:gridCol w:w="243"/>
        <w:gridCol w:w="710"/>
        <w:gridCol w:w="187"/>
      </w:tblGrid>
      <w:tr>
        <w:trPr/>
        <w:tc>
          <w:tcPr>
            <w:tcW w:w="4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Amortization of intangible assets </w:t>
      </w:r>
      <w:r>
        <w:rPr>
          <w:rFonts w:ascii="Times New Roman;sans-serif" w:hAnsi="Times New Roman;sans-serif"/>
          <w:b w:val="false"/>
          <w:color w:val="000000"/>
          <w:sz w:val="20"/>
        </w:rPr>
        <w:t>for the three and nine months ended September 30, 2023</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 xml:space="preserve">$16.0 and </w:t>
      </w:r>
      <w:r>
        <w:rPr>
          <w:rFonts w:ascii="Times New Roman;sans-serif" w:hAnsi="Times New Roman;sans-serif"/>
          <w:b w:val="false"/>
          <w:color w:val="000000"/>
          <w:sz w:val="20"/>
          <w:shd w:fill="FFFFFF" w:val="clear"/>
        </w:rPr>
        <w:t>$47.9</w:t>
      </w:r>
      <w:r>
        <w:rPr>
          <w:rFonts w:ascii="Times New Roman;sans-serif" w:hAnsi="Times New Roman;sans-serif"/>
          <w:b w:val="false"/>
          <w:color w:val="000000"/>
          <w:sz w:val="20"/>
        </w:rPr>
        <w:t xml:space="preserve">, respectively. For </w:t>
      </w:r>
      <w:r>
        <w:rPr>
          <w:rFonts w:ascii="Times New Roman;sans-serif" w:hAnsi="Times New Roman;sans-serif"/>
          <w:b w:val="false"/>
          <w:color w:val="000000"/>
          <w:sz w:val="20"/>
          <w:shd w:fill="FFFFFF" w:val="clear"/>
        </w:rPr>
        <w:t>the three and nine months ended September 30, 2022, amortization was $16.2 and $49.7, respectively. Amortization expense of intangible assets is estimated to be $15.8 for the remainder of 2023, $62.8 in 2024, $60.0 in 2025, $59.1 in 2026, $59.1 in 2027 and $516.9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Spin, Fortrea incurred indebtedness in an aggregate principal amount of approximately $1,640.0, which consisted of borrowings under senior secured term loan facilities and senior secured notes. Fortrea also entered into a $450.0 senior secured revolving credit facility. Fortrea used the proceeds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debt transactions to make a cash distribution to Labcorp as consideration for the assets that were contributed to the Company in connection with the Spin.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portion of long-term debt at September 30, 2023 and December 31, 2022 consisted of the following:</w:t>
      </w:r>
    </w:p>
    <w:tbl>
      <w:tblPr>
        <w:tblW w:w="8861" w:type="dxa"/>
        <w:jc w:val="left"/>
        <w:tblInd w:w="0" w:type="dxa"/>
        <w:tblLayout w:type="fixed"/>
        <w:tblCellMar>
          <w:top w:w="28" w:type="dxa"/>
          <w:left w:w="28" w:type="dxa"/>
          <w:bottom w:w="28" w:type="dxa"/>
          <w:right w:w="28" w:type="dxa"/>
        </w:tblCellMar>
      </w:tblPr>
      <w:tblGrid>
        <w:gridCol w:w="1968"/>
        <w:gridCol w:w="1731"/>
        <w:gridCol w:w="1746"/>
        <w:gridCol w:w="392"/>
        <w:gridCol w:w="949"/>
        <w:gridCol w:w="204"/>
        <w:gridCol w:w="109"/>
        <w:gridCol w:w="109"/>
        <w:gridCol w:w="109"/>
        <w:gridCol w:w="422"/>
        <w:gridCol w:w="812"/>
        <w:gridCol w:w="310"/>
      </w:tblGrid>
      <w:tr>
        <w:trPr/>
        <w:tc>
          <w:tcPr>
            <w:tcW w:w="1968"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portion of senior secured term loan A facility due 2028</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portion of senior secured term loan B facility due 2030</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Debt issuance discount and fees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short-term borrowings and current portion of long-term debt</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at September 30, 2023 and December 31, 2022 consisted of the following:</w:t>
      </w:r>
    </w:p>
    <w:tbl>
      <w:tblPr>
        <w:tblW w:w="6521" w:type="dxa"/>
        <w:jc w:val="left"/>
        <w:tblInd w:w="0" w:type="dxa"/>
        <w:tblLayout w:type="fixed"/>
        <w:tblCellMar>
          <w:top w:w="28" w:type="dxa"/>
          <w:left w:w="28" w:type="dxa"/>
          <w:bottom w:w="28" w:type="dxa"/>
          <w:right w:w="28" w:type="dxa"/>
        </w:tblCellMar>
      </w:tblPr>
      <w:tblGrid>
        <w:gridCol w:w="1123"/>
        <w:gridCol w:w="988"/>
        <w:gridCol w:w="994"/>
        <w:gridCol w:w="300"/>
        <w:gridCol w:w="1090"/>
        <w:gridCol w:w="155"/>
        <w:gridCol w:w="109"/>
        <w:gridCol w:w="109"/>
        <w:gridCol w:w="109"/>
        <w:gridCol w:w="422"/>
        <w:gridCol w:w="812"/>
        <w:gridCol w:w="310"/>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 senior notes due 2030</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A due 2028</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B due 2030</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discount and fees</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6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27, 2023, the Company issued $570.0 aggregate principal amount of 7.50% senior notes due 2030 (the “Notes"). Interest on these notes is payable semi-annually on January 1 and July 1 of each year. Net proceeds from the offering of the Notes were $560.2 after deducting expenses of the offering.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2023, Fortrea entered into a credit agreement (the “Credit Agreement”) providing for (i) a senior secured revolving credit facility in the principal amount of up to $450.0; (ii) a five-year $500.0 first lien senior secured term A loan facility; and (iii) a seven-year $570.0 first lien senior secured term B loan facility. The initial revolving facility includes a $75.0 swingline sub-facility and a $75.0 letter of credit sub-facility. </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drew on the term A and term B loans on June 30, 2023. The net proceeds received for the term A and term B loans were $491.8 and $552.9, respectively after deducting underwriting discounts and other expenses. The term A and term B loans will mature on June 30, 2028 and June 30, 2030, respectively. The term loans accrue interest at a per annum rate equal to the sum of, at the option of the Company, a Base Rate or a Term SOFR Rate and the Applicable Margin as defined by the Credit Agreement. As of September 30, 2023, the effective interest rate on the term A loan and term B loan was 7.57% and 9.07%, respectively. </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is permitted, subject to certain covenant restrictions, to be used for general corporate purposes, including working capital and capital expenditures. There were no balances outstanding on the Company's current revolving credit facility as of September 30, 2023 and December 31, 2022. As of September 30, 2023, the effective interest rate on the revolving credit facility, assuming one month borrowing, was 7.57%. There is a commitment fee associated with the revolving credit facility of 0.35% (per annum and paid quarterly) and an annual $0.1 agency fee (paid in quarterly installments). The credit facility matures on June 30, 2028. </w:t>
      </w:r>
    </w:p>
    <w:p>
      <w:pPr>
        <w:pStyle w:val="TextBody"/>
        <w:bidi w:val="0"/>
        <w:spacing w:lineRule="auto" w:line="26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Credit Agreement, the Company is subject to negative covenants limiting subsidiary indebtedness and certain other covenants typical for similarly rated borrowers, and the Company is required to maintain certain net leverage and interest coverage ratios. The Company is permitted to make adjustments, such as excluding certain costs, from the calculation of leverage and interest coverage ratios for compliance purposes. The Company was in compliance with all covenants in the Credit Agreement at September 30, 2023. </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outstanding letters of credit under the Credit Agreement as of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DERIVATIVE INSTRUMENTS AND HEDGING</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Summary of Derivative Instruments</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addresses its exposure to market risks, principally the market risk associated with changes in interest rates and foreign currency exchange rates, through a controlled program of risk management that includes, from time to time, the use of derivative instruments such as foreign currency forward contracts (see “Foreign Currency Forward Contracts” section below) and interest rate swap agreements (see “Interest Rate Swaps” section below). The Company does not hold or issue derivative instruments for trading purposes. The derivative instrument contracts are with major investment grade financial institutions and the Company does not anticipate any material non-performance by any of the counterparties. The Company does not believe that its exposure to market risk is material to the Company’s financial position or results of operations.</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 which are used by the Company from time to time in the management of interest rate exposure, are accounted for at fair value. These derivative instruments are accounted for as cash flow hedges and recognized as assets and liabilities, as applicable, and classified as current or noncurrent based on the swap’s settlement dates. The derivative instruments have been assessed and are considered to be perfectly effective hedges and accordingly, changes in the fair value of the interest rate swaps are initially recorded in the condensed consolidated and combined statements of comprehensive income. Cash flows from the interest rate swaps are included in financing activities.</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forward contracts, which are used by the Company to hedge the Company’s foreign currency exposure, are accounted for at fair value. As these contracts are short-term in nature and are not designated hedging instruments, changes in the fair value of the Company’s foreign currency forward contracts are recognized directly in earnings. </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interest rate swaps and foreign currency forward contracts are determined based on observable market inputs (Level 2). The table below presents the fair value of the Company’s derivatives on a gross basis and the balance sheet classification of those instruments:</w:t>
      </w:r>
    </w:p>
    <w:tbl>
      <w:tblPr>
        <w:tblW w:w="10205" w:type="dxa"/>
        <w:jc w:val="left"/>
        <w:tblInd w:w="0" w:type="dxa"/>
        <w:tblLayout w:type="fixed"/>
        <w:tblCellMar>
          <w:top w:w="28" w:type="dxa"/>
          <w:left w:w="28" w:type="dxa"/>
          <w:bottom w:w="28" w:type="dxa"/>
          <w:right w:w="28" w:type="dxa"/>
        </w:tblCellMar>
      </w:tblPr>
      <w:tblGrid>
        <w:gridCol w:w="1517"/>
        <w:gridCol w:w="1332"/>
        <w:gridCol w:w="1341"/>
        <w:gridCol w:w="758"/>
        <w:gridCol w:w="758"/>
        <w:gridCol w:w="760"/>
        <w:gridCol w:w="109"/>
        <w:gridCol w:w="109"/>
        <w:gridCol w:w="109"/>
        <w:gridCol w:w="212"/>
        <w:gridCol w:w="410"/>
        <w:gridCol w:w="109"/>
        <w:gridCol w:w="212"/>
        <w:gridCol w:w="484"/>
        <w:gridCol w:w="109"/>
        <w:gridCol w:w="109"/>
        <w:gridCol w:w="109"/>
        <w:gridCol w:w="109"/>
        <w:gridCol w:w="216"/>
        <w:gridCol w:w="418"/>
        <w:gridCol w:w="111"/>
        <w:gridCol w:w="216"/>
        <w:gridCol w:w="418"/>
        <w:gridCol w:w="170"/>
      </w:tblGrid>
      <w:tr>
        <w:trPr/>
        <w:tc>
          <w:tcPr>
            <w:tcW w:w="151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Derivatives At</w:t>
            </w:r>
          </w:p>
        </w:tc>
      </w:tr>
      <w:tr>
        <w:trPr/>
        <w:tc>
          <w:tcPr>
            <w:tcW w:w="4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Asset</w:t>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Asset</w:t>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Liability</w:t>
            </w:r>
          </w:p>
        </w:tc>
      </w:tr>
      <w:tr>
        <w:trPr/>
        <w:tc>
          <w:tcPr>
            <w:tcW w:w="4190"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227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227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Derivative Contracts Designated as Hedges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Swaps</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the Company entered into two fixed-to-variable interest rate swap agreements for its senior secured term A loan facilities to hedge the cash flow variability associated with the Company’s floating interest rate exposure. The interest rate swaps, both of which mature on December 31, 2026, had an aggregate notional amount of $150.0 at September 30, 2023, each had a fixed interest rate of 4.20%, and each return variable interest rates based on one-month SOFR. Because these derivative instruments meet the criteria for hedge accounting, all related gains and losses are accumulated within other comprehensive loss and are being reclassified to earnings as interest payments are recognized in the condensed consolidated and combined statements of operations.</w:t>
      </w:r>
    </w:p>
    <w:p>
      <w:pPr>
        <w:pStyle w:val="TextBody"/>
        <w:bidi w:val="0"/>
        <w:spacing w:lineRule="auto" w:line="256" w:before="0" w:after="180"/>
        <w:ind w:left="0" w:right="0" w:firstLine="317"/>
        <w:jc w:val="left"/>
        <w:rPr/>
      </w:pPr>
      <w:r>
        <w:rPr>
          <w:rFonts w:ascii="Times New Roman;sans-serif" w:hAnsi="Times New Roman;sans-serif"/>
          <w:b w:val="false"/>
          <w:color w:val="000000"/>
          <w:sz w:val="20"/>
        </w:rPr>
        <w:t xml:space="preserve">Refer to </w:t>
      </w:r>
      <w:r>
        <w:rPr>
          <w:rFonts w:ascii="Times New Roman;sans-serif" w:hAnsi="Times New Roman;sans-serif"/>
          <w:b w:val="false"/>
          <w:i/>
          <w:color w:val="000000"/>
          <w:sz w:val="20"/>
        </w:rPr>
        <w:t>Note 9, Preferred Stock and Common Shareholders' Equity</w:t>
      </w:r>
      <w:r>
        <w:rPr>
          <w:color w:val="000000"/>
        </w:rPr>
        <w:t xml:space="preserve"> </w:t>
      </w:r>
      <w:r>
        <w:rPr>
          <w:rFonts w:ascii="Times New Roman;sans-serif" w:hAnsi="Times New Roman;sans-serif"/>
          <w:b w:val="false"/>
          <w:color w:val="000000"/>
          <w:sz w:val="20"/>
        </w:rPr>
        <w:t>for the impact of the Company’s derivative instruments included in accumulated other comprehensive loss.</w:t>
      </w:r>
    </w:p>
    <w:p>
      <w:pPr>
        <w:pStyle w:val="TextBody"/>
        <w:bidi w:val="0"/>
        <w:spacing w:lineRule="auto" w:line="256" w:before="0" w:after="180"/>
        <w:ind w:left="0" w:right="0" w:firstLine="317"/>
        <w:jc w:val="left"/>
        <w:rPr>
          <w:rFonts w:ascii="Times New Roman;sans-serif" w:hAnsi="Times New Roman;sans-serif"/>
          <w:b/>
          <w:i/>
          <w:color w:val="000000"/>
          <w:sz w:val="20"/>
        </w:rPr>
      </w:pPr>
      <w:r>
        <w:rPr>
          <w:rFonts w:ascii="Times New Roman;sans-serif" w:hAnsi="Times New Roman;sans-serif"/>
          <w:b/>
          <w:i/>
          <w:color w:val="000000"/>
          <w:sz w:val="20"/>
        </w:rPr>
        <w:t>Derivative Contracts Not Designated as Hedges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Forward Contracts</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utilizes foreign currency forward contracts with external counterparties to hedge the Company’s exposure to foreign currencies with exposure predominantly to the Euro and British Pound. These contracts do not qualify for hedge accounting and are recognized as assets or liabilities at their fair value with changes in fair value recorded directly to earnings. The contracts are short-term in nature and the fair value of these contracts is based on market prices for comparable contracts. The aggregate notional value of these contracts was $406.3 at September 30, 2023.</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8.    COMMITMENTS AND CONTINGENT LIABILITIES </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The Company is involved from time to time in various claims and legal actions arising in the ordinary course of business. These matters may include commercial and contract disputes, employee-related matters, and professional liability claims. In accordance with FASB ASC 450,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 the Company establishes reserves for claims and legal actions when those matters present loss contingencies that are both probable and estimable. When loss contingencies are not both probable and estimable, the Company does not establish reserves. The Company does not believe that any liabilities related to such claims and legal actions will have a material effect on its financial condition, results of operations or cash flows.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 is in compliance in all material respects with all statutes, regulations, and other requirements applicable to its drug development support services. The drug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and/or additional liabilities from third-party claims.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Fortrea obtains insurance coverage for certain catastrophic exposures as well as those risks required to be insured by law or contract. The Company is covered by those policies but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PREFERRED STOCK AND COMMON SHAREHOLDERS’ EQUITY</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up to 265.0 shares of common stock, par value $0.001 per share. The Company is authorized to issue up to 30.0 shares of preferred stock, par value $0.001 per share. There were no preferred shares outstanding as of September 30, 2023 and December 31, 2022.</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income (loss) are as follows:</w:t>
      </w:r>
    </w:p>
    <w:tbl>
      <w:tblPr>
        <w:tblW w:w="10205" w:type="dxa"/>
        <w:jc w:val="left"/>
        <w:tblInd w:w="0" w:type="dxa"/>
        <w:tblLayout w:type="fixed"/>
        <w:tblCellMar>
          <w:top w:w="28" w:type="dxa"/>
          <w:left w:w="28" w:type="dxa"/>
          <w:bottom w:w="28" w:type="dxa"/>
          <w:right w:w="28" w:type="dxa"/>
        </w:tblCellMar>
      </w:tblPr>
      <w:tblGrid>
        <w:gridCol w:w="752"/>
        <w:gridCol w:w="508"/>
        <w:gridCol w:w="513"/>
        <w:gridCol w:w="402"/>
        <w:gridCol w:w="1173"/>
        <w:gridCol w:w="225"/>
        <w:gridCol w:w="109"/>
        <w:gridCol w:w="109"/>
        <w:gridCol w:w="109"/>
        <w:gridCol w:w="406"/>
        <w:gridCol w:w="810"/>
        <w:gridCol w:w="226"/>
        <w:gridCol w:w="109"/>
        <w:gridCol w:w="109"/>
        <w:gridCol w:w="109"/>
        <w:gridCol w:w="532"/>
        <w:gridCol w:w="1105"/>
        <w:gridCol w:w="300"/>
        <w:gridCol w:w="109"/>
        <w:gridCol w:w="109"/>
        <w:gridCol w:w="109"/>
        <w:gridCol w:w="472"/>
        <w:gridCol w:w="1376"/>
        <w:gridCol w:w="264"/>
        <w:gridCol w:w="160"/>
      </w:tblGrid>
      <w:tr>
        <w:trPr/>
        <w:tc>
          <w:tcPr>
            <w:tcW w:w="75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Benefit Plan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 (Loss) 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(225.5)</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quarter foreign exchange adjustments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derivative instrument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effect of adjustments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(274.8)</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Benefit Plan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 (Loss) 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2022</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(260.4)</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(268.6)</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quarter foreign exchange adjustments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effect of adjustments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2022</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(357.0)</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(365.2)</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Benefit Plan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 (Loss) on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(267.2)</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(276.0)</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quarter foreign exchange adjustments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derivative instrument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effect of adjustments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from Former Parent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(274.8)</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Benefit Plan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(140.2)</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quarter foreign exchange adjustments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effect of adjustments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2022</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(357.0)</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(365.2)</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5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Separation, the Company’s operations were historically included in Labcorp’s U.S. combined federal, certain state and local, and foreign income tax returns. The income tax provision included in these combined financial statements has been calculated using the separate return basis as if the Company had filed separate tax returns. The Company believes the assumptions supporting its allocation and presentation of income taxes on a separate return basis are reasonable. The Company’s tax results, as presented in the combined financial statements, do not necessarily reflect what the financial position, results of operations, and cash flows would have been had it operated as a standalone company during the periods presented. For the periods prior to the Separation, the income tax expense and deferred tax balances that are presented in these financial statements were calculated on a carve-out basis, which applied the accounting guidance as if the Company filed its own tax returns in each jurisdiction and included tax losses and tax credits that may not reflect tax positions taken by the Former Parent. </w:t>
      </w:r>
    </w:p>
    <w:p>
      <w:pPr>
        <w:pStyle w:val="TextBody"/>
        <w:bidi w:val="0"/>
        <w:spacing w:lineRule="auto" w:line="256" w:before="0" w:after="180"/>
        <w:ind w:left="0" w:right="0" w:firstLine="360"/>
        <w:jc w:val="left"/>
        <w:rPr/>
      </w:pPr>
      <w:r>
        <w:rPr>
          <w:rFonts w:ascii="Times New Roman;sans-serif" w:hAnsi="Times New Roman;sans-serif"/>
          <w:b w:val="false"/>
          <w:color w:val="000000"/>
          <w:sz w:val="20"/>
        </w:rPr>
        <w:t xml:space="preserve">Applicable accounting standards provide that the Company may estimate an annual effective tax rate (“AETR method”) and apply that forecasted tax rate to year-to-date income for each interim period. However, the AETR method resulted in an unreliable estimate of the Company’s annual effective tax rate due to changes in the Company’s post spin-off operational forecast as well as the impact of certain components of the forecast which are not inherent in the Company’s results of operations for the nine months ended September 30, 2023. Therefore, the Company recorded its interim income tax provision through September 30, 2023 using the discrete method, as allowed under ASC 740-270, </w:t>
      </w:r>
      <w:r>
        <w:rPr>
          <w:rFonts w:ascii="Times New Roman;sans-serif" w:hAnsi="Times New Roman;sans-serif"/>
          <w:b w:val="false"/>
          <w:i/>
          <w:color w:val="000000"/>
          <w:sz w:val="20"/>
        </w:rPr>
        <w:t>Income Taxes – Interim Reporting</w:t>
      </w:r>
      <w:r>
        <w:rPr>
          <w:rFonts w:ascii="Times New Roman;sans-serif" w:hAnsi="Times New Roman;sans-serif"/>
          <w:b w:val="false"/>
          <w:color w:val="000000"/>
          <w:sz w:val="20"/>
        </w:rPr>
        <w:t>. Using the discrete method, the Company determined income tax expense as if the nine months ended September 30, 2023 were an annual period.</w:t>
      </w:r>
    </w:p>
    <w:p>
      <w:pPr>
        <w:pStyle w:val="TextBody"/>
        <w:bidi w:val="0"/>
        <w:spacing w:lineRule="auto" w:line="25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the Company’s effective tax rate was 26.8% compared to 18.3% for the three months ended September 30, 2022. The effective tax rate for the three months ended September 30, 2023 was higher than the Company’s statutory tax rate primarily due to earnings mix partially offset by U.S. taxes on foreign earnings. The effective tax rate for the three months ended September 30, 2022 was lower than the Company’s statutory tax rate primarily due to U.S. taxes on foreign earnings and domestic tax credits, partially offset by state taxes and additional tax deductions.</w:t>
      </w:r>
    </w:p>
    <w:p>
      <w:pPr>
        <w:pStyle w:val="TextBody"/>
        <w:bidi w:val="0"/>
        <w:spacing w:lineRule="auto" w:line="25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for the nine months ended September 30, 2023 was 22.6% compared to 18.3% for the nine months ended September 30, 2022. The effective tax rate for the nine months ended September 30, 2023 was higher than the statutory tax rate primarily due to earnings mix and foreign withholding taxes partially offset by U.S. taxes on foreign earnings. The effective tax rate for the nine months ended September 30, 2022 was lower than the statutory tax rate primarily due to U.S. taxes on foreign earnings and domestic tax credits, partially offset by state taxes and additional tax deductions.</w:t>
      </w:r>
    </w:p>
    <w:p>
      <w:pPr>
        <w:pStyle w:val="TextBody"/>
        <w:bidi w:val="0"/>
        <w:spacing w:lineRule="auto" w:line="25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file a consolidated U.S. federal income tax return, as well as separate and combined income tax returns in numerous state and international jurisdictions. The Company has not filed its initial consolidated U.S. federal income tax return and therefore there are no open IRS examinations. However, the Company is currently subject to examination by various U.S. state and international tax authorities where existing legal entities were transferred to the Company as part of the Separation. Management regularly assesses the potential outcomes of both ongoing and future examinations for the current and prior years and has concluded that the Company’s provision for income taxes is adequate. Management does not anticipate that ongoing audits or negotiations will conclude during the next 12 months.</w:t>
      </w:r>
    </w:p>
    <w:p>
      <w:pPr>
        <w:pStyle w:val="TextBody"/>
        <w:bidi w:val="0"/>
        <w:spacing w:lineRule="auto" w:line="256"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amount of net unrecognized tax positions decreased by $0.3. Management believes that it is reasonably possible that the amount of unrecognized income tax benefits and interest may decrease during the next 12 months by approximately $1.0.</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STOCK COMPENSATION PLANS</w:t>
      </w:r>
    </w:p>
    <w:p>
      <w:pPr>
        <w:pStyle w:val="TextBody"/>
        <w:bidi w:val="0"/>
        <w:spacing w:lineRule="auto" w:line="256" w:before="0" w:after="180"/>
        <w:jc w:val="left"/>
        <w:rPr>
          <w:rFonts w:ascii="Times New Roman;sans-serif" w:hAnsi="Times New Roman;sans-serif"/>
          <w:b/>
          <w:color w:val="000000"/>
          <w:sz w:val="20"/>
        </w:rPr>
      </w:pPr>
      <w:r>
        <w:rPr>
          <w:rFonts w:ascii="Times New Roman;sans-serif" w:hAnsi="Times New Roman;sans-serif"/>
          <w:b/>
          <w:color w:val="000000"/>
          <w:sz w:val="20"/>
        </w:rPr>
        <w:t>Stock Incentive Plans</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Separation, certain Company employees were covered by the Former Parent-sponsored stock compensation arrangements. The stock compensation expense for the period prior to the Separation has been derived from the equity awards granted by Labcorp to the Company’s employees who are specifically identified in the plans, as well as an allocation of expense related to corporate employees of Labcorp. The Former Parent-sponsored stock compensation arrangements are approved under the Laboratory Corporation of America Holdings 2016 Omnibus Incentive Plan (the “Labcorp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of 2023, Fortrea’s Board of Directors approved Fortrea’s Omnibus Incentive Plan and Employee Stock Purchase Plan (the “Plans”) and the current Board of Directors of Fortrea ratified the Plans by a unanimous written consent dated July 3, 2023. Under the Plans, the Company may grant incentive stock options, restricted stock units, and performance shares, as well as other forms of stock-based compensation to the Company’s employees, officers, and non-employee directors. </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18, 2023, all Labcorp equity incentive awards held by Fortrea employees that were outstanding on the distribution date were converted to 2.5 shares of Fortrea restricted stock units and 0.1 shares of Fortrea performance shares. Additionally, during the three months ended September 30, 2023, the Company granted awards under the Plans, including restricted stock units, performance stock units, and stock options, as indicated below. </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11.0 and 1.8 shares were authorized for future grants under Fortrea’s Omnibus Incentive Plan and Employee Stock Purchase Plan, respectively.</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stock compensation cost for all equity awards at fair value on the date of grant and recognizes compensation expense over the service period for awards expected to vest. The fair value of restricted stock units (“RSUs”) is determined based on the number of shares granted and the quoted price of Fortrea’s common stock on the grant date. The grant date fair value of performance awards is based on a Monte Carlo simulated fair value for the relative (as compared to the peer companies) total shareholder return component of the performance awards. Such value is recognized as an expense over the service period, net of estimated forfeitures and Fortrea’s determination of whether it is probable that the performance targets will be achieved. At the end of each reporting period, the Company reassesses the probability of achieving performance targets. The estimation of equity awards that will ultimately vest requires judgment and Fortrea considers many factors when estimating expected forfeitures, including types of awards, employee class, and historical experience.</w:t>
      </w:r>
    </w:p>
    <w:p>
      <w:pPr>
        <w:pStyle w:val="TextBody"/>
        <w:bidi w:val="0"/>
        <w:spacing w:lineRule="auto" w:line="256" w:before="0" w:after="180"/>
        <w:ind w:left="0" w:right="0" w:firstLine="317"/>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grants of non-qualified options made by the Company to officers, key employees, or non-employee directors under all plans. Stock options are generally granted at an exercise price equal to or greater than the fair market price per share on the date of grant. Options vest ratably over a period of 3 years on the anniversaries of the grant date and have a contractual exercise period of 10 years subject to their earlier expiration or termination.</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options outstanding under the plans for the three months ended September 30, 2023, were as follows:</w:t>
      </w:r>
    </w:p>
    <w:tbl>
      <w:tblPr>
        <w:tblW w:w="10205" w:type="dxa"/>
        <w:jc w:val="left"/>
        <w:tblInd w:w="0" w:type="dxa"/>
        <w:tblLayout w:type="fixed"/>
        <w:tblCellMar>
          <w:top w:w="28" w:type="dxa"/>
          <w:left w:w="28" w:type="dxa"/>
          <w:bottom w:w="28" w:type="dxa"/>
          <w:right w:w="28" w:type="dxa"/>
        </w:tblCellMar>
      </w:tblPr>
      <w:tblGrid>
        <w:gridCol w:w="712"/>
        <w:gridCol w:w="624"/>
        <w:gridCol w:w="628"/>
        <w:gridCol w:w="351"/>
        <w:gridCol w:w="351"/>
        <w:gridCol w:w="352"/>
        <w:gridCol w:w="109"/>
        <w:gridCol w:w="109"/>
        <w:gridCol w:w="109"/>
        <w:gridCol w:w="524"/>
        <w:gridCol w:w="1533"/>
        <w:gridCol w:w="272"/>
        <w:gridCol w:w="109"/>
        <w:gridCol w:w="109"/>
        <w:gridCol w:w="109"/>
        <w:gridCol w:w="818"/>
        <w:gridCol w:w="818"/>
        <w:gridCol w:w="820"/>
        <w:gridCol w:w="109"/>
        <w:gridCol w:w="109"/>
        <w:gridCol w:w="109"/>
        <w:gridCol w:w="386"/>
        <w:gridCol w:w="745"/>
        <w:gridCol w:w="290"/>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per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2023</w:t>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September 30, 2023</w:t>
            </w:r>
          </w:p>
        </w:tc>
        <w:tc>
          <w:tcPr>
            <w:tcW w:w="105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in the table above represents the total pre-tax intrinsic value (the difference between the Company’s closing stock price on the last trading day of the period and the exercise price, multiplied by the number of in-the-money options) that would have been received by the option holders had all option holders exercised their options on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model to calculate the fair value of stock options. The following table shows the weighted average grant-date fair values of options issued during the period and the weighted average assumptions that the Company used to develop the fair value estimates:</w:t>
      </w:r>
    </w:p>
    <w:tbl>
      <w:tblPr>
        <w:tblW w:w="7289" w:type="dxa"/>
        <w:jc w:val="left"/>
        <w:tblInd w:w="0" w:type="dxa"/>
        <w:tblLayout w:type="fixed"/>
        <w:tblCellMar>
          <w:top w:w="28" w:type="dxa"/>
          <w:left w:w="28" w:type="dxa"/>
          <w:bottom w:w="28" w:type="dxa"/>
          <w:right w:w="28" w:type="dxa"/>
        </w:tblCellMar>
      </w:tblPr>
      <w:tblGrid>
        <w:gridCol w:w="1506"/>
        <w:gridCol w:w="1322"/>
        <w:gridCol w:w="1327"/>
        <w:gridCol w:w="578"/>
        <w:gridCol w:w="1690"/>
        <w:gridCol w:w="866"/>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per option</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expected life (in years)</w:t>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The volatility used in the determination of the fair value of the stock options was based on analysis of the historical volatility of guideline public companies and factors specific to the Company.</w:t>
      </w:r>
    </w:p>
    <w:p>
      <w:pPr>
        <w:pStyle w:val="TextBody"/>
        <w:bidi w:val="0"/>
        <w:spacing w:lineRule="auto" w:line="256" w:before="0" w:after="180"/>
        <w:ind w:left="0" w:right="0" w:firstLine="317"/>
        <w:jc w:val="left"/>
        <w:rPr>
          <w:rFonts w:ascii="Times New Roman;sans-serif" w:hAnsi="Times New Roman;sans-serif"/>
          <w:b/>
          <w:i/>
          <w:color w:val="000000"/>
          <w:sz w:val="20"/>
        </w:rPr>
      </w:pPr>
      <w:r>
        <w:rPr>
          <w:rFonts w:ascii="Times New Roman;sans-serif" w:hAnsi="Times New Roman;sans-serif"/>
          <w:b/>
          <w:i/>
          <w:color w:val="000000"/>
          <w:sz w:val="20"/>
        </w:rPr>
        <w:t>Restricted Stock Units and Performance Shares</w:t>
      </w:r>
    </w:p>
    <w:p>
      <w:pPr>
        <w:pStyle w:val="TextBody"/>
        <w:bidi w:val="0"/>
        <w:spacing w:lineRule="auto" w:line="26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grants RSUs to officers, key employees, and non-employee directors. RSUs typically vest annually in equal one-third increments beginning on the first anniversary of the grant (e.g., a share grant in 2023 represents a three-year award opportunity for the period of 2023-2025 and, if earned, vests fully (to the extent earned) in the first quarter of 2026). </w:t>
      </w:r>
    </w:p>
    <w:p>
      <w:pPr>
        <w:pStyle w:val="TextBody"/>
        <w:bidi w:val="0"/>
        <w:spacing w:lineRule="auto" w:line="26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grants performance shares (non-vested shares) to officers and key employees. Performance share awards are subject to a 3 year cliff vesting period in addition to certain revenue and adjusted EBITDA targets, the achievement of which may increase or decrease the number of shares which the grantee earns and therefore receives upon vesting. Unearned RSU and performance share compensation is amortized to expense, when probable, over the applicable vesting periods. </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non-vested shares for the three months ended September 30, 2023:</w:t>
      </w:r>
    </w:p>
    <w:tbl>
      <w:tblPr>
        <w:tblW w:w="10205" w:type="dxa"/>
        <w:jc w:val="left"/>
        <w:tblInd w:w="0" w:type="dxa"/>
        <w:tblLayout w:type="fixed"/>
        <w:tblCellMar>
          <w:top w:w="28" w:type="dxa"/>
          <w:left w:w="28" w:type="dxa"/>
          <w:bottom w:w="28" w:type="dxa"/>
          <w:right w:w="28" w:type="dxa"/>
        </w:tblCellMar>
      </w:tblPr>
      <w:tblGrid>
        <w:gridCol w:w="969"/>
        <w:gridCol w:w="849"/>
        <w:gridCol w:w="855"/>
        <w:gridCol w:w="532"/>
        <w:gridCol w:w="532"/>
        <w:gridCol w:w="534"/>
        <w:gridCol w:w="150"/>
        <w:gridCol w:w="150"/>
        <w:gridCol w:w="150"/>
        <w:gridCol w:w="502"/>
        <w:gridCol w:w="502"/>
        <w:gridCol w:w="503"/>
        <w:gridCol w:w="109"/>
        <w:gridCol w:w="109"/>
        <w:gridCol w:w="109"/>
        <w:gridCol w:w="407"/>
        <w:gridCol w:w="984"/>
        <w:gridCol w:w="208"/>
        <w:gridCol w:w="164"/>
        <w:gridCol w:w="164"/>
        <w:gridCol w:w="164"/>
        <w:gridCol w:w="382"/>
        <w:gridCol w:w="902"/>
        <w:gridCol w:w="275"/>
      </w:tblGrid>
      <w:tr>
        <w:trPr/>
        <w:tc>
          <w:tcPr>
            <w:tcW w:w="96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2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Shares</w:t>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June 30, 2023</w:t>
            </w:r>
          </w:p>
        </w:tc>
        <w:tc>
          <w:tcPr>
            <w:tcW w:w="1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Converted</w:t>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September 30, 2023</w:t>
            </w:r>
          </w:p>
        </w:tc>
        <w:tc>
          <w:tcPr>
            <w:tcW w:w="159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180"/>
        <w:ind w:left="0" w:right="0" w:firstLine="317"/>
        <w:jc w:val="left"/>
        <w:rPr>
          <w:rFonts w:ascii="Times New Roman;sans-serif" w:hAnsi="Times New Roman;sans-serif"/>
          <w:b/>
          <w:i/>
          <w:color w:val="000000"/>
          <w:sz w:val="20"/>
        </w:rPr>
      </w:pPr>
      <w:r>
        <w:rPr>
          <w:rFonts w:ascii="Times New Roman;sans-serif" w:hAnsi="Times New Roman;sans-serif"/>
          <w:b/>
          <w:i/>
          <w:color w:val="000000"/>
          <w:sz w:val="20"/>
        </w:rPr>
        <w:t>All Plans</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and the associated income tax benefits recognized by the Company in the condensed consolidated and combined statements of operations were as follows:</w:t>
      </w:r>
    </w:p>
    <w:tbl>
      <w:tblPr>
        <w:tblW w:w="10196" w:type="dxa"/>
        <w:jc w:val="left"/>
        <w:tblInd w:w="0" w:type="dxa"/>
        <w:tblLayout w:type="fixed"/>
        <w:tblCellMar>
          <w:top w:w="28" w:type="dxa"/>
          <w:left w:w="28" w:type="dxa"/>
          <w:bottom w:w="28" w:type="dxa"/>
          <w:right w:w="28" w:type="dxa"/>
        </w:tblCellMar>
      </w:tblPr>
      <w:tblGrid>
        <w:gridCol w:w="1351"/>
        <w:gridCol w:w="1186"/>
        <w:gridCol w:w="1198"/>
        <w:gridCol w:w="784"/>
        <w:gridCol w:w="1898"/>
        <w:gridCol w:w="408"/>
        <w:gridCol w:w="109"/>
        <w:gridCol w:w="109"/>
        <w:gridCol w:w="109"/>
        <w:gridCol w:w="731"/>
        <w:gridCol w:w="1775"/>
        <w:gridCol w:w="538"/>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 compensation expense</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benefits</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56" w:before="0" w:after="180"/>
        <w:ind w:left="0" w:right="0" w:firstLine="317"/>
        <w:jc w:val="left"/>
        <w:rPr>
          <w:rFonts w:ascii="Times New Roman;sans-serif" w:hAnsi="Times New Roman;sans-serif"/>
          <w:b/>
          <w:color w:val="000000"/>
          <w:sz w:val="20"/>
        </w:rPr>
      </w:pPr>
      <w:r>
        <w:rPr>
          <w:rFonts w:ascii="Times New Roman;sans-serif" w:hAnsi="Times New Roman;sans-serif"/>
          <w:b/>
          <w:color w:val="000000"/>
          <w:sz w:val="20"/>
        </w:rPr>
        <w:t>Unrecognized Compensation Cost</w:t>
      </w:r>
    </w:p>
    <w:p>
      <w:pPr>
        <w:pStyle w:val="TextBody"/>
        <w:bidi w:val="0"/>
        <w:spacing w:lineRule="auto" w:line="256" w:before="0" w:after="180"/>
        <w:ind w:left="0" w:right="0" w:firstLine="317"/>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was $83.4 of total unrecognized compensation cost related to non-vested stock options, restricted stock units and performance share-based compensation arrangements granted under the Plans. That cost is expected to be recognized over a weighted average period of 2.0 years and will be included in cost of revenues and selling, general and administrative expenses.</w:t>
      </w:r>
    </w:p>
    <w:p>
      <w:pPr>
        <w:pStyle w:val="TextBody"/>
        <w:bidi w:val="0"/>
        <w:spacing w:before="0" w:after="180"/>
        <w:ind w:left="0" w:right="0" w:firstLine="31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12.    TRANSACTIONS WITH FORMER PARENT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Separation on June 30, 2023, the condensed consolidated and combined financial statements were prepared on a standalone basis and were derived from the condensed consolidated financial statements and accounting records of Labcorp. The following discussion summarizes activity between the Company and Labcorp.</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Allocation of General Corporate and Other Expenses </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 xml:space="preserve">Prior to the Separation, the Company’s condensed consolidated and combined statements of operations included expenses for certain centralized functions and other programs provided and administered by Labcorp that are charged directly to the Company. In addition, for purposes of preparing these condensed consolidated and combined financial statements on a carve-out basis, a portion of Labcorp’s total corporate expenses were allocated to the Company. See </w:t>
      </w:r>
      <w:r>
        <w:rPr>
          <w:rFonts w:ascii="Times New Roman;sans-serif" w:hAnsi="Times New Roman;sans-serif"/>
          <w:b w:val="false"/>
          <w:i/>
          <w:color w:val="000000"/>
          <w:sz w:val="20"/>
        </w:rPr>
        <w:t>Note 1, Basis of Financial Statement Presentation</w:t>
      </w:r>
      <w:r>
        <w:rPr>
          <w:color w:val="000000"/>
        </w:rPr>
        <w:t xml:space="preserve"> </w:t>
      </w:r>
      <w:r>
        <w:rPr>
          <w:rFonts w:ascii="Times New Roman;sans-serif" w:hAnsi="Times New Roman;sans-serif"/>
          <w:b w:val="false"/>
          <w:color w:val="000000"/>
          <w:sz w:val="20"/>
        </w:rPr>
        <w:t>for a discussion of the methodology used to allocate corporate-related costs for purposes of preparing these financial statements on a carve-out basis.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corporate and other allocations for the three and nine months ended September 30, 2023 and 2022:</w:t>
      </w:r>
    </w:p>
    <w:tbl>
      <w:tblPr>
        <w:tblW w:w="9381" w:type="dxa"/>
        <w:jc w:val="left"/>
        <w:tblInd w:w="0" w:type="dxa"/>
        <w:tblLayout w:type="fixed"/>
        <w:tblCellMar>
          <w:top w:w="28" w:type="dxa"/>
          <w:left w:w="28" w:type="dxa"/>
          <w:bottom w:w="28" w:type="dxa"/>
          <w:right w:w="28" w:type="dxa"/>
        </w:tblCellMar>
      </w:tblPr>
      <w:tblGrid>
        <w:gridCol w:w="1351"/>
        <w:gridCol w:w="1186"/>
        <w:gridCol w:w="1198"/>
        <w:gridCol w:w="284"/>
        <w:gridCol w:w="548"/>
        <w:gridCol w:w="147"/>
        <w:gridCol w:w="147"/>
        <w:gridCol w:w="147"/>
        <w:gridCol w:w="147"/>
        <w:gridCol w:w="284"/>
        <w:gridCol w:w="831"/>
        <w:gridCol w:w="147"/>
        <w:gridCol w:w="109"/>
        <w:gridCol w:w="109"/>
        <w:gridCol w:w="109"/>
        <w:gridCol w:w="248"/>
        <w:gridCol w:w="724"/>
        <w:gridCol w:w="128"/>
        <w:gridCol w:w="128"/>
        <w:gridCol w:w="128"/>
        <w:gridCol w:w="128"/>
        <w:gridCol w:w="248"/>
        <w:gridCol w:w="724"/>
        <w:gridCol w:w="181"/>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2023 </w:t>
            </w:r>
            <w:r>
              <w:rPr>
                <w:rFonts w:ascii="Times New Roman;sans-serif" w:hAnsi="Times New Roman;sans-serif"/>
                <w:b/>
                <w:color w:val="000000"/>
                <w:sz w:val="10"/>
              </w:rPr>
              <w:t>1</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allocations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Activity reflected through the Separation date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Included in the aforementioned amou</w:t>
      </w:r>
      <w:r>
        <w:rPr>
          <w:rFonts w:ascii="Times New Roman;sans-serif" w:hAnsi="Times New Roman;sans-serif"/>
          <w:b w:val="false"/>
          <w:color w:val="000000"/>
          <w:sz w:val="20"/>
          <w:shd w:fill="FFFFFF" w:val="clear"/>
        </w:rPr>
        <w:t xml:space="preserve">nts are </w:t>
      </w:r>
      <w:r>
        <w:rPr>
          <w:rFonts w:ascii="Times New Roman;sans-serif" w:hAnsi="Times New Roman;sans-serif"/>
          <w:b w:val="false"/>
          <w:color w:val="000000"/>
          <w:sz w:val="20"/>
        </w:rPr>
        <w:t>$0.0</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72.0</w:t>
      </w:r>
      <w:r>
        <w:rPr>
          <w:color w:val="000000"/>
          <w:shd w:fill="FFFFFF" w:val="clear"/>
        </w:rPr>
        <w:t xml:space="preserve"> </w:t>
      </w:r>
      <w:r>
        <w:rPr>
          <w:rFonts w:ascii="Times New Roman;sans-serif" w:hAnsi="Times New Roman;sans-serif"/>
          <w:b w:val="false"/>
          <w:color w:val="000000"/>
          <w:sz w:val="20"/>
          <w:shd w:fill="FFFFFF" w:val="clear"/>
        </w:rPr>
        <w:t xml:space="preserve">related to costs for certain centralized functions and programs provided and administered by Labcorp that are charged directly to the Company </w:t>
      </w:r>
      <w:r>
        <w:rPr>
          <w:rFonts w:ascii="Times New Roman;sans-serif" w:hAnsi="Times New Roman;sans-serif"/>
          <w:b w:val="false"/>
          <w:color w:val="000000"/>
          <w:sz w:val="20"/>
        </w:rPr>
        <w:t>for the three months ended September 30, 2023 and 2022</w:t>
      </w:r>
      <w:r>
        <w:rPr>
          <w:rFonts w:ascii="Times New Roman;sans-serif" w:hAnsi="Times New Roman;sans-serif"/>
          <w:b w:val="false"/>
          <w:color w:val="000000"/>
          <w:sz w:val="20"/>
          <w:shd w:fill="FFFFFF" w:val="clear"/>
        </w:rPr>
        <w:t xml:space="preserve">, respectively, and </w:t>
      </w:r>
      <w:r>
        <w:rPr>
          <w:rFonts w:ascii="Times New Roman;sans-serif" w:hAnsi="Times New Roman;sans-serif"/>
          <w:b w:val="false"/>
          <w:color w:val="000000"/>
          <w:sz w:val="20"/>
        </w:rPr>
        <w:t>$147.6</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214.8</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nine months ended September 30, 2023 and 2022</w:t>
      </w:r>
      <w:r>
        <w:rPr>
          <w:rFonts w:ascii="Times New Roman;sans-serif" w:hAnsi="Times New Roman;sans-serif"/>
          <w:b w:val="false"/>
          <w:color w:val="000000"/>
          <w:sz w:val="20"/>
          <w:shd w:fill="FFFFFF" w:val="clear"/>
        </w:rPr>
        <w:t xml:space="preserve">, respectively. In addition, a portion of Labcorp’s total corporate expenses has been allocated to the Company for services from Labcorp. These costs were $0.0 and $28.4 </w:t>
      </w:r>
      <w:r>
        <w:rPr>
          <w:rFonts w:ascii="Times New Roman;sans-serif" w:hAnsi="Times New Roman;sans-serif"/>
          <w:b w:val="false"/>
          <w:color w:val="000000"/>
          <w:sz w:val="20"/>
        </w:rPr>
        <w:t>for the three months ended September 30, 2023 and 2022</w:t>
      </w:r>
      <w:r>
        <w:rPr>
          <w:rFonts w:ascii="Times New Roman;sans-serif" w:hAnsi="Times New Roman;sans-serif"/>
          <w:b w:val="false"/>
          <w:color w:val="000000"/>
          <w:sz w:val="20"/>
          <w:shd w:fill="FFFFFF" w:val="clear"/>
        </w:rPr>
        <w:t xml:space="preserve">, respectively, and </w:t>
      </w:r>
      <w:r>
        <w:rPr>
          <w:rFonts w:ascii="Times New Roman;sans-serif" w:hAnsi="Times New Roman;sans-serif"/>
          <w:b w:val="false"/>
          <w:color w:val="000000"/>
          <w:sz w:val="20"/>
        </w:rPr>
        <w:t>$46.4</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80.9</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nine months ended September 30, 2023 and 2022</w:t>
      </w:r>
      <w:r>
        <w:rPr>
          <w:rFonts w:ascii="Times New Roman;sans-serif" w:hAnsi="Times New Roman;sans-serif"/>
          <w:b w:val="false"/>
          <w:color w:val="000000"/>
          <w:sz w:val="20"/>
          <w:shd w:fill="FFFFFF" w:val="clear"/>
        </w:rPr>
        <w:t>, respectively. The allocations of foreign exchange gain (loss) represent the allocation of the results of hedging activities performed by Labcorp on behalf of the Company.</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The Company has arrangements with third parties where the services are subcontracted to Labcorp (and its affiliates that were not part of the transaction). The Company’s direct costs include services purchased from Labcorp for commercial contracts totaling $0.0 and $21.6 </w:t>
      </w:r>
      <w:r>
        <w:rPr>
          <w:rFonts w:ascii="Times New Roman;sans-serif" w:hAnsi="Times New Roman;sans-serif"/>
          <w:b w:val="false"/>
          <w:color w:val="000000"/>
          <w:sz w:val="20"/>
        </w:rPr>
        <w:t>for the three months ended September 30, 2023 and 2022</w:t>
      </w:r>
      <w:r>
        <w:rPr>
          <w:rFonts w:ascii="Times New Roman;sans-serif" w:hAnsi="Times New Roman;sans-serif"/>
          <w:b w:val="false"/>
          <w:color w:val="000000"/>
          <w:sz w:val="20"/>
          <w:shd w:fill="FFFFFF" w:val="clear"/>
        </w:rPr>
        <w:t xml:space="preserve">, respectively, and </w:t>
      </w:r>
      <w:r>
        <w:rPr>
          <w:rFonts w:ascii="Times New Roman;sans-serif" w:hAnsi="Times New Roman;sans-serif"/>
          <w:b w:val="false"/>
          <w:color w:val="000000"/>
          <w:sz w:val="20"/>
        </w:rPr>
        <w:t>$48.8</w:t>
      </w:r>
      <w:r>
        <w:rPr>
          <w:color w:val="000000"/>
          <w:shd w:fill="FFFFFF" w:val="clear"/>
        </w:rPr>
        <w:t xml:space="preserve"> </w:t>
      </w:r>
      <w:r>
        <w:rPr>
          <w:rFonts w:ascii="Times New Roman;sans-serif" w:hAnsi="Times New Roman;sans-serif"/>
          <w:b w:val="false"/>
          <w:color w:val="000000"/>
          <w:sz w:val="20"/>
          <w:shd w:fill="FFFFFF" w:val="clear"/>
        </w:rPr>
        <w:t>and $</w:t>
      </w:r>
      <w:r>
        <w:rPr>
          <w:rFonts w:ascii="Times New Roman;sans-serif" w:hAnsi="Times New Roman;sans-serif"/>
          <w:b w:val="false"/>
          <w:color w:val="000000"/>
          <w:sz w:val="20"/>
        </w:rPr>
        <w:t>65.7</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nine months ended September 30, 2023 and 2022, respectively.</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Hedging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Separation, the Company did not enter into any derivative contracts with external counterparties. However, foreign currency forward contracts with external counterparties were utilized to hedge certain foreign currency transactions with exposure predominantly to the Euro and British Pound. These contracts do not qualify for hedge accounting and the changes in fair value are recorded directly to earnings. Earnings related to these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jc w:val="left"/>
        <w:rPr/>
      </w:pPr>
      <w:r>
        <w:rPr>
          <w:rFonts w:ascii="Times New Roman;sans-serif" w:hAnsi="Times New Roman;sans-serif"/>
          <w:b w:val="false"/>
          <w:color w:val="000000"/>
          <w:sz w:val="20"/>
        </w:rPr>
        <w:t xml:space="preserve">were included in the condensed consolidated and combined statements of operations as part of corporate allocations. Refer to Note 7, </w:t>
      </w:r>
      <w:r>
        <w:rPr>
          <w:rFonts w:ascii="Times New Roman;sans-serif" w:hAnsi="Times New Roman;sans-serif"/>
          <w:b w:val="false"/>
          <w:i/>
          <w:color w:val="000000"/>
          <w:sz w:val="20"/>
        </w:rPr>
        <w:t>Derivative Instruments and Hedging</w:t>
      </w:r>
      <w:r>
        <w:rPr>
          <w:rFonts w:ascii="Times New Roman;sans-serif" w:hAnsi="Times New Roman;sans-serif"/>
          <w:b w:val="false"/>
          <w:color w:val="000000"/>
          <w:sz w:val="20"/>
        </w:rPr>
        <w:t>, for information regarding derivative contracts entered into after Separation.</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Net Transfers To and From Labcorp</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transfers to and from Labcorp are included within Former Parent company investment on the condensed consolidated and combined statements of changes in equity. The components of the transfers to and from Labcorp during the three and nine months ended September 30, 2023 and 2022 were as follows:</w:t>
      </w:r>
    </w:p>
    <w:tbl>
      <w:tblPr>
        <w:tblW w:w="6550" w:type="dxa"/>
        <w:jc w:val="left"/>
        <w:tblInd w:w="0" w:type="dxa"/>
        <w:tblLayout w:type="fixed"/>
        <w:tblCellMar>
          <w:top w:w="28" w:type="dxa"/>
          <w:left w:w="28" w:type="dxa"/>
          <w:bottom w:w="28" w:type="dxa"/>
          <w:right w:w="28" w:type="dxa"/>
        </w:tblCellMar>
      </w:tblPr>
      <w:tblGrid>
        <w:gridCol w:w="1264"/>
        <w:gridCol w:w="1114"/>
        <w:gridCol w:w="1117"/>
        <w:gridCol w:w="109"/>
        <w:gridCol w:w="109"/>
        <w:gridCol w:w="109"/>
        <w:gridCol w:w="273"/>
        <w:gridCol w:w="525"/>
        <w:gridCol w:w="141"/>
        <w:gridCol w:w="141"/>
        <w:gridCol w:w="141"/>
        <w:gridCol w:w="141"/>
        <w:gridCol w:w="273"/>
        <w:gridCol w:w="894"/>
        <w:gridCol w:w="199"/>
      </w:tblGrid>
      <w:tr>
        <w:trPr/>
        <w:tc>
          <w:tcPr>
            <w:tcW w:w="126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transfers (to) from Former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56" w:type="dxa"/>
        <w:jc w:val="left"/>
        <w:tblInd w:w="0" w:type="dxa"/>
        <w:tblLayout w:type="fixed"/>
        <w:tblCellMar>
          <w:top w:w="28" w:type="dxa"/>
          <w:left w:w="28" w:type="dxa"/>
          <w:bottom w:w="28" w:type="dxa"/>
          <w:right w:w="28" w:type="dxa"/>
        </w:tblCellMar>
      </w:tblPr>
      <w:tblGrid>
        <w:gridCol w:w="1265"/>
        <w:gridCol w:w="1112"/>
        <w:gridCol w:w="1117"/>
        <w:gridCol w:w="109"/>
        <w:gridCol w:w="109"/>
        <w:gridCol w:w="109"/>
        <w:gridCol w:w="235"/>
        <w:gridCol w:w="939"/>
        <w:gridCol w:w="121"/>
        <w:gridCol w:w="121"/>
        <w:gridCol w:w="121"/>
        <w:gridCol w:w="121"/>
        <w:gridCol w:w="235"/>
        <w:gridCol w:w="570"/>
        <w:gridCol w:w="172"/>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2023 </w:t>
            </w:r>
            <w:r>
              <w:rPr>
                <w:rFonts w:ascii="Times New Roman;sans-serif" w:hAnsi="Times New Roman;sans-serif"/>
                <w:b/>
                <w:color w:val="000000"/>
                <w:sz w:val="10"/>
              </w:rPr>
              <w:t>1</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Payment to Former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transfers (to) from Former Parent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(1,687.8)</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Activity reflected through the Separation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13.    SUPPLEMENTAL CASH FLOW INFORMATION</w:t>
      </w:r>
    </w:p>
    <w:tbl>
      <w:tblPr>
        <w:tblW w:w="6775" w:type="dxa"/>
        <w:jc w:val="left"/>
        <w:tblInd w:w="0" w:type="dxa"/>
        <w:tblLayout w:type="fixed"/>
        <w:tblCellMar>
          <w:top w:w="28" w:type="dxa"/>
          <w:left w:w="28" w:type="dxa"/>
          <w:bottom w:w="28" w:type="dxa"/>
          <w:right w:w="28" w:type="dxa"/>
        </w:tblCellMar>
      </w:tblPr>
      <w:tblGrid>
        <w:gridCol w:w="1498"/>
        <w:gridCol w:w="1319"/>
        <w:gridCol w:w="1322"/>
        <w:gridCol w:w="288"/>
        <w:gridCol w:w="699"/>
        <w:gridCol w:w="149"/>
        <w:gridCol w:w="149"/>
        <w:gridCol w:w="149"/>
        <w:gridCol w:w="149"/>
        <w:gridCol w:w="288"/>
        <w:gridCol w:w="555"/>
        <w:gridCol w:w="210"/>
      </w:tblGrid>
      <w:tr>
        <w:trPr/>
        <w:tc>
          <w:tcPr>
            <w:tcW w:w="14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schedule of cash flow information:</w:t>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period for:</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net of refunds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of non-cash investing activities:</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accrued property, plant and equipment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of non-cash transfers to (from) Parent:</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right-of-use lease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property, plant and equipment,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14.    BUSINESS SEGMENT INFORMATION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are a summary of segment information for the three and nine months ended September 30, 2023 and 2022. The segment information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Fortrea chief executive officer has been identified as the CODM.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80"/>
        <w:ind w:left="0" w:right="0" w:firstLine="360"/>
        <w:jc w:val="left"/>
        <w:rPr/>
      </w:pPr>
      <w:hyperlink w:anchor="i9df3615508ad4698974154594c7d7bbb_7">
        <w:r>
          <w:rPr>
            <w:rStyle w:val="InternetLink"/>
            <w:rFonts w:ascii="Times New Roman;sans-serif" w:hAnsi="Times New Roman;sans-serif"/>
            <w:b w:val="false"/>
            <w:color w:val="0000FF"/>
            <w:sz w:val="20"/>
            <w:u w:val="single"/>
          </w:rPr>
          <w:t>INDEX</w:t>
        </w:r>
      </w:hyperlink>
      <w:r>
        <w:rPr>
          <w:rFonts w:ascii="Times New Roman;sans-serif" w:hAnsi="Times New Roman;sans-serif"/>
          <w:b w:val="false"/>
          <w:color w:val="000000"/>
          <w:sz w:val="20"/>
        </w:rPr>
        <w:br/>
        <w:t>FORTREA HOLDINGS INC.</w:t>
        <w:br/>
        <w:t xml:space="preserve">NOTES TO UNAUDITED CONDENSED CONSOLIDATED AND </w:t>
      </w:r>
      <w:r>
        <w:rPr>
          <w:rFonts w:ascii="Times New Roman;sans-serif" w:hAnsi="Times New Roman;sans-serif"/>
          <w:b w:val="false"/>
          <w:color w:val="000000"/>
          <w:sz w:val="20"/>
          <w:shd w:fill="FFFFFF" w:val="clear"/>
        </w:rPr>
        <w:t>COMBI</w:t>
      </w:r>
      <w:r>
        <w:rPr>
          <w:rFonts w:ascii="Times New Roman;sans-serif" w:hAnsi="Times New Roman;sans-serif"/>
          <w:b w:val="false"/>
          <w:color w:val="000000"/>
          <w:sz w:val="20"/>
        </w:rPr>
        <w:t>NED FINANCIAL STATEMENTS</w:t>
        <w:br/>
        <w:t>                (dollars and shares in millions, except per share data)</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CODM allocates resources and assesses performance based on the underlying businesses which determines the Company's operating segments. The Company reports its business in two reportable segments: Clinical Services, which provides phase I-IV clinical trials, including clinical pharmacology and comprehensive clinical development capabilities, and Enabling Services, which provides post-approval patient access services and technology enabled solutions to support clinical trials. When determining the reportable segments, the Company aggregated operating segments based on their similar economic and operating characteristics. The CODM evaluates performance using revenue and segment operating income. Segment asset information is not presented because it is not used by the CODM at the segment level.</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external customers by reportable segment were as follows:</w:t>
      </w:r>
    </w:p>
    <w:tbl>
      <w:tblPr>
        <w:tblW w:w="8738" w:type="dxa"/>
        <w:jc w:val="left"/>
        <w:tblInd w:w="0" w:type="dxa"/>
        <w:tblLayout w:type="fixed"/>
        <w:tblCellMar>
          <w:top w:w="28" w:type="dxa"/>
          <w:left w:w="28" w:type="dxa"/>
          <w:bottom w:w="28" w:type="dxa"/>
          <w:right w:w="28" w:type="dxa"/>
        </w:tblCellMar>
      </w:tblPr>
      <w:tblGrid>
        <w:gridCol w:w="1117"/>
        <w:gridCol w:w="984"/>
        <w:gridCol w:w="988"/>
        <w:gridCol w:w="257"/>
        <w:gridCol w:w="752"/>
        <w:gridCol w:w="133"/>
        <w:gridCol w:w="133"/>
        <w:gridCol w:w="133"/>
        <w:gridCol w:w="133"/>
        <w:gridCol w:w="257"/>
        <w:gridCol w:w="752"/>
        <w:gridCol w:w="133"/>
        <w:gridCol w:w="109"/>
        <w:gridCol w:w="109"/>
        <w:gridCol w:w="109"/>
        <w:gridCol w:w="219"/>
        <w:gridCol w:w="795"/>
        <w:gridCol w:w="113"/>
        <w:gridCol w:w="113"/>
        <w:gridCol w:w="113"/>
        <w:gridCol w:w="113"/>
        <w:gridCol w:w="219"/>
        <w:gridCol w:w="795"/>
        <w:gridCol w:w="159"/>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from external customers:</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Services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which are eliminated in consolidation, were as follows:</w:t>
      </w:r>
    </w:p>
    <w:tbl>
      <w:tblPr>
        <w:tblW w:w="7725" w:type="dxa"/>
        <w:jc w:val="left"/>
        <w:tblInd w:w="0" w:type="dxa"/>
        <w:tblLayout w:type="fixed"/>
        <w:tblCellMar>
          <w:top w:w="28" w:type="dxa"/>
          <w:left w:w="28" w:type="dxa"/>
          <w:bottom w:w="28" w:type="dxa"/>
          <w:right w:w="28" w:type="dxa"/>
        </w:tblCellMar>
      </w:tblPr>
      <w:tblGrid>
        <w:gridCol w:w="755"/>
        <w:gridCol w:w="664"/>
        <w:gridCol w:w="665"/>
        <w:gridCol w:w="318"/>
        <w:gridCol w:w="612"/>
        <w:gridCol w:w="164"/>
        <w:gridCol w:w="164"/>
        <w:gridCol w:w="164"/>
        <w:gridCol w:w="164"/>
        <w:gridCol w:w="318"/>
        <w:gridCol w:w="612"/>
        <w:gridCol w:w="164"/>
        <w:gridCol w:w="109"/>
        <w:gridCol w:w="109"/>
        <w:gridCol w:w="109"/>
        <w:gridCol w:w="305"/>
        <w:gridCol w:w="587"/>
        <w:gridCol w:w="157"/>
        <w:gridCol w:w="157"/>
        <w:gridCol w:w="157"/>
        <w:gridCol w:w="157"/>
        <w:gridCol w:w="305"/>
        <w:gridCol w:w="587"/>
        <w:gridCol w:w="222"/>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Intersegment revenues: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Services</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2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the Spin, the condensed combined statements of operations include costs for certain centralized functions and programs provided and administered by Labcorp that are charged directly to the Company. These centralized functions and programs include, but are not limited to legal, tax, treasury, risk management, sales expenses, information technology, human resources, finance, supply chain, executive leadership and stock-based compensation. These additional allocations were reported as “corporate costs not allocated to segments” in the table below. After the Separation, as a standalone public company, the Company has allocated costs for certain centralized functions and programs to the Clinical Services and Enabling Services segments based on appropriate metrics such as revenues or headcount. The Corporate costs not allocated to segments include the costs of centralized functions including corporate governance, executive management and related human resources, finance, legal, risk management, and information technology functions. Operating income of each segment represents revenues less directly identifiable expenses to arrive at operating income for the segment. </w:t>
      </w:r>
    </w:p>
    <w:p>
      <w:pPr>
        <w:pStyle w:val="TextBody"/>
        <w:bidi w:val="0"/>
        <w:spacing w:lineRule="auto" w:line="26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by reportable segment was as follows:</w:t>
      </w:r>
    </w:p>
    <w:tbl>
      <w:tblPr>
        <w:tblW w:w="9138" w:type="dxa"/>
        <w:jc w:val="left"/>
        <w:tblInd w:w="0" w:type="dxa"/>
        <w:tblLayout w:type="fixed"/>
        <w:tblCellMar>
          <w:top w:w="28" w:type="dxa"/>
          <w:left w:w="28" w:type="dxa"/>
          <w:bottom w:w="28" w:type="dxa"/>
          <w:right w:w="28" w:type="dxa"/>
        </w:tblCellMar>
      </w:tblPr>
      <w:tblGrid>
        <w:gridCol w:w="1266"/>
        <w:gridCol w:w="1110"/>
        <w:gridCol w:w="1118"/>
        <w:gridCol w:w="270"/>
        <w:gridCol w:w="655"/>
        <w:gridCol w:w="139"/>
        <w:gridCol w:w="139"/>
        <w:gridCol w:w="139"/>
        <w:gridCol w:w="139"/>
        <w:gridCol w:w="270"/>
        <w:gridCol w:w="790"/>
        <w:gridCol w:w="139"/>
        <w:gridCol w:w="109"/>
        <w:gridCol w:w="109"/>
        <w:gridCol w:w="109"/>
        <w:gridCol w:w="248"/>
        <w:gridCol w:w="724"/>
        <w:gridCol w:w="128"/>
        <w:gridCol w:w="128"/>
        <w:gridCol w:w="128"/>
        <w:gridCol w:w="128"/>
        <w:gridCol w:w="248"/>
        <w:gridCol w:w="724"/>
        <w:gridCol w:w="181"/>
      </w:tblGrid>
      <w:tr>
        <w:trPr/>
        <w:tc>
          <w:tcPr>
            <w:tcW w:w="126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Services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costs not allocated to segments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(in millions)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is intended to provide a summary of significant factors relevant to the financial performance and condition of Fortrea Holdings Inc., which we refer to in this discussion and analysis as “Fortrea,” the “Company,” “our” and “we”. Prior to the spin-off (the “Spin” or “the Separation”), Fortrea existed and functioned as part of Laboratory Corporation of America Holdings, which we refer to in this discussion and analysis as “Labcorp” or “Former Parent.” The following discussion and analysis of our financial condition and results of operations should be read in conjunction with our audited combined financial statements and corresponding notes and our unaudited condensed consolidated and combined financial statements and corresponding notes in Item 1. “Financial Statements.”</w:t>
      </w:r>
    </w:p>
    <w:p>
      <w:pPr>
        <w:pStyle w:val="TextBody"/>
        <w:bidi w:val="0"/>
        <w:spacing w:lineRule="auto" w:line="288" w:before="0" w:after="18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Cautionary Statement Concerning Forward-Looking Statements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Form 10-Q and other materials we have filed or will file with the Securities and Exchange Commission (the “SEC”) include or will include forward-looking statements. Some of the forward-looking statements can be identified by the use of terms such as “believes,” “expects,” “may,” “will,” “should,” “could,” “seeks,” “approximately,” “intends,” “plans,” “estimates,” “anticipates,” or other comparable terms. These forward-looking statements include all matters that are not related to present facts or current conditions or that are not historical facts. They appear in a number of places throughout this Form 10-Q and include statements regarding our intentions, beliefs, or current expectations concerning, among other things, our results of operations, financial condition, liquidity, prospects and growth strategies, and the industries in which we operate and include, without limitation, statements relating to our future performance.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are subject to known and unknown risks and uncertainties, many of which are beyond our control. We caution you that forward-looking statements are not guarantees of future performance and that our actual results of operations, financial condition and liquidity, and industry development may differ materially from those made in or suggested by the forward-looking statements contained in this Form 10-Q. In addition, even if our results of operations, financial condition and liquidity, and industry development are consistent with the forward-looking statements contained in this Form 10-Q, those results or developments may not be indicative of results or developments in subsequent periods. A number of important factors could cause actual results to differ materially from those contained in or implied by the forward-looking statements, including the risks and uncertainties discussed in “Risk Factors” Section of our Information Statement filed with our Registration Statement on Form 10, as amended (the “Form 10”), as filed with the SEC. Factors that could cause actual results to differ from those reflected in forward-looking statements relating to our operations and business include, among other things: the risk that we may not realize some or all of the benefits expected to result from the Spin, or that such benefits are delayed; risks and consequences that are a result of the Spin; the impacts of becoming an independent public company; our reliance on Labcorp to provide financial reporting and other financial and accounting information for periods prior to the Spin through the end of the relevant transition agreements, as well as IT, accounting, finance, legal, human resources, and other services critical to our businesses; our dependence on third parties generally to provide services critical to our businesses throughout the transition period and beyond; the risk that establishment of our accounting, enterprise resource planning, and other management systems post the transition period could cost more or take longer than anticipated; the impact of the rebranding of the Company; our ability to successfully implement our business strategies and execute our long-term value creation strategy; risks and expenses associated with our international operations and currency fluctuations; our customer or therapeutic area concentrations; any further deterioration in the macroeconomic environment, which could lead to defaults or cancellations by our customers; the risk that our backlog and net new business may not rebound after the Spin to the extent or over the time period we anticipate, that such measures may not be indicative of our future revenues and that we might not realize all of the anticipated future revenue reflected in our backlog; our ability to generate sufficient net new business awards, or the risk that net new business awards are delayed, terminated, reduced in scope, or fail to go to contract; the risk that we may underprice our contracts, overrun our cost estimates, or fail to receive approval for, or experience delays in documentation of change orders; and other factors described in the Form 10 and from time to time in documents that we file with the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are made only as of the date of this Form 10-Q and we do not undertake any obligation, other than as may be required by law, to update or revise any forward-looking statements to reflect future events or developments. Comparisons of results for current and any prior periods are not intended to express any future trends, or indications of future performance, unless expressed as such, and should only be viewed as historical data. For a further discussion of the risks relating to our business, see the “Risk Factors” section of our Information Statement filed with our Form 10.</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Fortrea Holdings Inc. ("Fortrea" or the “Company”), a Delaware corporation incorporated on January 31, 2023, is a leading global contract research organization (“CRO”) providing biopharmaceutical product and medical device development services, patient access solutions and other enabling services to pharmaceutical, biotechnology and medical device customers. The Company offers customers highly flexible delivery models that include Full Service, Functional Service Provider (“FSP”), and Hybrid Service structures. We have a rich history of providing clinical development services for over 30 years across more than 20 therapeutic areas, first as Covance and later as Labcorp Drug Development. On June 30, 2023, we completed a spin-off (the “Spin” or the “Separation”) from Laboratory Corporation of America Holdings (“Labcorp” or “Former Parent”). We leverage our global scale, clinical data insights, technology innovation, industry network and decades of experience as a standalone company and as a business unit prior to the Spin to deliver tailored solutions to our customers. With what we believe is a distinctive market offering, Fortrea meets growing global demand for clinical development services.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team of approximately 19,000 employees conducts operations in more than 90 countries and delivers comprehensive phase I – IV clinical trial management, clinical pharmacology, differentiated technology enabled trial solutions and post-approval services for our customers. Our offering is scaled to deliver focused and agile solutions to customers globally, streamlining the biopharmaceutical product and medical device development process. Additionally, we successfully utilize enabling technologies to optimize processes and evolve with a dynamic marketplace.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business in two reportable segments - Clinical Services and Enabling Services. The Clinical Services segment comprises services across the clinical pharmacology and clinical development spectrum. The Enabling Services segment provides patient access and clinical trial technology solutions.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Separation from Labcorp</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2023, we completed the Spin from Labcorp through a pro-rata distribution of one share of Fortrea common stock for every share of Labcorp common stock held at the close of business on the record date of June 20, 2023. Fortrea began to trade as a separate public company (NASDAQ: FTRE) on July 3, 2023.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Incremental Independent Public Company Expenses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and combined statements of operations include costs for certain centralized functions and programs provided and administered by Labcorp that were allocated to us in the periods presented prior to the Spin. These centralized functions and programs include, but are not limited to, legal, tax, treasury, risk management, sales expenses, IT, human resources, finance, supply chain, executive leadership and stock-based compensation.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expenses were allocated to us based on direct usage when identifiable or, when not directly identifiable, on the basis of proportional net revenues or headcount or other reasonable driver, as applicable. We consider the basis on which the expenses have been allocated to reasonably reflect the utilization of services provided to, or the benefit received by, us during the periods presented. However, the allocations may not reflect the expenses we would have incurred as an independent company for the periods presented. Actual costs that may have been incurred if we had been a standalone company would depend on a number of factors, including the organizational structure, whether functions were outsourced or performed by employees, and strategic decisions made in areas such as IT and infrastructure. For a period following the Separation, however, some of these functions will be provided by Labcorp under transition services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actual costs of services represented by these allocations may vary significantly from the amounts allocated to us in the accompanying financial statements.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Three Months Ended September 30, 2023 compared with Three Months Ended September 30, 2022 and Nine Months Ended September 30, 2023 compared with Nine Months Ended September 30, 2022</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financial measures that management considers to be the most significant indicators of the Company's performance.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tbl>
      <w:tblPr>
        <w:tblW w:w="9497" w:type="dxa"/>
        <w:jc w:val="left"/>
        <w:tblInd w:w="0" w:type="dxa"/>
        <w:tblLayout w:type="fixed"/>
        <w:tblCellMar>
          <w:top w:w="28" w:type="dxa"/>
          <w:left w:w="28" w:type="dxa"/>
          <w:bottom w:w="28" w:type="dxa"/>
          <w:right w:w="28" w:type="dxa"/>
        </w:tblCellMar>
      </w:tblPr>
      <w:tblGrid>
        <w:gridCol w:w="575"/>
        <w:gridCol w:w="505"/>
        <w:gridCol w:w="509"/>
        <w:gridCol w:w="257"/>
        <w:gridCol w:w="752"/>
        <w:gridCol w:w="133"/>
        <w:gridCol w:w="133"/>
        <w:gridCol w:w="133"/>
        <w:gridCol w:w="133"/>
        <w:gridCol w:w="257"/>
        <w:gridCol w:w="752"/>
        <w:gridCol w:w="133"/>
        <w:gridCol w:w="109"/>
        <w:gridCol w:w="109"/>
        <w:gridCol w:w="109"/>
        <w:gridCol w:w="239"/>
        <w:gridCol w:w="241"/>
        <w:gridCol w:w="367"/>
        <w:gridCol w:w="109"/>
        <w:gridCol w:w="109"/>
        <w:gridCol w:w="109"/>
        <w:gridCol w:w="211"/>
        <w:gridCol w:w="766"/>
        <w:gridCol w:w="109"/>
        <w:gridCol w:w="109"/>
        <w:gridCol w:w="109"/>
        <w:gridCol w:w="109"/>
        <w:gridCol w:w="211"/>
        <w:gridCol w:w="766"/>
        <w:gridCol w:w="109"/>
        <w:gridCol w:w="109"/>
        <w:gridCol w:w="109"/>
        <w:gridCol w:w="109"/>
        <w:gridCol w:w="239"/>
        <w:gridCol w:w="241"/>
        <w:gridCol w:w="41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Clinical Services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revenues for the three months ended September 30, 2023 were $776.4, an increase of 1.8% over revenues of $762.3 in the corresponding period in 2022. The change in revenues was due to an increase in organic revenues of 1.0% and favorable foreign currency translation of 0.8%. The Company defines organic growth as the change in revenues excluding the year over year impact of acquisitions, divestitures and currency. The 1.0% increase in organic revenues was primarily driven by an increase in pass through revenues offset by lower service revenues resulting from the mix and quantity of recent new business wins and the impact of a prior year FSP cancellation.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Clinical Services segment’s revenues for the three months ended September 30, 2023 were $711.7, an increase of 2.1% compared to revenues of $697.2 in the corresponding period in 2022. The increase in revenues was driven by an increase in pass through revenues offset by lower service revenues resulting from the mix and quantity of recent new business wins and the impact of a prior year FSP cancellation.</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Enabling Services segment’s revenues for the three months ended September 30, 2023 were $64.7, a decrease of 0.6% compared to revenues of $65.1 in the corresponding period in 2022. The decrease in revenues was due to lower call center volume.</w:t>
      </w:r>
    </w:p>
    <w:p>
      <w:pPr>
        <w:pStyle w:val="TextBody"/>
        <w:bidi w:val="0"/>
        <w:spacing w:lineRule="auto" w:line="288" w:before="0" w:after="180"/>
        <w:ind w:left="0" w:right="0" w:firstLine="360"/>
        <w:jc w:val="left"/>
        <w:rPr/>
      </w:pPr>
      <w:r>
        <w:rPr>
          <w:rFonts w:ascii="Times New Roman;sans-serif" w:hAnsi="Times New Roman;sans-serif"/>
          <w:b w:val="false"/>
          <w:color w:val="000000"/>
          <w:sz w:val="20"/>
        </w:rPr>
        <w:t>The Company’s revenues for the nine months ended September 30, 2023, were $2,333.6, essentially flat over revenues of $2,334.4 in th</w:t>
      </w:r>
      <w:r>
        <w:rPr>
          <w:rFonts w:ascii="Times New Roman;sans-serif" w:hAnsi="Times New Roman;sans-serif"/>
          <w:b w:val="false"/>
          <w:color w:val="000000"/>
          <w:sz w:val="20"/>
          <w:shd w:fill="FFFFFF" w:val="clear"/>
        </w:rPr>
        <w:t>e corresponding period in 2022. The change in revenues was due to an increase in organic revenues of 0.2% offset by unfavorable foreign currency translation of 0.2%. The 0.2% in</w:t>
      </w:r>
      <w:r>
        <w:rPr>
          <w:rFonts w:ascii="Times New Roman;sans-serif" w:hAnsi="Times New Roman;sans-serif"/>
          <w:b w:val="false"/>
          <w:color w:val="000000"/>
          <w:sz w:val="20"/>
        </w:rPr>
        <w:t xml:space="preserve">crease in organic revenues was primarily driven by an increase in pass through revenues offset by lower service revenues driven by the impact of a prior year FSP cancellation, a customer concession and the mix and quantity of recent new business wins.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Clinical Services segment’s revenues for the nine months ended September 30, 2023 were $2,129.8, an increase of 0.1% compared to revenues of $2,127.6 in the corresponding period in 2022. The increase in revenues was driven by an increase in pass through revenues offset by lower service revenues resulting from the impact of a prior year FSP cancellation, a customer concession and the mix and quantity of recent new business wins.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Enabling Services segment’s revenues for the nine months ended September 30, 2023 were $203.8, a decrease of 1.5% compared to revenues of $206.8 in the corresponding period in 2022. The decrease in revenues was due to customer cancellations and lower call center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 Costs, Exclusive of Depreciation and Amortization</w:t>
      </w:r>
    </w:p>
    <w:tbl>
      <w:tblPr>
        <w:tblW w:w="10205" w:type="dxa"/>
        <w:jc w:val="left"/>
        <w:tblInd w:w="0" w:type="dxa"/>
        <w:tblLayout w:type="fixed"/>
        <w:tblCellMar>
          <w:top w:w="28" w:type="dxa"/>
          <w:left w:w="28" w:type="dxa"/>
          <w:bottom w:w="28" w:type="dxa"/>
          <w:right w:w="28" w:type="dxa"/>
        </w:tblCellMar>
      </w:tblPr>
      <w:tblGrid>
        <w:gridCol w:w="802"/>
        <w:gridCol w:w="686"/>
        <w:gridCol w:w="672"/>
        <w:gridCol w:w="220"/>
        <w:gridCol w:w="645"/>
        <w:gridCol w:w="283"/>
        <w:gridCol w:w="114"/>
        <w:gridCol w:w="114"/>
        <w:gridCol w:w="114"/>
        <w:gridCol w:w="220"/>
        <w:gridCol w:w="645"/>
        <w:gridCol w:w="283"/>
        <w:gridCol w:w="109"/>
        <w:gridCol w:w="109"/>
        <w:gridCol w:w="109"/>
        <w:gridCol w:w="203"/>
        <w:gridCol w:w="203"/>
        <w:gridCol w:w="367"/>
        <w:gridCol w:w="109"/>
        <w:gridCol w:w="109"/>
        <w:gridCol w:w="109"/>
        <w:gridCol w:w="211"/>
        <w:gridCol w:w="766"/>
        <w:gridCol w:w="271"/>
        <w:gridCol w:w="109"/>
        <w:gridCol w:w="109"/>
        <w:gridCol w:w="109"/>
        <w:gridCol w:w="211"/>
        <w:gridCol w:w="766"/>
        <w:gridCol w:w="271"/>
        <w:gridCol w:w="109"/>
        <w:gridCol w:w="109"/>
        <w:gridCol w:w="109"/>
        <w:gridCol w:w="203"/>
        <w:gridCol w:w="203"/>
        <w:gridCol w:w="424"/>
      </w:tblGrid>
      <w:tr>
        <w:trPr/>
        <w:tc>
          <w:tcPr>
            <w:tcW w:w="80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 costs as a % of revenues</w:t>
            </w:r>
          </w:p>
        </w:tc>
        <w:tc>
          <w:tcPr>
            <w:tcW w:w="86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283"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283"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 increased 8.8% during the three months ended September 30, 2023 as compared with the corresponding period in 2022. Direct costs increased as a percentage of revenues to 83.4% during the three months ended September 30, 2023 as compared to 78.0% in the corresponding period in 2022. Direct costs increased 4.6% during the nine months ended September 30, 2023 as compared with the corresponding period in 2022. Direct costs increased as a percentage of revenues to 82.8% during the nine months ended September 30, 2023 as compared to 79.1% in the corresponding period in 2022.The increase in direct costs in both periods was primarily due to higher pass through costs, transition services agreement costs and personnel costs partially offset by the removal of Former Parent corporate allocations and carve-out adjustments Fortrea received prior to the Spin. Pass through costs are paid by the customer resulting in revenue fully offset by these direct costs.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 Exclusive of Depreciation and Amortization</w:t>
      </w:r>
    </w:p>
    <w:tbl>
      <w:tblPr>
        <w:tblW w:w="10205" w:type="dxa"/>
        <w:jc w:val="left"/>
        <w:tblInd w:w="0" w:type="dxa"/>
        <w:tblLayout w:type="fixed"/>
        <w:tblCellMar>
          <w:top w:w="28" w:type="dxa"/>
          <w:left w:w="28" w:type="dxa"/>
          <w:bottom w:w="28" w:type="dxa"/>
          <w:right w:w="28" w:type="dxa"/>
        </w:tblCellMar>
      </w:tblPr>
      <w:tblGrid>
        <w:gridCol w:w="1044"/>
        <w:gridCol w:w="917"/>
        <w:gridCol w:w="919"/>
        <w:gridCol w:w="258"/>
        <w:gridCol w:w="627"/>
        <w:gridCol w:w="133"/>
        <w:gridCol w:w="133"/>
        <w:gridCol w:w="133"/>
        <w:gridCol w:w="133"/>
        <w:gridCol w:w="258"/>
        <w:gridCol w:w="627"/>
        <w:gridCol w:w="133"/>
        <w:gridCol w:w="109"/>
        <w:gridCol w:w="109"/>
        <w:gridCol w:w="109"/>
        <w:gridCol w:w="255"/>
        <w:gridCol w:w="256"/>
        <w:gridCol w:w="367"/>
        <w:gridCol w:w="109"/>
        <w:gridCol w:w="109"/>
        <w:gridCol w:w="109"/>
        <w:gridCol w:w="211"/>
        <w:gridCol w:w="616"/>
        <w:gridCol w:w="109"/>
        <w:gridCol w:w="109"/>
        <w:gridCol w:w="109"/>
        <w:gridCol w:w="109"/>
        <w:gridCol w:w="211"/>
        <w:gridCol w:w="616"/>
        <w:gridCol w:w="109"/>
        <w:gridCol w:w="109"/>
        <w:gridCol w:w="109"/>
        <w:gridCol w:w="109"/>
        <w:gridCol w:w="203"/>
        <w:gridCol w:w="203"/>
        <w:gridCol w:w="426"/>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administrative payroll and related benefits, advertising and promotional expenses, credit loss provision, professional fees, administrative travel, facility charges and certain IT costs, and other administrative expenses. Selling, general and administrative expenses increased by 11.6% during the three months ended September 30, 2023 as compared with the corresponding period in 2022. The increase was primarily due to an increase in personnel costs, transition service agreement costs, credit loss provisions, and professional fees partially offset by elimination of prior year Former Parent corporate allocations and carve-out adjustments Fortrea received prior to the Spin.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9.8% during the nine months ended September 30, 2023 as compared with the corresponding period in 2022. The change in selling, general and administrative expenses was primarily due to an increase in personnel costs, credit loss provisions, transition service agreement costs and professional fees partially offset by elimination of prior year Former Parent corporate allocations and carve-out adjustments Fortrea received prior to the Spin.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Expense</w:t>
      </w:r>
    </w:p>
    <w:tbl>
      <w:tblPr>
        <w:tblW w:w="9332" w:type="dxa"/>
        <w:jc w:val="left"/>
        <w:tblInd w:w="0" w:type="dxa"/>
        <w:tblLayout w:type="fixed"/>
        <w:tblCellMar>
          <w:top w:w="28" w:type="dxa"/>
          <w:left w:w="28" w:type="dxa"/>
          <w:bottom w:w="28" w:type="dxa"/>
          <w:right w:w="28" w:type="dxa"/>
        </w:tblCellMar>
      </w:tblPr>
      <w:tblGrid>
        <w:gridCol w:w="679"/>
        <w:gridCol w:w="597"/>
        <w:gridCol w:w="599"/>
        <w:gridCol w:w="318"/>
        <w:gridCol w:w="612"/>
        <w:gridCol w:w="164"/>
        <w:gridCol w:w="164"/>
        <w:gridCol w:w="164"/>
        <w:gridCol w:w="164"/>
        <w:gridCol w:w="318"/>
        <w:gridCol w:w="612"/>
        <w:gridCol w:w="164"/>
        <w:gridCol w:w="109"/>
        <w:gridCol w:w="109"/>
        <w:gridCol w:w="109"/>
        <w:gridCol w:w="255"/>
        <w:gridCol w:w="256"/>
        <w:gridCol w:w="367"/>
        <w:gridCol w:w="109"/>
        <w:gridCol w:w="109"/>
        <w:gridCol w:w="109"/>
        <w:gridCol w:w="211"/>
        <w:gridCol w:w="511"/>
        <w:gridCol w:w="109"/>
        <w:gridCol w:w="109"/>
        <w:gridCol w:w="109"/>
        <w:gridCol w:w="109"/>
        <w:gridCol w:w="211"/>
        <w:gridCol w:w="511"/>
        <w:gridCol w:w="109"/>
        <w:gridCol w:w="109"/>
        <w:gridCol w:w="109"/>
        <w:gridCol w:w="109"/>
        <w:gridCol w:w="255"/>
        <w:gridCol w:w="256"/>
        <w:gridCol w:w="418"/>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depreciation expense for the three months and nine months ended September 30, 2023 as compared to the corresponding periods in 2022 was due to the increase of property, plant and equipment, primarily IT assets, when they were separated between Fortrea and the Former Parent at Spin.</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Expense</w:t>
      </w:r>
    </w:p>
    <w:tbl>
      <w:tblPr>
        <w:tblW w:w="10205" w:type="dxa"/>
        <w:jc w:val="left"/>
        <w:tblInd w:w="0" w:type="dxa"/>
        <w:tblLayout w:type="fixed"/>
        <w:tblCellMar>
          <w:top w:w="28" w:type="dxa"/>
          <w:left w:w="28" w:type="dxa"/>
          <w:bottom w:w="28" w:type="dxa"/>
          <w:right w:w="28" w:type="dxa"/>
        </w:tblCellMar>
      </w:tblPr>
      <w:tblGrid>
        <w:gridCol w:w="1095"/>
        <w:gridCol w:w="961"/>
        <w:gridCol w:w="967"/>
        <w:gridCol w:w="264"/>
        <w:gridCol w:w="642"/>
        <w:gridCol w:w="136"/>
        <w:gridCol w:w="136"/>
        <w:gridCol w:w="136"/>
        <w:gridCol w:w="136"/>
        <w:gridCol w:w="264"/>
        <w:gridCol w:w="642"/>
        <w:gridCol w:w="136"/>
        <w:gridCol w:w="109"/>
        <w:gridCol w:w="109"/>
        <w:gridCol w:w="109"/>
        <w:gridCol w:w="231"/>
        <w:gridCol w:w="232"/>
        <w:gridCol w:w="367"/>
        <w:gridCol w:w="109"/>
        <w:gridCol w:w="109"/>
        <w:gridCol w:w="109"/>
        <w:gridCol w:w="211"/>
        <w:gridCol w:w="511"/>
        <w:gridCol w:w="109"/>
        <w:gridCol w:w="109"/>
        <w:gridCol w:w="109"/>
        <w:gridCol w:w="109"/>
        <w:gridCol w:w="211"/>
        <w:gridCol w:w="511"/>
        <w:gridCol w:w="109"/>
        <w:gridCol w:w="109"/>
        <w:gridCol w:w="109"/>
        <w:gridCol w:w="109"/>
        <w:gridCol w:w="231"/>
        <w:gridCol w:w="232"/>
        <w:gridCol w:w="427"/>
      </w:tblGrid>
      <w:tr>
        <w:trPr/>
        <w:tc>
          <w:tcPr>
            <w:tcW w:w="109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2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 and other assets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he decrease in amortization of intangibles and other assets during the three months ended September 30, 2023, as compared to the corresponding period in 2022, was not significant.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amortization of intangibles and other assets during the nine months ended September 30, 2023, as compared to the corresponding period in 2022, is primarily the result of the impairment of technology assets that occurred in the fourth quarter of 2022.</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and Other Charges</w:t>
      </w:r>
    </w:p>
    <w:tbl>
      <w:tblPr>
        <w:tblW w:w="10205" w:type="dxa"/>
        <w:jc w:val="left"/>
        <w:tblInd w:w="0" w:type="dxa"/>
        <w:tblLayout w:type="fixed"/>
        <w:tblCellMar>
          <w:top w:w="28" w:type="dxa"/>
          <w:left w:w="28" w:type="dxa"/>
          <w:bottom w:w="28" w:type="dxa"/>
          <w:right w:w="28" w:type="dxa"/>
        </w:tblCellMar>
      </w:tblPr>
      <w:tblGrid>
        <w:gridCol w:w="947"/>
        <w:gridCol w:w="833"/>
        <w:gridCol w:w="835"/>
        <w:gridCol w:w="294"/>
        <w:gridCol w:w="715"/>
        <w:gridCol w:w="152"/>
        <w:gridCol w:w="152"/>
        <w:gridCol w:w="152"/>
        <w:gridCol w:w="152"/>
        <w:gridCol w:w="294"/>
        <w:gridCol w:w="568"/>
        <w:gridCol w:w="152"/>
        <w:gridCol w:w="109"/>
        <w:gridCol w:w="109"/>
        <w:gridCol w:w="109"/>
        <w:gridCol w:w="308"/>
        <w:gridCol w:w="308"/>
        <w:gridCol w:w="367"/>
        <w:gridCol w:w="109"/>
        <w:gridCol w:w="109"/>
        <w:gridCol w:w="109"/>
        <w:gridCol w:w="211"/>
        <w:gridCol w:w="511"/>
        <w:gridCol w:w="109"/>
        <w:gridCol w:w="109"/>
        <w:gridCol w:w="109"/>
        <w:gridCol w:w="109"/>
        <w:gridCol w:w="211"/>
        <w:gridCol w:w="511"/>
        <w:gridCol w:w="109"/>
        <w:gridCol w:w="109"/>
        <w:gridCol w:w="109"/>
        <w:gridCol w:w="109"/>
        <w:gridCol w:w="291"/>
        <w:gridCol w:w="291"/>
        <w:gridCol w:w="424"/>
      </w:tblGrid>
      <w:tr>
        <w:trPr/>
        <w:tc>
          <w:tcPr>
            <w:tcW w:w="94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6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charges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2023, the Company recorded net restructuring charges of $11.6 and $16.7, respectively, which is reflected within restructuring and other charges in the condensed consolidated and combined statements of operations. These charges are associated with Company actions to reduce overcapacity, align resources, and restructure certain operations and included eliminating redundant positions and aligning resources for cost improvement and to meet customer requirements.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2022, the Company recorded net restructuring charges of $5.2 and $27.8, respectively. These costs were associated with general cost improvement and headcount reduction initiatives at various locations around the world. </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bl>
      <w:tblPr>
        <w:tblW w:w="8763" w:type="dxa"/>
        <w:jc w:val="left"/>
        <w:tblInd w:w="0" w:type="dxa"/>
        <w:tblLayout w:type="fixed"/>
        <w:tblCellMar>
          <w:top w:w="28" w:type="dxa"/>
          <w:left w:w="28" w:type="dxa"/>
          <w:bottom w:w="28" w:type="dxa"/>
          <w:right w:w="28" w:type="dxa"/>
        </w:tblCellMar>
      </w:tblPr>
      <w:tblGrid>
        <w:gridCol w:w="516"/>
        <w:gridCol w:w="452"/>
        <w:gridCol w:w="456"/>
        <w:gridCol w:w="289"/>
        <w:gridCol w:w="803"/>
        <w:gridCol w:w="149"/>
        <w:gridCol w:w="149"/>
        <w:gridCol w:w="149"/>
        <w:gridCol w:w="149"/>
        <w:gridCol w:w="289"/>
        <w:gridCol w:w="556"/>
        <w:gridCol w:w="149"/>
        <w:gridCol w:w="109"/>
        <w:gridCol w:w="109"/>
        <w:gridCol w:w="109"/>
        <w:gridCol w:w="233"/>
        <w:gridCol w:w="233"/>
        <w:gridCol w:w="367"/>
        <w:gridCol w:w="109"/>
        <w:gridCol w:w="109"/>
        <w:gridCol w:w="109"/>
        <w:gridCol w:w="211"/>
        <w:gridCol w:w="586"/>
        <w:gridCol w:w="109"/>
        <w:gridCol w:w="109"/>
        <w:gridCol w:w="109"/>
        <w:gridCol w:w="109"/>
        <w:gridCol w:w="211"/>
        <w:gridCol w:w="406"/>
        <w:gridCol w:w="109"/>
        <w:gridCol w:w="109"/>
        <w:gridCol w:w="109"/>
        <w:gridCol w:w="109"/>
        <w:gridCol w:w="233"/>
        <w:gridCol w:w="233"/>
        <w:gridCol w:w="418"/>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for the three and nine months ended September 30, 2023, as compared with the corresponding period in 2022, is primarily due to the incurrence of indebtedness, consisting of borrowings under senior secured term loan facilities and senior secured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Gain (Loss)</w:t>
      </w:r>
    </w:p>
    <w:tbl>
      <w:tblPr>
        <w:tblW w:w="10205" w:type="dxa"/>
        <w:jc w:val="left"/>
        <w:tblInd w:w="0" w:type="dxa"/>
        <w:tblLayout w:type="fixed"/>
        <w:tblCellMar>
          <w:top w:w="28" w:type="dxa"/>
          <w:left w:w="28" w:type="dxa"/>
          <w:bottom w:w="28" w:type="dxa"/>
          <w:right w:w="28" w:type="dxa"/>
        </w:tblCellMar>
      </w:tblPr>
      <w:tblGrid>
        <w:gridCol w:w="887"/>
        <w:gridCol w:w="781"/>
        <w:gridCol w:w="784"/>
        <w:gridCol w:w="302"/>
        <w:gridCol w:w="687"/>
        <w:gridCol w:w="155"/>
        <w:gridCol w:w="155"/>
        <w:gridCol w:w="155"/>
        <w:gridCol w:w="155"/>
        <w:gridCol w:w="302"/>
        <w:gridCol w:w="582"/>
        <w:gridCol w:w="155"/>
        <w:gridCol w:w="109"/>
        <w:gridCol w:w="109"/>
        <w:gridCol w:w="109"/>
        <w:gridCol w:w="343"/>
        <w:gridCol w:w="345"/>
        <w:gridCol w:w="367"/>
        <w:gridCol w:w="109"/>
        <w:gridCol w:w="109"/>
        <w:gridCol w:w="109"/>
        <w:gridCol w:w="211"/>
        <w:gridCol w:w="479"/>
        <w:gridCol w:w="109"/>
        <w:gridCol w:w="109"/>
        <w:gridCol w:w="109"/>
        <w:gridCol w:w="109"/>
        <w:gridCol w:w="211"/>
        <w:gridCol w:w="511"/>
        <w:gridCol w:w="109"/>
        <w:gridCol w:w="109"/>
        <w:gridCol w:w="109"/>
        <w:gridCol w:w="109"/>
        <w:gridCol w:w="343"/>
        <w:gridCol w:w="345"/>
        <w:gridCol w:w="424"/>
      </w:tblGrid>
      <w:tr>
        <w:trPr/>
        <w:tc>
          <w:tcPr>
            <w:tcW w:w="88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exchange gain (loss)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foreign exchange gain (loss) for the three months ended September 30, 2023, as compared to the three months ended September 30, 2022, was primarily due to the relative weakening of the U.S. Dollar against the British Pound and the Euro resulting in $3.1 in foreign exchange losses offset by $2.2 of hedging gains from the Company’s hedging program for 2023. For the three months ended September 30, 2022, foreign exchange gains were $10.1 offset by $5.3 of hedging losses from the Former Parent hedging program.</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foreign exchange gain (loss) for the nine months ended September 30, 2023, as compared to the nine months ended September 30, 2022, was primarily due to the relative weakening of the U.S. Dollar against most major foreign currencies resulting in $1.1 in foreign exchange losses and $2.1 of allocated hedging losses from the Former Parent hedging program offset by $2.2 of hedged gains from the Company’s hedging program for 2023. For the nine months ended September 30, 2022, foreign exchange gains of $34.2 were offset by $13.1 of allocated hedging losses from the Former Parent hedging program.</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tbl>
      <w:tblPr>
        <w:tblW w:w="9252" w:type="dxa"/>
        <w:jc w:val="left"/>
        <w:tblInd w:w="0" w:type="dxa"/>
        <w:tblLayout w:type="fixed"/>
        <w:tblCellMar>
          <w:top w:w="28" w:type="dxa"/>
          <w:left w:w="28" w:type="dxa"/>
          <w:bottom w:w="28" w:type="dxa"/>
          <w:right w:w="28" w:type="dxa"/>
        </w:tblCellMar>
      </w:tblPr>
      <w:tblGrid>
        <w:gridCol w:w="1446"/>
        <w:gridCol w:w="1267"/>
        <w:gridCol w:w="1277"/>
        <w:gridCol w:w="248"/>
        <w:gridCol w:w="565"/>
        <w:gridCol w:w="318"/>
        <w:gridCol w:w="128"/>
        <w:gridCol w:w="128"/>
        <w:gridCol w:w="128"/>
        <w:gridCol w:w="248"/>
        <w:gridCol w:w="601"/>
        <w:gridCol w:w="318"/>
        <w:gridCol w:w="109"/>
        <w:gridCol w:w="109"/>
        <w:gridCol w:w="109"/>
        <w:gridCol w:w="211"/>
        <w:gridCol w:w="406"/>
        <w:gridCol w:w="271"/>
        <w:gridCol w:w="109"/>
        <w:gridCol w:w="109"/>
        <w:gridCol w:w="109"/>
        <w:gridCol w:w="211"/>
        <w:gridCol w:w="511"/>
        <w:gridCol w:w="316"/>
      </w:tblGrid>
      <w:tr>
        <w:trPr/>
        <w:tc>
          <w:tcPr>
            <w:tcW w:w="14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as a % of income before tax</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the Company's effective tax rate was 26.8% compared to the 2022 tax rate of 18.3%. For the nine months ended September 30, 2023, the Company's effective tax rate was 22.6% compared to the 2022 tax rate of 18.3%. The fluctuations in the quarter-to-date and year-to-date periods were primarily due to earnings mix and application of available tax credits in various jurisdictions.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Results by Segment</w:t>
      </w:r>
    </w:p>
    <w:tbl>
      <w:tblPr>
        <w:tblW w:w="10205" w:type="dxa"/>
        <w:jc w:val="left"/>
        <w:tblInd w:w="0" w:type="dxa"/>
        <w:tblLayout w:type="fixed"/>
        <w:tblCellMar>
          <w:top w:w="28" w:type="dxa"/>
          <w:left w:w="28" w:type="dxa"/>
          <w:bottom w:w="28" w:type="dxa"/>
          <w:right w:w="28" w:type="dxa"/>
        </w:tblCellMar>
      </w:tblPr>
      <w:tblGrid>
        <w:gridCol w:w="923"/>
        <w:gridCol w:w="813"/>
        <w:gridCol w:w="816"/>
        <w:gridCol w:w="256"/>
        <w:gridCol w:w="621"/>
        <w:gridCol w:w="131"/>
        <w:gridCol w:w="131"/>
        <w:gridCol w:w="131"/>
        <w:gridCol w:w="131"/>
        <w:gridCol w:w="256"/>
        <w:gridCol w:w="749"/>
        <w:gridCol w:w="131"/>
        <w:gridCol w:w="109"/>
        <w:gridCol w:w="109"/>
        <w:gridCol w:w="109"/>
        <w:gridCol w:w="285"/>
        <w:gridCol w:w="285"/>
        <w:gridCol w:w="367"/>
        <w:gridCol w:w="109"/>
        <w:gridCol w:w="109"/>
        <w:gridCol w:w="109"/>
        <w:gridCol w:w="211"/>
        <w:gridCol w:w="616"/>
        <w:gridCol w:w="109"/>
        <w:gridCol w:w="109"/>
        <w:gridCol w:w="109"/>
        <w:gridCol w:w="109"/>
        <w:gridCol w:w="211"/>
        <w:gridCol w:w="616"/>
        <w:gridCol w:w="109"/>
        <w:gridCol w:w="109"/>
        <w:gridCol w:w="109"/>
        <w:gridCol w:w="109"/>
        <w:gridCol w:w="285"/>
        <w:gridCol w:w="285"/>
        <w:gridCol w:w="429"/>
      </w:tblGrid>
      <w:tr>
        <w:trPr/>
        <w:tc>
          <w:tcPr>
            <w:tcW w:w="92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Clinical Services operating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 operating income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Services operating income was $59.9 for the three months ended September 30, 2023, a decrease of 44.8% from operating income of $108.5 in the corresponding period of 2022. The decrease in operating income was primarily due to lower service revenues driven by the mix and quantity of recent new business wins and the impact of a prior year FSP cancellation.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 operating income was $2.3 for the three months ended September 30, 2023, a decrease of 59.6% from operating income of $5.7 in the corresponding period of 2022. The decrease was driven by lower revenues combined with investments in resources related to servicing a recent new award.</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Services operating income was $192.4 for the nine months ended September 30, 2023, a decrease of 35.8% from operating income of $299.8 in the corresponding period of 2022. The decrease in operating income was primarily due to lower service revenues driven by the impact of a prior year FSP cancellation, a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concession, the mix and quantity of recent new business wins and an increased provision for credit losses. This was partially offset by decreased personnel costs.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Enabling Services operating income was $6.0 for the nine months ended September 30, 2023 a decrease of 71.8% from operating income of $21.3 in the corresponding period of 2022. The decrease was driven by lower revenues combined with investments in resources related to servicing a recent new award.</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Liquidity, Capital Resources and Financial Position</w:t>
      </w:r>
    </w:p>
    <w:p>
      <w:pPr>
        <w:pStyle w:val="TextBody"/>
        <w:bidi w:val="0"/>
        <w:spacing w:lineRule="auto" w:line="288" w:before="0" w:after="180"/>
        <w:ind w:left="0" w:right="0" w:firstLine="360"/>
        <w:jc w:val="left"/>
        <w:rPr/>
      </w:pPr>
      <w:r>
        <w:rPr>
          <w:rFonts w:ascii="Times New Roman;sans-serif" w:hAnsi="Times New Roman;sans-serif"/>
          <w:b w:val="false"/>
          <w:color w:val="000000"/>
          <w:sz w:val="20"/>
          <w:shd w:fill="FFFFFF" w:val="clear"/>
        </w:rPr>
        <w:t xml:space="preserve">The Company manages cash flow to fund and invest in operational growth, capital expenditures, and credit facility repayments. In connection with the Spin, we have incurred indebtedness in an aggregate principal amount of $1,640.0, which consists of borrowings under senior secured term loan facilities and senior secured notes. We have also entered into a senior secured revolving credit facility, which consists of a five-year facility in the principal amount of up to $450.0 as further discussed in Note 6, </w:t>
      </w:r>
      <w:r>
        <w:rPr>
          <w:rFonts w:ascii="Times New Roman;sans-serif" w:hAnsi="Times New Roman;sans-serif"/>
          <w:b w:val="false"/>
          <w:i/>
          <w:color w:val="000000"/>
          <w:sz w:val="20"/>
          <w:shd w:fill="FFFFFF" w:val="clear"/>
        </w:rPr>
        <w:t>Debt</w:t>
      </w:r>
      <w:r>
        <w:rPr>
          <w:color w:val="000000"/>
          <w:shd w:fill="FFFFFF" w:val="clear"/>
        </w:rPr>
        <w:t xml:space="preserve"> </w:t>
      </w:r>
      <w:r>
        <w:rPr>
          <w:rFonts w:ascii="Times New Roman;sans-serif" w:hAnsi="Times New Roman;sans-serif"/>
          <w:b w:val="false"/>
          <w:color w:val="000000"/>
          <w:sz w:val="20"/>
          <w:shd w:fill="FFFFFF" w:val="clear"/>
        </w:rPr>
        <w:t>to the condensed consolidated and combined financial statements above. We have also entered into an accounts receivable purchase program (“ARPP”), which establishes a receivables factoring facility that permits the Company to sell up to $80.0 in customer receivables to a financial institution based on the availability of certain eligible receivables and the satisfaction of certain conditions. As of September 30, 2023, the Company had no outstanding factored customer receivables.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existing cash and cash flows generated from operations, plus existing credit facilities, will be sufficient to cover the needs of our current and planned operations for at least the next 12 months. From time to time, we routinely evaluate strategic opportunities, including potential acquisitions, joint ventures or investments in complementary businesses. We may also access capital markets through the issuance of debt or equity, which we may use in connection with the acquisition of complimentary businesses or other significant assets, or for other strategic opportunities, or general corporate purposes.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for the nine months ended September 30, 2023 and 2022</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summary the Company's cash flows were as follows:</w:t>
      </w:r>
    </w:p>
    <w:tbl>
      <w:tblPr>
        <w:tblW w:w="7930" w:type="dxa"/>
        <w:jc w:val="left"/>
        <w:tblInd w:w="0" w:type="dxa"/>
        <w:tblLayout w:type="fixed"/>
        <w:tblCellMar>
          <w:top w:w="28" w:type="dxa"/>
          <w:left w:w="28" w:type="dxa"/>
          <w:bottom w:w="28" w:type="dxa"/>
          <w:right w:w="28" w:type="dxa"/>
        </w:tblCellMar>
      </w:tblPr>
      <w:tblGrid>
        <w:gridCol w:w="1915"/>
        <w:gridCol w:w="1683"/>
        <w:gridCol w:w="1696"/>
        <w:gridCol w:w="260"/>
        <w:gridCol w:w="760"/>
        <w:gridCol w:w="134"/>
        <w:gridCol w:w="134"/>
        <w:gridCol w:w="134"/>
        <w:gridCol w:w="134"/>
        <w:gridCol w:w="260"/>
        <w:gridCol w:w="630"/>
        <w:gridCol w:w="190"/>
      </w:tblGrid>
      <w:tr>
        <w:trPr/>
        <w:tc>
          <w:tcPr>
            <w:tcW w:w="1915"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for) operating activities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provided by financing activities</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changes in cash and cash equivalents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September 30, 2023 and 2022 totaled $107.5 and $107.5, respectively. Cash and cash equivalents consist of highly liquid instruments, such as commercial paper, time deposits and other money market instruments, which have maturities when purchased of three months or less.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Company's operations provided $155.0 of cash as compared to $59.2 of cash during the nine months ended September 30, 2022. Net cash provided by operating activities increased by $95.8 for the nine months ended September 30, 2023 as compared to the nine months ended September 30, 2022. Cash flows from operating activities benefited from an improvement in unbilled services and deferred revenue and lower cash used for accrued expenses partially offset by a decrease in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for investing activities for the nine months ended September 30, 2023 was $22.8 as compared to net cash used for investing activities of $35.6 for the nine months ended September 30, 2022. The $12.8 decrease in net cash used for investing activities for the nine months ended September 30, 2023, was primarily due to a year over year decrease in capital expenditures. Capital expenditures were $30.9 and $36.0 for the nine months ended September 30, 2023 and 2022, respectively. Capital expenditures in 2023 were 1.3% of revenues, primarily in connection with projects to support growth in the Company's core businesses. The Company intends to continue to pursue selective investments in key therapeutic areas and geographies to drive growth and to improve efficiency of the Company's operations. Such expenditures are expected to be funded by cash flow from operations. </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 for the nine months ended September 30, 2023 was $134.4 compared to cash used by financing activities of $0.4 for the nine months ended September 30, 2022. Cash provided by financing activities related to proceeds from term loans and senior note offerings was offset primarily by the net transfers to Former Parent.</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transactions or relationships with “special purpose” entities, and the Company does not have any off-balance sheet financing other than normal operating leases and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76"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chosen accounting policies that management believes are appropriate to accurately and fairly report our operating results and financial position in conformity with accounting principles generally accepted in the United States of America (“U.S. GAAP”). We apply these accounting policies in a consistent manner. Significant accounting policies are summarized in Note 2 to the combined financial statements included in the Form 10.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application of these accounting policies require that we make estimates and assumptions about future events and apply judgments that affect the reported amounts of assets, liabilities, revenues, expenses, contingent assets and liabilities, and related disclosures. These estimates, assumptions and judgments are based on historical experience, current trends and other factors believed to be reasonable under circumstances. Management evaluates these estimates and assumptions on an ongoing basis. If actual results ultimately differ from previous estimates, the revisions are included in results of operations when the actual amounts become known.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that involve the most significant estimates, assumptions and management judgments used in preparation of the condensed consolidated and combined financial statements, or are the most sensitive to change due to outside factors, are discussed in Management's Discussion and Analysis in the Form 10. Except as disclosed in Note 1 to our condensed consolidated and combined financial statements in this Form 10-Q, pertaining to the adoption of new accounting pronouncements, there have been no material changes in these policies.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 (in millions)</w:t>
      </w:r>
    </w:p>
    <w:p>
      <w:pPr>
        <w:pStyle w:val="TextBody"/>
        <w:bidi w:val="0"/>
        <w:spacing w:lineRule="auto" w:line="276" w:before="0" w:after="180"/>
        <w:ind w:left="0" w:right="0" w:firstLine="270"/>
        <w:jc w:val="left"/>
        <w:rPr/>
      </w:pPr>
      <w:r>
        <w:rPr>
          <w:rFonts w:ascii="Times New Roman;sans-serif" w:hAnsi="Times New Roman;sans-serif"/>
          <w:b w:val="false"/>
          <w:color w:val="000000"/>
          <w:sz w:val="20"/>
        </w:rPr>
        <w:t xml:space="preserve">Market risk is the potential loss arising from adverse changes in market rates and prices, such as foreign currency exchange rates, interest rates and other relevant market rate or price changes. In the ordinary course of business, we are exposed to various market risks, including changes in foreign currency exchange and interest rates, and we regularly evaluate the exposure to such changes. We address our exposure to market risks, principally the market risks associated with changes in foreign currency exchange rates and interest rates, through a controlled program of risk management that may include, from time to time, the use of derivative financial instruments such as foreign currency forward contracts, cross currency swaps and interest rate swap agreements in an effort to manage or hedge some of our risk. We do not hold or issue derivative financial instruments for trading purposes. Refer to Note 7, </w:t>
      </w:r>
      <w:r>
        <w:rPr>
          <w:rFonts w:ascii="Times New Roman;sans-serif" w:hAnsi="Times New Roman;sans-serif"/>
          <w:b w:val="false"/>
          <w:i/>
          <w:color w:val="000000"/>
          <w:sz w:val="20"/>
        </w:rPr>
        <w:t xml:space="preserve">Derivative Instruments and Hedging </w:t>
      </w:r>
      <w:r>
        <w:rPr>
          <w:rFonts w:ascii="Times New Roman;sans-serif" w:hAnsi="Times New Roman;sans-serif"/>
          <w:b w:val="false"/>
          <w:color w:val="000000"/>
          <w:sz w:val="20"/>
        </w:rPr>
        <w:t>to the condensed consolidated and combined financial statements above for information on how the Company utilizes derivative financial instruments.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Foreign Currency Exchange Rates</w:t>
      </w:r>
    </w:p>
    <w:p>
      <w:pPr>
        <w:pStyle w:val="TextBody"/>
        <w:bidi w:val="0"/>
        <w:spacing w:lineRule="auto" w:line="26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16.6% and 18.6% of our revenues for the nine months ended September 30, 2023 and 2022, respectively, were denominated in currencies other than the U.S. dollar (“USD”). Our financial statements are reported in USD and, accordingly, fluctuations in exchange rates will affect the translation of revenues and expenses denominated in foreign currencies into USD for purposes of reporting our condensed consolidated and combined financial results. In the third quarter of 2023 and the year ended December 31, 2022, the most significant currency exchange rate exposures were the Euro and British pound. Excluding the impacts from any outstanding or future hedging transactions, a hypothetical change of 10% in average exchange rates used to translate all foreign currencies to USD would have impacted income before income taxes for the nine months ended September 30, 2023 by approximately $1.2 and for the year ended December 31, 2022 by approximately $4.3. Gross accumulated currency translation adjustments recorded as a separate component of stockholders’ equity were $(7.6) and $(216.8) at September 30, 2023 and September 30, 2022, respectively. We do not have significant operations in countries in which the economy is considered to be highly inflationary.</w:t>
      </w:r>
    </w:p>
    <w:p>
      <w:pPr>
        <w:pStyle w:val="TextBody"/>
        <w:bidi w:val="0"/>
        <w:spacing w:lineRule="auto" w:line="276"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earn revenue from service contracts over a period of several months to many years. Accordingly, exchange rate fluctuations during this period may affect our profitability with respect to such contracts. We are also subject to foreign currency transaction risk for fluctuations in exchange rates during the period of time between the consummation and cash settlement of transactions. We do not enter into any derivative contracts with external counterparties. Starting in the quarter ended September 30, 2023, we entered into foreign currency forward contracts with external counterparties to hedge certain foreign currency transactions with exposure predominantly to the Euro and British Pound. These contracts do not qualify for hedge accounting and the changes in fair value are recorded directly to earnings. </w:t>
      </w:r>
    </w:p>
    <w:p>
      <w:pPr>
        <w:pStyle w:val="TextBody"/>
        <w:bidi w:val="0"/>
        <w:spacing w:lineRule="auto" w:line="276"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Spin, the Former Parent entered into foreign currency forward contracts with external counterparties to hedge certain foreign currency transactions with exposure predominantly to the Euro and British Pound. These contracts did not qualify for hedge accounting and the changes in fair value were recorded directly to earnings. Earnings related to these contracts were included in the combined statements of operations as part of corporate allocations.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The level of our interest rate risk is dependent on our debt exposure and is sensitive to changes in the general level of interest rates. Historical fluctuations in interest rates have not been significant for us; however, this may vary in the future as we have incurred certain indebtedness concurrent with the Spin and will incur additional indebtedness in the future.</w:t>
      </w:r>
    </w:p>
    <w:p>
      <w:pPr>
        <w:pStyle w:val="TextBody"/>
        <w:bidi w:val="0"/>
        <w:spacing w:lineRule="auto" w:line="288" w:before="0" w:after="180"/>
        <w:jc w:val="left"/>
        <w:rPr/>
      </w:pPr>
      <w:r>
        <w:rPr>
          <w:rFonts w:ascii="Times New Roman;sans-serif" w:hAnsi="Times New Roman;sans-serif"/>
          <w:b w:val="false"/>
          <w:color w:val="000000"/>
          <w:sz w:val="20"/>
        </w:rPr>
        <w:t xml:space="preserve">In particular, we face the market risks associated with interest rate movements on our variable rate debt. We are significantly leveraged and incurred approximately </w:t>
      </w:r>
      <w:r>
        <w:rPr>
          <w:rFonts w:ascii="Times New Roman;sans-serif" w:hAnsi="Times New Roman;sans-serif"/>
          <w:b w:val="false"/>
          <w:color w:val="000000"/>
          <w:sz w:val="20"/>
          <w:shd w:fill="FFFFFF" w:val="clear"/>
        </w:rPr>
        <w:t>$1,640.0</w:t>
      </w:r>
      <w:r>
        <w:rPr>
          <w:color w:val="000000"/>
        </w:rPr>
        <w:t xml:space="preserve"> </w:t>
      </w:r>
      <w:r>
        <w:rPr>
          <w:rFonts w:ascii="Times New Roman;sans-serif" w:hAnsi="Times New Roman;sans-serif"/>
          <w:b w:val="false"/>
          <w:color w:val="000000"/>
          <w:sz w:val="20"/>
        </w:rPr>
        <w:t xml:space="preserve">of long-term debt in connection with the Spin. A majority of this debt bears interest at a variable rate, and we entered into a floating-to-fixed interest rate swap with respect to some of our floating rate debt in August 2023. At September 30, 2023, we had $1,062.3 outstanding related to our variable rate debt. Excluding the impacts from any outstanding or future floating-to-fixed interest rate swap transactions, a hypothetical 1.00% increase in interest rates would result in increased interest expenses of $10.6. We expect to manage our interest rate risk but expect to be exposed to an element of market risk from changes to interest rates, including on any refinancing of debt. We expect to regularly assess market risks and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establish policies and business practices to protect against the adverse effects of these exposures. See “Description of Certain Indebtedness and Other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with the participation of its Chief Executive Officer ("CEO") and Chief Financial Officer ("CFO"), has evaluated the effectiveness of the design and operation of the Company’s disclosure controls and procedures as of the period ending September 30, 2023. Based upon our evaluation, our CEO and our CFO have concluded that, as of the period ending September 30, 2023, our disclosure controls and procedures were effective and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and our CFO, as appropriate, to allow timely decisions regarding required disclosure.</w:t>
      </w:r>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quarter ended June 30, 2023, Fortrea relied on certain material processes and internal controls over financial reporting performed by Labcorp.</w:t>
      </w:r>
    </w:p>
    <w:p>
      <w:pPr>
        <w:pStyle w:val="TextBody"/>
        <w:bidi w:val="0"/>
        <w:spacing w:lineRule="auto" w:line="276" w:before="0" w:after="18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 changes in our internal controls over financial reporting during the quarter ended September 30, 2023 have materially affected, or are reasonably likely to materially affect, our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Note 8 (Commitments and Contingencies) to the Company’s condensed consolidated and combined financial statements, above,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the risks relating to our business, see the “Risk Factors” section of our Form 10 and the “Cautionary Statement Concerning Forward-Looking Statements” set forth in Part I, Item 2 of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below are filed or furnished as a part of this report and are incorporated herein by reference.</w:t>
      </w:r>
    </w:p>
    <w:tbl>
      <w:tblPr>
        <w:tblW w:w="10205" w:type="dxa"/>
        <w:jc w:val="left"/>
        <w:tblInd w:w="0" w:type="dxa"/>
        <w:tblLayout w:type="fixed"/>
        <w:tblCellMar>
          <w:top w:w="28" w:type="dxa"/>
          <w:left w:w="28" w:type="dxa"/>
          <w:bottom w:w="28" w:type="dxa"/>
          <w:right w:w="28" w:type="dxa"/>
        </w:tblCellMar>
      </w:tblPr>
      <w:tblGrid>
        <w:gridCol w:w="342"/>
        <w:gridCol w:w="301"/>
        <w:gridCol w:w="302"/>
        <w:gridCol w:w="109"/>
        <w:gridCol w:w="109"/>
        <w:gridCol w:w="109"/>
        <w:gridCol w:w="1192"/>
        <w:gridCol w:w="1168"/>
        <w:gridCol w:w="1170"/>
        <w:gridCol w:w="109"/>
        <w:gridCol w:w="109"/>
        <w:gridCol w:w="109"/>
        <w:gridCol w:w="305"/>
        <w:gridCol w:w="305"/>
        <w:gridCol w:w="307"/>
        <w:gridCol w:w="109"/>
        <w:gridCol w:w="109"/>
        <w:gridCol w:w="109"/>
        <w:gridCol w:w="220"/>
        <w:gridCol w:w="220"/>
        <w:gridCol w:w="221"/>
        <w:gridCol w:w="115"/>
        <w:gridCol w:w="115"/>
        <w:gridCol w:w="115"/>
        <w:gridCol w:w="264"/>
        <w:gridCol w:w="264"/>
        <w:gridCol w:w="165"/>
        <w:gridCol w:w="115"/>
        <w:gridCol w:w="115"/>
        <w:gridCol w:w="115"/>
        <w:gridCol w:w="240"/>
        <w:gridCol w:w="240"/>
        <w:gridCol w:w="241"/>
        <w:gridCol w:w="115"/>
        <w:gridCol w:w="115"/>
        <w:gridCol w:w="115"/>
        <w:gridCol w:w="209"/>
        <w:gridCol w:w="209"/>
        <w:gridCol w:w="30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80"/>
                  <w:sz w:val="20"/>
                  <w:u w:val="single"/>
                </w:rPr>
                <w:t>1</w:t>
              </w:r>
            </w:hyperlink>
            <w:hyperlink r:id="rId3">
              <w:r>
                <w:rPr>
                  <w:rStyle w:val="InternetLink"/>
                  <w:rFonts w:ascii="Times New Roman;sans-serif" w:hAnsi="Times New Roman;sans-serif"/>
                  <w:b w:val="false"/>
                  <w:color w:val="000080"/>
                  <w:sz w:val="20"/>
                  <w:u w:val="single"/>
                </w:rPr>
                <w:t>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Restricted Stock Unit Award Agreement dated August 17, 2023 between Fortrea Holdings Inc. and Thomas Pike.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21-Aug-23</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80"/>
                  <w:sz w:val="20"/>
                  <w:u w:val="single"/>
                </w:rPr>
                <w:t>1</w:t>
              </w:r>
            </w:hyperlink>
            <w:hyperlink r:id="rId6">
              <w:r>
                <w:rPr>
                  <w:rStyle w:val="InternetLink"/>
                  <w:rFonts w:ascii="Times New Roman;sans-serif" w:hAnsi="Times New Roman;sans-serif"/>
                  <w:b w:val="false"/>
                  <w:color w:val="000080"/>
                  <w:sz w:val="20"/>
                  <w:u w:val="single"/>
                </w:rPr>
                <w:t>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Non-Qualified Option Agreement dated August 17, 2023 between Fortrea Holdings Inc. and Thomas Pike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001-41704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21-Aug-23</w:t>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3exhibit-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3exhibit-311.htm">
              <w:r>
                <w:rPr>
                  <w:rStyle w:val="InternetLink"/>
                  <w:rFonts w:ascii="Times New Roman;sans-serif" w:hAnsi="Times New Roman;sans-serif"/>
                  <w:b w:val="false"/>
                  <w:color w:val="0000FF"/>
                  <w:sz w:val="20"/>
                  <w:u w:val="single"/>
                </w:rPr>
                <w:t>Certification of Chief Executive Officer pursuant to Exchange Act Rules 13a-14(a) and 15d-14(a), as adopted pursuant to Section 302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3exhibit-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3exhibit-312.htm">
              <w:r>
                <w:rPr>
                  <w:rStyle w:val="InternetLink"/>
                  <w:rFonts w:ascii="Times New Roman;sans-serif" w:hAnsi="Times New Roman;sans-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3exhibit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3exhibit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3exhibit-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3exhibit-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Instance document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6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180"/>
        <w:jc w:val="left"/>
        <w:rPr/>
      </w:pPr>
      <w:r>
        <w:rPr/>
      </w:r>
    </w:p>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0"/>
        <w:jc w:val="left"/>
        <w:rPr/>
      </w:pPr>
      <w:r>
        <w:rPr/>
      </w:r>
    </w:p>
    <w:p>
      <w:pPr>
        <w:pStyle w:val="TextBody"/>
        <w:bidi w:val="0"/>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Fortrea Holdings Inc. </w:t>
      </w:r>
    </w:p>
    <w:tbl>
      <w:tblPr>
        <w:tblW w:w="617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521"/>
        <w:gridCol w:w="1521"/>
        <w:gridCol w:w="2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behalf of the Registrant and as Principal Financial Officer)</w:t>
            </w:r>
          </w:p>
        </w:tc>
      </w:tr>
    </w:tbl>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68" w:before="0" w:after="0"/>
        <w:jc w:val="center"/>
        <w:rPr/>
      </w:pPr>
      <w:r>
        <w:rPr>
          <w:rFonts w:ascii="Times New Roman;sans-serif" w:hAnsi="Times New Roman;sans-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Thomas Pike,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(b)[Omitted pursuant to Exchange Act Rules 13a-14(a) and 15d-14(a)];</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firstLine="360"/>
        <w:jc w:val="left"/>
        <w:rPr/>
      </w:pPr>
      <w:r>
        <w:rPr/>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5445" w:type="dxa"/>
        <w:jc w:val="left"/>
        <w:tblInd w:w="0" w:type="dxa"/>
        <w:tblLayout w:type="fixed"/>
        <w:tblCellMar>
          <w:top w:w="28" w:type="dxa"/>
          <w:left w:w="28" w:type="dxa"/>
          <w:bottom w:w="28" w:type="dxa"/>
          <w:right w:w="28" w:type="dxa"/>
        </w:tblCellMar>
      </w:tblPr>
      <w:tblGrid>
        <w:gridCol w:w="797"/>
        <w:gridCol w:w="702"/>
        <w:gridCol w:w="706"/>
        <w:gridCol w:w="945"/>
        <w:gridCol w:w="945"/>
        <w:gridCol w:w="1350"/>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Pike</w:t>
            </w:r>
          </w:p>
        </w:tc>
      </w:tr>
      <w:tr>
        <w:trPr/>
        <w:tc>
          <w:tcPr>
            <w:tcW w:w="2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Pike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68" w:before="0" w:after="0"/>
        <w:jc w:val="center"/>
        <w:rPr/>
      </w:pPr>
      <w:r>
        <w:rPr>
          <w:rFonts w:ascii="Times New Roman;sans-serif" w:hAnsi="Times New Roman;sans-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Jill McConnell,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(b)[Omitted pursuant to Exchange Act Rules 13a-14(a) and 15d-14(a)];</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firstLine="360"/>
        <w:jc w:val="left"/>
        <w:rPr/>
      </w:pPr>
      <w:r>
        <w:rPr/>
      </w:r>
    </w:p>
    <w:p>
      <w:pPr>
        <w:pStyle w:val="TextBody"/>
        <w:bidi w:val="0"/>
        <w:spacing w:lineRule="auto" w:line="26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620" w:type="dxa"/>
        <w:jc w:val="left"/>
        <w:tblInd w:w="0" w:type="dxa"/>
        <w:tblLayout w:type="fixed"/>
        <w:tblCellMar>
          <w:top w:w="28" w:type="dxa"/>
          <w:left w:w="28" w:type="dxa"/>
          <w:bottom w:w="28" w:type="dxa"/>
          <w:right w:w="28" w:type="dxa"/>
        </w:tblCellMar>
      </w:tblPr>
      <w:tblGrid>
        <w:gridCol w:w="797"/>
        <w:gridCol w:w="702"/>
        <w:gridCol w:w="706"/>
        <w:gridCol w:w="706"/>
        <w:gridCol w:w="706"/>
        <w:gridCol w:w="1003"/>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Jill McConnell</w:t>
            </w:r>
          </w:p>
        </w:tc>
      </w:tr>
      <w:tr>
        <w:trPr/>
        <w:tc>
          <w:tcPr>
            <w:tcW w:w="2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Jill McConnell</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AS ADOPTED PURSUANT TO SECTION 906</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Thomas Pike, Chief Executive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of the Company for the quarter ended September 30, 2023 (the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tbl>
      <w:tblPr>
        <w:tblW w:w="5445" w:type="dxa"/>
        <w:jc w:val="left"/>
        <w:tblInd w:w="0" w:type="dxa"/>
        <w:tblLayout w:type="fixed"/>
        <w:tblCellMar>
          <w:top w:w="28" w:type="dxa"/>
          <w:left w:w="28" w:type="dxa"/>
          <w:bottom w:w="28" w:type="dxa"/>
          <w:right w:w="28" w:type="dxa"/>
        </w:tblCellMar>
      </w:tblPr>
      <w:tblGrid>
        <w:gridCol w:w="797"/>
        <w:gridCol w:w="702"/>
        <w:gridCol w:w="706"/>
        <w:gridCol w:w="945"/>
        <w:gridCol w:w="945"/>
        <w:gridCol w:w="1350"/>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Pike</w:t>
            </w:r>
          </w:p>
        </w:tc>
      </w:tr>
      <w:tr>
        <w:trPr/>
        <w:tc>
          <w:tcPr>
            <w:tcW w:w="2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Pike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AS ADOPTED PURSUANT TO SECTION 906</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Jill McConnell, Chief Financial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of the Company for the quarter ended September 30, 2023 (the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tbl>
      <w:tblPr>
        <w:tblW w:w="4620" w:type="dxa"/>
        <w:jc w:val="left"/>
        <w:tblInd w:w="0" w:type="dxa"/>
        <w:tblLayout w:type="fixed"/>
        <w:tblCellMar>
          <w:top w:w="28" w:type="dxa"/>
          <w:left w:w="28" w:type="dxa"/>
          <w:bottom w:w="28" w:type="dxa"/>
          <w:right w:w="28" w:type="dxa"/>
        </w:tblCellMar>
      </w:tblPr>
      <w:tblGrid>
        <w:gridCol w:w="797"/>
        <w:gridCol w:w="702"/>
        <w:gridCol w:w="706"/>
        <w:gridCol w:w="706"/>
        <w:gridCol w:w="706"/>
        <w:gridCol w:w="1003"/>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Jill McConnell</w:t>
            </w:r>
          </w:p>
        </w:tc>
      </w:tr>
      <w:tr>
        <w:trPr/>
        <w:tc>
          <w:tcPr>
            <w:tcW w:w="2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Jill McConnell</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5040/000196504023000032/ex101fortrea-2023timevesti.htm" TargetMode="External"/><Relationship Id="rId3" Type="http://schemas.openxmlformats.org/officeDocument/2006/relationships/hyperlink" Target="http://www.sec.gov/Archives/edgar/data/1965040/000196504023000032/ex101fortrea-2023timevesti.htm" TargetMode="External"/><Relationship Id="rId4" Type="http://schemas.openxmlformats.org/officeDocument/2006/relationships/hyperlink" Target="http://www.sec.gov/Archives/edgar/data/1965040/000196504023000032/ex101fortrea-2023timevesti.htm" TargetMode="External"/><Relationship Id="rId5" Type="http://schemas.openxmlformats.org/officeDocument/2006/relationships/hyperlink" Target="http://www.sec.gov/Archives/edgar/data/1965040/000196504023000032/ex102fortrea2023omnibusinc.htm" TargetMode="External"/><Relationship Id="rId6" Type="http://schemas.openxmlformats.org/officeDocument/2006/relationships/hyperlink" Target="http://www.sec.gov/Archives/edgar/data/1965040/000196504023000032/ex102fortrea2023omnibusinc.htm" TargetMode="External"/><Relationship Id="rId7" Type="http://schemas.openxmlformats.org/officeDocument/2006/relationships/hyperlink" Target="http://www.sec.gov/Archives/edgar/data/1965040/000196504023000032/ex102fortrea2023omnibusinc.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17745</Words>
  <Characters>99460</Characters>
  <CharactersWithSpaces>116187</CharactersWithSpaces>
  <Paragraphs>2405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