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260"/>
        <w:jc w:val="left"/>
        <w:rPr/>
      </w:pPr>
      <w:hyperlink w:anchor="i3eb220eb1643431ca98f46fb63169304_7">
        <w:r>
          <w:rPr>
            <w:rStyle w:val="InternetLink"/>
            <w:rFonts w:ascii="Times New Roman;serif" w:hAnsi="Times New Roman;serif"/>
            <w:b w:val="false"/>
            <w:color w:val="0000FF"/>
            <w:sz w:val="20"/>
            <w:u w:val="single"/>
          </w:rPr>
          <w:t>INDEX</w:t>
        </w:r>
      </w:hyperlink>
    </w:p>
    <w:p>
      <w:pPr>
        <w:pStyle w:val="TextBody"/>
        <w:bidi w:val="0"/>
        <w:spacing w:before="200" w:after="283"/>
        <w:ind w:left="0" w:right="0" w:firstLine="720"/>
        <w:jc w:val="left"/>
        <w:rPr/>
      </w:pPr>
      <w:r>
        <w:rPr/>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001-41704</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FORTREA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4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92-2796441</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 Moore Drive 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27713</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u w:val="single"/>
        </w:rPr>
        <w:t>(877) 495-0816</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9" w:type="dxa"/>
        <w:jc w:val="left"/>
        <w:tblInd w:w="0" w:type="dxa"/>
        <w:tblLayout w:type="fixed"/>
        <w:tblCellMar>
          <w:top w:w="28" w:type="dxa"/>
          <w:left w:w="28" w:type="dxa"/>
          <w:bottom w:w="28" w:type="dxa"/>
          <w:right w:w="28" w:type="dxa"/>
        </w:tblCellMar>
      </w:tblPr>
      <w:tblGrid>
        <w:gridCol w:w="1027"/>
        <w:gridCol w:w="899"/>
        <w:gridCol w:w="909"/>
        <w:gridCol w:w="539"/>
        <w:gridCol w:w="539"/>
        <w:gridCol w:w="541"/>
        <w:gridCol w:w="1085"/>
        <w:gridCol w:w="1085"/>
        <w:gridCol w:w="1535"/>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3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180"/>
              <w:jc w:val="center"/>
              <w:rPr>
                <w:color w:val="000000"/>
              </w:rPr>
            </w:pPr>
            <w:r>
              <w:rPr>
                <w:color w:val="000000"/>
              </w:rPr>
              <w:t> </w:t>
            </w:r>
            <w:r>
              <w:rPr>
                <w:rFonts w:ascii="Times New Roman;serif" w:hAnsi="Times New Roman;serif"/>
                <w:b/>
                <w:color w:val="000000"/>
                <w:sz w:val="20"/>
              </w:rPr>
              <w:t>FTRE</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rFonts w:ascii="Wingdings;sans-serif" w:hAnsi="Wingdings;sans-serif"/>
          <w:b w:val="false"/>
          <w:color w:val="000000"/>
          <w:sz w:val="20"/>
        </w:rPr>
        <w:t xml:space="preserve">o </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ind w:left="0" w:right="0" w:hanging="1260"/>
        <w:jc w:val="left"/>
        <w:rPr/>
      </w:pPr>
      <w:hyperlink w:anchor="i3eb220eb1643431ca98f46fb63169304_7">
        <w:r>
          <w:rPr>
            <w:rStyle w:val="InternetLink"/>
            <w:rFonts w:ascii="Times New Roman;serif" w:hAnsi="Times New Roman;serif"/>
            <w:b w:val="false"/>
            <w:color w:val="0000FF"/>
            <w:sz w:val="20"/>
            <w:u w:val="single"/>
          </w:rPr>
          <w:t>INDEX</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7585" w:type="dxa"/>
        <w:jc w:val="left"/>
        <w:tblInd w:w="0" w:type="dxa"/>
        <w:tblLayout w:type="fixed"/>
        <w:tblCellMar>
          <w:top w:w="28" w:type="dxa"/>
          <w:left w:w="28" w:type="dxa"/>
          <w:bottom w:w="28" w:type="dxa"/>
          <w:right w:w="28" w:type="dxa"/>
        </w:tblCellMar>
      </w:tblPr>
      <w:tblGrid>
        <w:gridCol w:w="1119"/>
        <w:gridCol w:w="985"/>
        <w:gridCol w:w="986"/>
        <w:gridCol w:w="495"/>
        <w:gridCol w:w="495"/>
        <w:gridCol w:w="496"/>
        <w:gridCol w:w="109"/>
        <w:gridCol w:w="109"/>
        <w:gridCol w:w="109"/>
        <w:gridCol w:w="769"/>
        <w:gridCol w:w="769"/>
        <w:gridCol w:w="772"/>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1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95.1 million shares of common stock as of July 27,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left"/>
        <w:rPr/>
      </w:pPr>
      <w:hyperlink w:anchor="i3eb220eb1643431ca98f46fb63169304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w:t>
      </w:r>
    </w:p>
    <w:tbl>
      <w:tblPr>
        <w:tblW w:w="9734" w:type="dxa"/>
        <w:jc w:val="left"/>
        <w:tblInd w:w="0" w:type="dxa"/>
        <w:tblLayout w:type="fixed"/>
        <w:tblCellMar>
          <w:top w:w="28" w:type="dxa"/>
          <w:left w:w="28" w:type="dxa"/>
          <w:bottom w:w="28" w:type="dxa"/>
          <w:right w:w="28" w:type="dxa"/>
        </w:tblCellMar>
      </w:tblPr>
      <w:tblGrid>
        <w:gridCol w:w="409"/>
        <w:gridCol w:w="360"/>
        <w:gridCol w:w="360"/>
        <w:gridCol w:w="2455"/>
        <w:gridCol w:w="2455"/>
        <w:gridCol w:w="2455"/>
        <w:gridCol w:w="360"/>
        <w:gridCol w:w="360"/>
        <w:gridCol w:w="52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eb220eb1643431ca98f46fb63169304_10">
              <w:r>
                <w:rPr>
                  <w:rStyle w:val="InternetLink"/>
                  <w:rFonts w:ascii="Times New Roman;serif" w:hAnsi="Times New Roman;serif"/>
                  <w:b/>
                  <w:color w:val="000080"/>
                  <w:sz w:val="20"/>
                </w:rPr>
                <w:t>PART I.</w:t>
              </w:r>
            </w:hyperlink>
            <w:r>
              <w:rPr>
                <w:rFonts w:ascii="Times New Roman;serif" w:hAnsi="Times New Roman;serif"/>
                <w:b/>
                <w:color w:val="000000"/>
                <w:sz w:val="20"/>
              </w:rPr>
              <w:t xml:space="preserve"> FINANCIAL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
              <w:r>
                <w:rPr>
                  <w:rStyle w:val="InternetLink"/>
                  <w:rFonts w:ascii="Times New Roman;serif" w:hAnsi="Times New Roman;serif"/>
                  <w:b w:val="false"/>
                  <w:color w:val="0000FF"/>
                  <w:sz w:val="20"/>
                  <w:u w:val="single"/>
                </w:rPr>
                <w:t>Financial Statements (unaudited)</w:t>
              </w:r>
            </w:hyperlink>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6">
              <w:r>
                <w:rPr>
                  <w:rStyle w:val="InternetLink"/>
                  <w:rFonts w:ascii="Times New Roman;serif" w:hAnsi="Times New Roman;serif"/>
                  <w:b w:val="false"/>
                  <w:color w:val="0000FF"/>
                  <w:sz w:val="20"/>
                  <w:u w:val="single"/>
                </w:rPr>
                <w:t>Condensed Consolidated Balance Sheets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 and December 31,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6">
              <w:r>
                <w:rPr>
                  <w:rStyle w:val="InternetLink"/>
                  <w:rFonts w:ascii="Times New Roman;serif" w:hAnsi="Times New Roman;serif"/>
                  <w:b w:val="false"/>
                  <w:color w:val="0000FF"/>
                  <w:sz w:val="20"/>
                  <w:u w:val="single"/>
                </w:rPr>
                <w:t>2</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9">
              <w:r>
                <w:rPr>
                  <w:rStyle w:val="InternetLink"/>
                  <w:rFonts w:ascii="Times New Roman;serif" w:hAnsi="Times New Roman;serif"/>
                  <w:b w:val="false"/>
                  <w:color w:val="0000FF"/>
                  <w:sz w:val="20"/>
                  <w:u w:val="single"/>
                </w:rPr>
                <w:t>Condensed Consolidated Statements of Operations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six months ended June 30,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9">
              <w:r>
                <w:rPr>
                  <w:rStyle w:val="InternetLink"/>
                  <w:rFonts w:ascii="Times New Roman;serif" w:hAnsi="Times New Roman;serif"/>
                  <w:b w:val="false"/>
                  <w:color w:val="0000FF"/>
                  <w:sz w:val="20"/>
                  <w:u w:val="single"/>
                </w:rPr>
                <w:t>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22">
              <w:r>
                <w:rPr>
                  <w:rStyle w:val="InternetLink"/>
                  <w:rFonts w:ascii="Times New Roman;serif" w:hAnsi="Times New Roman;serif"/>
                  <w:b w:val="false"/>
                  <w:color w:val="0000FF"/>
                  <w:sz w:val="20"/>
                  <w:u w:val="single"/>
                </w:rPr>
                <w:t>Condensed Consolidated Statements of Comprehensive Loss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six months ended June 30,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22">
              <w:r>
                <w:rPr>
                  <w:rStyle w:val="InternetLink"/>
                  <w:rFonts w:ascii="Times New Roman;serif" w:hAnsi="Times New Roman;serif"/>
                  <w:b w:val="false"/>
                  <w:color w:val="0000FF"/>
                  <w:sz w:val="20"/>
                  <w:u w:val="single"/>
                </w:rPr>
                <w:t>4</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25">
              <w:r>
                <w:rPr>
                  <w:rStyle w:val="InternetLink"/>
                  <w:rFonts w:ascii="Times New Roman;serif" w:hAnsi="Times New Roman;serif"/>
                  <w:b w:val="false"/>
                  <w:color w:val="000080"/>
                  <w:sz w:val="20"/>
                  <w:u w:val="single"/>
                </w:rPr>
                <w:t xml:space="preserve">Condensed </w:t>
              </w:r>
            </w:hyperlink>
            <w:hyperlink w:anchor="i3eb220eb1643431ca98f46fb63169304_16">
              <w:r>
                <w:rPr>
                  <w:rStyle w:val="InternetLink"/>
                  <w:rFonts w:ascii="Times New Roman;serif" w:hAnsi="Times New Roman;serif"/>
                  <w:b w:val="false"/>
                  <w:color w:val="000080"/>
                  <w:sz w:val="20"/>
                  <w:u w:val="single"/>
                </w:rPr>
                <w:t>Consolidated</w:t>
              </w:r>
            </w:hyperlink>
            <w:hyperlink w:anchor="i3eb220eb1643431ca98f46fb63169304_25">
              <w:r>
                <w:rPr>
                  <w:rStyle w:val="InternetLink"/>
                  <w:rFonts w:ascii="Times New Roman;serif" w:hAnsi="Times New Roman;serif"/>
                  <w:b w:val="false"/>
                  <w:color w:val="000080"/>
                  <w:sz w:val="20"/>
                  <w:u w:val="single"/>
                </w:rPr>
                <w:t xml:space="preserve"> Statements of Changes in Equity</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six months ended June 30,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25">
              <w:r>
                <w:rPr>
                  <w:rStyle w:val="InternetLink"/>
                  <w:rFonts w:ascii="Times New Roman;serif" w:hAnsi="Times New Roman;serif"/>
                  <w:b w:val="false"/>
                  <w:color w:val="0000FF"/>
                  <w:sz w:val="20"/>
                  <w:u w:val="single"/>
                </w:rPr>
                <w:t>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28">
              <w:r>
                <w:rPr>
                  <w:rStyle w:val="InternetLink"/>
                  <w:rFonts w:ascii="Times New Roman;serif" w:hAnsi="Times New Roman;serif"/>
                  <w:b w:val="false"/>
                  <w:color w:val="000080"/>
                  <w:sz w:val="20"/>
                  <w:u w:val="single"/>
                </w:rPr>
                <w:t xml:space="preserve">Condensed </w:t>
              </w:r>
            </w:hyperlink>
            <w:hyperlink w:anchor="i3eb220eb1643431ca98f46fb63169304_16">
              <w:r>
                <w:rPr>
                  <w:rStyle w:val="InternetLink"/>
                  <w:rFonts w:ascii="Times New Roman;serif" w:hAnsi="Times New Roman;serif"/>
                  <w:b w:val="false"/>
                  <w:color w:val="000080"/>
                  <w:sz w:val="20"/>
                  <w:u w:val="single"/>
                </w:rPr>
                <w:t>Consolidated</w:t>
              </w:r>
            </w:hyperlink>
            <w:hyperlink w:anchor="i3eb220eb1643431ca98f46fb63169304_28">
              <w:r>
                <w:rPr>
                  <w:rStyle w:val="InternetLink"/>
                  <w:rFonts w:ascii="Times New Roman;serif" w:hAnsi="Times New Roman;serif"/>
                  <w:b w:val="false"/>
                  <w:color w:val="000080"/>
                  <w:sz w:val="20"/>
                  <w:u w:val="single"/>
                </w:rPr>
                <w:t xml:space="preserve"> Statements of Cash Flows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28">
              <w:r>
                <w:rPr>
                  <w:rStyle w:val="InternetLink"/>
                  <w:rFonts w:ascii="Times New Roman;serif" w:hAnsi="Times New Roman;serif"/>
                  <w:b w:val="false"/>
                  <w:color w:val="0000FF"/>
                  <w:sz w:val="20"/>
                  <w:u w:val="single"/>
                </w:rPr>
                <w:t>6</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31">
              <w:r>
                <w:rPr>
                  <w:rStyle w:val="InternetLink"/>
                  <w:rFonts w:ascii="Times New Roman;serif" w:hAnsi="Times New Roman;serif"/>
                  <w:b w:val="false"/>
                  <w:color w:val="0000FF"/>
                  <w:sz w:val="20"/>
                  <w:u w:val="single"/>
                </w:rPr>
                <w:t>Notes to Unaudited Condensed Consolidated Financial Statements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31">
              <w:r>
                <w:rPr>
                  <w:rStyle w:val="InternetLink"/>
                  <w:rFonts w:ascii="Times New Roman;serif" w:hAnsi="Times New Roman;serif"/>
                  <w:b w:val="false"/>
                  <w:color w:val="0000FF"/>
                  <w:sz w:val="20"/>
                  <w:u w:val="single"/>
                </w:rPr>
                <w:t>7</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03">
              <w:r>
                <w:rPr>
                  <w:rStyle w:val="InternetLink"/>
                  <w:rFonts w:ascii="Times New Roman;serif" w:hAnsi="Times New Roman;serif"/>
                  <w:b w:val="false"/>
                  <w:color w:val="000000"/>
                  <w:sz w:val="20"/>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03">
              <w:r>
                <w:rPr>
                  <w:rStyle w:val="InternetLink"/>
                  <w:rFonts w:ascii="Times New Roman;serif" w:hAnsi="Times New Roman;serif"/>
                  <w:b w:val="false"/>
                  <w:color w:val="0000FF"/>
                  <w:sz w:val="20"/>
                  <w:u w:val="single"/>
                </w:rPr>
                <w:t>20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21">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21">
              <w:r>
                <w:rPr>
                  <w:rStyle w:val="InternetLink"/>
                  <w:rFonts w:ascii="Times New Roman;serif" w:hAnsi="Times New Roman;serif"/>
                  <w:b w:val="false"/>
                  <w:color w:val="0000FF"/>
                  <w:sz w:val="20"/>
                  <w:u w:val="single"/>
                </w:rPr>
                <w:t>Quantitative and Qualitative Disclosures About Market Risk</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21">
              <w:r>
                <w:rPr>
                  <w:rStyle w:val="InternetLink"/>
                  <w:rFonts w:ascii="Times New Roman;serif" w:hAnsi="Times New Roman;serif"/>
                  <w:b w:val="false"/>
                  <w:color w:val="0000FF"/>
                  <w:sz w:val="20"/>
                  <w:u w:val="single"/>
                </w:rPr>
                <w:t>27</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24">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24">
              <w:r>
                <w:rPr>
                  <w:rStyle w:val="InternetLink"/>
                  <w:rFonts w:ascii="Times New Roman;serif" w:hAnsi="Times New Roman;serif"/>
                  <w:b w:val="false"/>
                  <w:color w:val="0000FF"/>
                  <w:sz w:val="20"/>
                  <w:u w:val="single"/>
                </w:rPr>
                <w:t>Controls and Procedures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24">
              <w:r>
                <w:rPr>
                  <w:rStyle w:val="InternetLink"/>
                  <w:rFonts w:ascii="Times New Roman;serif" w:hAnsi="Times New Roman;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eb220eb1643431ca98f46fb63169304_127">
              <w:r>
                <w:rPr>
                  <w:rStyle w:val="InternetLink"/>
                  <w:rFonts w:ascii="Times New Roman;serif" w:hAnsi="Times New Roman;serif"/>
                  <w:b/>
                  <w:color w:val="000080"/>
                  <w:sz w:val="20"/>
                </w:rPr>
                <w:t>PART II.</w:t>
              </w:r>
            </w:hyperlink>
            <w:r>
              <w:rPr>
                <w:rFonts w:ascii="Times New Roman;serif" w:hAnsi="Times New Roman;serif"/>
                <w:b/>
                <w:color w:val="000000"/>
                <w:sz w:val="20"/>
              </w:rPr>
              <w:t xml:space="preserve"> OTHER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0">
              <w:r>
                <w:rPr>
                  <w:rStyle w:val="InternetLink"/>
                  <w:rFonts w:ascii="Times New Roman;serif" w:hAnsi="Times New Roman;serif"/>
                  <w:b w:val="false"/>
                  <w:color w:val="000000"/>
                  <w:sz w:val="20"/>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0">
              <w:r>
                <w:rPr>
                  <w:rStyle w:val="InternetLink"/>
                  <w:rFonts w:ascii="Times New Roman;serif" w:hAnsi="Times New Roman;serif"/>
                  <w:b w:val="false"/>
                  <w:color w:val="0000FF"/>
                  <w:sz w:val="20"/>
                  <w:u w:val="single"/>
                </w:rPr>
                <w:t>Legal Proceedings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30">
              <w:r>
                <w:rPr>
                  <w:rStyle w:val="InternetLink"/>
                  <w:rFonts w:ascii="Times New Roman;serif" w:hAnsi="Times New Roman;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3">
              <w:r>
                <w:rPr>
                  <w:rStyle w:val="InternetLink"/>
                  <w:rFonts w:ascii="Times New Roman;serif" w:hAnsi="Times New Roman;serif"/>
                  <w:b w:val="false"/>
                  <w:color w:val="000080"/>
                  <w:sz w:val="20"/>
                </w:rPr>
                <w:t xml:space="preserve">Item </w:t>
              </w:r>
            </w:hyperlink>
            <w:r>
              <w:rPr>
                <w:rFonts w:ascii="Times New Roman;serif" w:hAnsi="Times New Roman;serif"/>
                <w:b w:val="false"/>
                <w:color w:val="000000"/>
                <w:sz w:val="20"/>
              </w:rPr>
              <w:t>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3">
              <w:r>
                <w:rPr>
                  <w:rStyle w:val="InternetLink"/>
                  <w:rFonts w:ascii="Times New Roman;serif" w:hAnsi="Times New Roman;serif"/>
                  <w:b w:val="false"/>
                  <w:color w:val="0000FF"/>
                  <w:sz w:val="20"/>
                  <w:u w:val="single"/>
                </w:rPr>
                <w:t>Risk Factors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33">
              <w:r>
                <w:rPr>
                  <w:rStyle w:val="InternetLink"/>
                  <w:rFonts w:ascii="Times New Roman;serif" w:hAnsi="Times New Roman;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6">
              <w:r>
                <w:rPr>
                  <w:rStyle w:val="InternetLink"/>
                  <w:rFonts w:ascii="Times New Roman;serif" w:hAnsi="Times New Roman;serif"/>
                  <w:b w:val="false"/>
                  <w:color w:val="000000"/>
                  <w:sz w:val="20"/>
                </w:rPr>
                <w:t xml:space="preserve">Item 2.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6">
              <w:r>
                <w:rPr>
                  <w:rStyle w:val="InternetLink"/>
                  <w:rFonts w:ascii="Times New Roman;serif" w:hAnsi="Times New Roman;serif"/>
                  <w:b w:val="false"/>
                  <w:color w:val="0000FF"/>
                  <w:sz w:val="20"/>
                  <w:u w:val="single"/>
                </w:rPr>
                <w:t>Unregistered Sales of Equity Securities and Use of Proceeds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36">
              <w:r>
                <w:rPr>
                  <w:rStyle w:val="InternetLink"/>
                  <w:rFonts w:ascii="Times New Roman;serif" w:hAnsi="Times New Roman;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9">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39">
              <w:r>
                <w:rPr>
                  <w:rStyle w:val="InternetLink"/>
                  <w:rFonts w:ascii="Times New Roman;serif" w:hAnsi="Times New Roman;serif"/>
                  <w:b w:val="false"/>
                  <w:color w:val="0000FF"/>
                  <w:sz w:val="20"/>
                  <w:u w:val="single"/>
                </w:rPr>
                <w:t>Defaults Upon Senior Securities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39">
              <w:r>
                <w:rPr>
                  <w:rStyle w:val="InternetLink"/>
                  <w:rFonts w:ascii="Times New Roman;serif" w:hAnsi="Times New Roman;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42">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42">
              <w:r>
                <w:rPr>
                  <w:rStyle w:val="InternetLink"/>
                  <w:rFonts w:ascii="Times New Roman;serif" w:hAnsi="Times New Roman;serif"/>
                  <w:b w:val="false"/>
                  <w:color w:val="0000FF"/>
                  <w:sz w:val="20"/>
                  <w:u w:val="single"/>
                </w:rPr>
                <w:t>Mine Safety Disclosures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42">
              <w:r>
                <w:rPr>
                  <w:rStyle w:val="InternetLink"/>
                  <w:rFonts w:ascii="Times New Roman;serif" w:hAnsi="Times New Roman;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45">
              <w:r>
                <w:rPr>
                  <w:rStyle w:val="InternetLink"/>
                  <w:rFonts w:ascii="Times New Roman;serif" w:hAnsi="Times New Roman;serif"/>
                  <w:b w:val="false"/>
                  <w:color w:val="000080"/>
                  <w:sz w:val="20"/>
                </w:rPr>
                <w:t>Item</w:t>
              </w:r>
            </w:hyperlink>
            <w:r>
              <w:rPr>
                <w:rFonts w:ascii="Times New Roman;serif" w:hAnsi="Times New Roman;serif"/>
                <w:b w:val="false"/>
                <w:color w:val="000000"/>
                <w:sz w:val="20"/>
              </w:rPr>
              <w:t xml:space="preserve">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45">
              <w:r>
                <w:rPr>
                  <w:rStyle w:val="InternetLink"/>
                  <w:rFonts w:ascii="Times New Roman;serif" w:hAnsi="Times New Roman;serif"/>
                  <w:b w:val="false"/>
                  <w:color w:val="0000FF"/>
                  <w:sz w:val="20"/>
                  <w:u w:val="single"/>
                </w:rPr>
                <w:t>Other Information</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45">
              <w:r>
                <w:rPr>
                  <w:rStyle w:val="InternetLink"/>
                  <w:rFonts w:ascii="Times New Roman;serif" w:hAnsi="Times New Roman;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48">
              <w:r>
                <w:rPr>
                  <w:rStyle w:val="InternetLink"/>
                  <w:rFonts w:ascii="Times New Roman;serif" w:hAnsi="Times New Roman;serif"/>
                  <w:b w:val="false"/>
                  <w:color w:val="000000"/>
                  <w:sz w:val="20"/>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b220eb1643431ca98f46fb63169304_148">
              <w:r>
                <w:rPr>
                  <w:rStyle w:val="InternetLink"/>
                  <w:rFonts w:ascii="Times New Roman;serif" w:hAnsi="Times New Roman;serif"/>
                  <w:b w:val="false"/>
                  <w:color w:val="0000FF"/>
                  <w:sz w:val="20"/>
                  <w:u w:val="single"/>
                </w:rPr>
                <w:t>Exhibits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b220eb1643431ca98f46fb63169304_148">
              <w:r>
                <w:rPr>
                  <w:rStyle w:val="InternetLink"/>
                  <w:rFonts w:ascii="Times New Roman;serif" w:hAnsi="Times New Roman;serif"/>
                  <w:b w:val="false"/>
                  <w:color w:val="0000FF"/>
                  <w:sz w:val="20"/>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16"/>
        <w:gridCol w:w="2274"/>
        <w:gridCol w:w="2280"/>
        <w:gridCol w:w="225"/>
        <w:gridCol w:w="795"/>
        <w:gridCol w:w="125"/>
        <w:gridCol w:w="109"/>
        <w:gridCol w:w="109"/>
        <w:gridCol w:w="109"/>
        <w:gridCol w:w="293"/>
        <w:gridCol w:w="1036"/>
        <w:gridCol w:w="234"/>
      </w:tblGrid>
      <w:tr>
        <w:trPr/>
        <w:tc>
          <w:tcPr>
            <w:tcW w:w="2616"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services,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622.0 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2,714.9 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2,715.7 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operating lease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913.3 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1,048.0 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tax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2,152.2 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 8)</w:t>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95.1 and 93.1 shares outstanding at June 30, 2026 and December 31, 2025, respectively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2,116.6 </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(1,383.2)</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524.2 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563.5 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2,714.9 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2,715.7 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31"/>
        <w:gridCol w:w="1570"/>
        <w:gridCol w:w="1580"/>
        <w:gridCol w:w="211"/>
        <w:gridCol w:w="616"/>
        <w:gridCol w:w="109"/>
        <w:gridCol w:w="109"/>
        <w:gridCol w:w="109"/>
        <w:gridCol w:w="109"/>
        <w:gridCol w:w="211"/>
        <w:gridCol w:w="668"/>
        <w:gridCol w:w="109"/>
        <w:gridCol w:w="109"/>
        <w:gridCol w:w="109"/>
        <w:gridCol w:w="109"/>
        <w:gridCol w:w="211"/>
        <w:gridCol w:w="766"/>
        <w:gridCol w:w="109"/>
        <w:gridCol w:w="109"/>
        <w:gridCol w:w="109"/>
        <w:gridCol w:w="109"/>
        <w:gridCol w:w="211"/>
        <w:gridCol w:w="766"/>
        <w:gridCol w:w="156"/>
      </w:tblGrid>
      <w:tr>
        <w:trPr/>
        <w:tc>
          <w:tcPr>
            <w:tcW w:w="193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exclusive of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exclusive of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81"/>
        <w:gridCol w:w="1678"/>
        <w:gridCol w:w="1712"/>
        <w:gridCol w:w="212"/>
        <w:gridCol w:w="579"/>
        <w:gridCol w:w="109"/>
        <w:gridCol w:w="109"/>
        <w:gridCol w:w="109"/>
        <w:gridCol w:w="109"/>
        <w:gridCol w:w="212"/>
        <w:gridCol w:w="684"/>
        <w:gridCol w:w="109"/>
        <w:gridCol w:w="109"/>
        <w:gridCol w:w="109"/>
        <w:gridCol w:w="109"/>
        <w:gridCol w:w="211"/>
        <w:gridCol w:w="574"/>
        <w:gridCol w:w="109"/>
        <w:gridCol w:w="109"/>
        <w:gridCol w:w="109"/>
        <w:gridCol w:w="109"/>
        <w:gridCol w:w="211"/>
        <w:gridCol w:w="679"/>
        <w:gridCol w:w="164"/>
      </w:tblGrid>
      <w:tr>
        <w:trPr/>
        <w:tc>
          <w:tcPr>
            <w:tcW w:w="198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 instruments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 related to items of comprehensive income</w:t>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14"/>
        <w:gridCol w:w="669"/>
        <w:gridCol w:w="671"/>
        <w:gridCol w:w="255"/>
        <w:gridCol w:w="256"/>
        <w:gridCol w:w="196"/>
        <w:gridCol w:w="238"/>
        <w:gridCol w:w="425"/>
        <w:gridCol w:w="114"/>
        <w:gridCol w:w="109"/>
        <w:gridCol w:w="109"/>
        <w:gridCol w:w="109"/>
        <w:gridCol w:w="269"/>
        <w:gridCol w:w="978"/>
        <w:gridCol w:w="139"/>
        <w:gridCol w:w="109"/>
        <w:gridCol w:w="109"/>
        <w:gridCol w:w="109"/>
        <w:gridCol w:w="109"/>
        <w:gridCol w:w="109"/>
        <w:gridCol w:w="235"/>
        <w:gridCol w:w="896"/>
        <w:gridCol w:w="121"/>
        <w:gridCol w:w="109"/>
        <w:gridCol w:w="109"/>
        <w:gridCol w:w="109"/>
        <w:gridCol w:w="269"/>
        <w:gridCol w:w="806"/>
        <w:gridCol w:w="141"/>
        <w:gridCol w:w="109"/>
        <w:gridCol w:w="109"/>
        <w:gridCol w:w="109"/>
        <w:gridCol w:w="211"/>
        <w:gridCol w:w="616"/>
        <w:gridCol w:w="160"/>
      </w:tblGrid>
      <w:tr>
        <w:trPr/>
        <w:tc>
          <w:tcPr>
            <w:tcW w:w="101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9"/>
        <w:gridCol w:w="475"/>
        <w:gridCol w:w="477"/>
        <w:gridCol w:w="255"/>
        <w:gridCol w:w="256"/>
        <w:gridCol w:w="196"/>
        <w:gridCol w:w="237"/>
        <w:gridCol w:w="415"/>
        <w:gridCol w:w="111"/>
        <w:gridCol w:w="109"/>
        <w:gridCol w:w="109"/>
        <w:gridCol w:w="109"/>
        <w:gridCol w:w="237"/>
        <w:gridCol w:w="863"/>
        <w:gridCol w:w="122"/>
        <w:gridCol w:w="109"/>
        <w:gridCol w:w="109"/>
        <w:gridCol w:w="109"/>
        <w:gridCol w:w="109"/>
        <w:gridCol w:w="109"/>
        <w:gridCol w:w="222"/>
        <w:gridCol w:w="834"/>
        <w:gridCol w:w="114"/>
        <w:gridCol w:w="109"/>
        <w:gridCol w:w="109"/>
        <w:gridCol w:w="109"/>
        <w:gridCol w:w="269"/>
        <w:gridCol w:w="806"/>
        <w:gridCol w:w="141"/>
        <w:gridCol w:w="109"/>
        <w:gridCol w:w="109"/>
        <w:gridCol w:w="109"/>
        <w:gridCol w:w="211"/>
        <w:gridCol w:w="766"/>
        <w:gridCol w:w="109"/>
        <w:gridCol w:w="109"/>
        <w:gridCol w:w="109"/>
        <w:gridCol w:w="109"/>
        <w:gridCol w:w="109"/>
        <w:gridCol w:w="109"/>
        <w:gridCol w:w="159"/>
      </w:tblGrid>
      <w:tr>
        <w:trPr/>
        <w:tc>
          <w:tcPr>
            <w:tcW w:w="85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FORTREA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tbl>
      <w:tblPr>
        <w:tblW w:w="8700" w:type="dxa"/>
        <w:jc w:val="center"/>
        <w:tblInd w:w="0" w:type="dxa"/>
        <w:tblLayout w:type="fixed"/>
        <w:tblCellMar>
          <w:top w:w="28" w:type="dxa"/>
          <w:left w:w="28" w:type="dxa"/>
          <w:bottom w:w="28" w:type="dxa"/>
          <w:right w:w="28" w:type="dxa"/>
        </w:tblCellMar>
      </w:tblPr>
      <w:tblGrid>
        <w:gridCol w:w="2285"/>
        <w:gridCol w:w="2010"/>
        <w:gridCol w:w="2020"/>
        <w:gridCol w:w="206"/>
        <w:gridCol w:w="585"/>
        <w:gridCol w:w="114"/>
        <w:gridCol w:w="114"/>
        <w:gridCol w:w="114"/>
        <w:gridCol w:w="114"/>
        <w:gridCol w:w="206"/>
        <w:gridCol w:w="664"/>
        <w:gridCol w:w="114"/>
        <w:gridCol w:w="154"/>
      </w:tblGrid>
      <w:tr>
        <w:trPr/>
        <w:tc>
          <w:tcPr>
            <w:tcW w:w="228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for) operating activities:</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expense</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impairment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asset impairments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movements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receivable and unbilled services, net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 prepaid expenses and other</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in unearned revenue</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accrued expenses and other</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w:t>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 net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provided by investing activities</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facilities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facilities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BASIS OF FINANCIAL STATEMENT PRESENTATION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Holdings Inc. (“Fortrea” or the “Company”), a Delaware corporation incorporated on January 31, 2023, is a leading global contract research organization (“CRO”) providing biopharmaceutical product and medical device development solutions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more than 30 years across more than 20 therapeutic areas. The Company leverages its global scale, clinical data insights, scientific and therapeutic expertise, technology innovation, industry network and decades of experience as a standalone company and as a business unit prior to its spin-off from Labcorp Holdings Inc. to deliver tailored solutions to its customers. With what the Company believes is a distinctive market offering, Fortrea meets growing global demand for clinical development services. The Company has established access to all key markets worldwide through a strategic footprint of primary office locations in five countries (the United States, the United Kingdom, China, India and Japan) with field operations in other jurisdictions worldwide.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9, 2024, the Company, together with its wholly-owned subsidiary, Fortrea Inc., entered into an Asset Purchase Agreement with Endeavor Buyer LLC, an affiliate of Arsenal Capital Partners, to sell the operations of Fortrea Patient Access Inc. and its subsidiaries and Endpoint Clinical, Inc. and its subsidiaries; collectively referred to as the Enabling Services Segment (the “Transaction”). The final adjusted purchase price for the Transaction was $340.0, subject to customary purchase price adjustments, with $295.0 paid at closing and $45.0 to be paid upon achievement of certain transition-related milestones. The Transaction closed during the second quarter of 2024. The first milestone payment in the amount of $20.0 was received in the first quarter of 2025. The second and final milestone payment in the amount of $25.0 was received in the third quarter of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Reportable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in one reportable segment, Clinical Services, which provides phase I-IV clinical trials, including clinical pharmacology and comprehensive clinical development capabilities. The Company’s chief operating decision maker allocates resources and assesses performance for the Clinical Services segment. For further financial information about the segment, see Note 13, “Business Segment Information”.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in conformity with accounting principles generally accepted in the United States of America (“U.S. GAAP”) for interim financial information. Accordingly, they do not include all of the information and notes required by U.S. GAAP for complete financial statements.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As such, the information included in this Quarterly Report on Form 10-Q should be read in conjunction with the Company’s audited consolidated and combined financial statements included in the Company’s Annual Report on Form 10-K for the fiscal year ended December 31,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and cash equivalents, accounts receivable and unbilled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accounts receivable and unbilled services are with companies in the pharmaceutical, biotechnology and medical device industries. As of June 30, 2026, one pharmaceutical customer accounted for approximately 18.2% of the Company's combined gross accounts receivable and unbilled services. As of December 31, 2025, one pharmaceutical customer accounted for approximately 18.3% of the Company's combined gross accounts receivable and unbilled services. Additionally, for the three months ended June 30, 2026, one customer accounted for approximately 16.8% of revenues, and for the six months ended June 30, 2026, one customer accounted for approximately 17.0% of revenues. For the three months ended June 30, 2025, one customer accounted for 19.5% of revenues, and for the six months ended June 30, 2025, one customer accounted for approximately 17.5%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and Adopted Accounting Standards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ASU 2024-03, Income Statement—Reporting Comprehensive Income—Expense Disaggregation Disclosures (Subtopic 220-40), Disaggregation of Income Statement Expenses. The new guidance requires disclosure of certain costs and expenses in the notes to the financial statements. This guidance is effective for fiscal years beginning after December 15, 2026 and interim reporting periods beginning after December 15, 2027. Early adoption is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this guidance will have on its financial statement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The new guidance simplifies the accounting for internally developed software by replacing the existing phase-based capitalization model with a principles-based approach that focuses on management’s authorization and the probability of project completion. The guidance is effective for fiscal years beginning after December 15, 2027, including interim periods within those fiscal years. Entities may apply the guidance using a prospective, retrospective, or modified transition approach, and early adoption is permitted. The Company is currently evaluating the impact this guidance will have on its financial statements and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This ASU establishes guidance on the recognition, measurement, and presentation of government grants received by business entities. The guidance is intended to improve consistency and transparency by providing a comprehensive accounting framework for government grants under U.S. GAAP. The guidance is effective for fiscal years beginning after December 15, 2028, including interim periods within those fiscal years. Early adoption is permitted. The Company is currently evaluating the impact this guidance will have on its financial statements and disclosures.</w:t>
      </w:r>
    </w:p>
    <w:p>
      <w:pPr>
        <w:pStyle w:val="TextBody"/>
        <w:bidi w:val="0"/>
        <w:spacing w:lineRule="auto" w:line="288" w:before="0" w:after="180"/>
        <w:jc w:val="left"/>
        <w:rPr>
          <w:rFonts w:ascii="Times New Roman;serif" w:hAnsi="Times New Roman;serif"/>
          <w:b w:val="false"/>
          <w:color w:val="000000"/>
          <w:sz w:val="2"/>
        </w:rPr>
      </w:pPr>
      <w:r>
        <w:rPr>
          <w:rFonts w:ascii="Times New Roman;serif" w:hAnsi="Times New Roman;serif"/>
          <w:b w:val="false"/>
          <w:color w:val="000000"/>
          <w:sz w:val="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REVENUES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revenues by geography for the three and six months ended June 30, 2026 and 2025 are as follows:</w:t>
      </w:r>
    </w:p>
    <w:tbl>
      <w:tblPr>
        <w:tblW w:w="105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8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the United States comprises substantially all revenue in North America.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 balances:</w:t>
      </w:r>
    </w:p>
    <w:tbl>
      <w:tblPr>
        <w:tblW w:w="5065" w:type="dxa"/>
        <w:jc w:val="left"/>
        <w:tblInd w:w="0" w:type="dxa"/>
        <w:tblLayout w:type="fixed"/>
        <w:tblCellMar>
          <w:top w:w="28" w:type="dxa"/>
          <w:left w:w="28" w:type="dxa"/>
          <w:bottom w:w="28" w:type="dxa"/>
          <w:right w:w="28" w:type="dxa"/>
        </w:tblCellMar>
      </w:tblPr>
      <w:tblGrid>
        <w:gridCol w:w="750"/>
        <w:gridCol w:w="659"/>
        <w:gridCol w:w="661"/>
        <w:gridCol w:w="285"/>
        <w:gridCol w:w="692"/>
        <w:gridCol w:w="147"/>
        <w:gridCol w:w="109"/>
        <w:gridCol w:w="109"/>
        <w:gridCol w:w="109"/>
        <w:gridCol w:w="372"/>
        <w:gridCol w:w="901"/>
        <w:gridCol w:w="27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commission assets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Amortization related to sales commission assets for the three months ended June 30, 2026 and 2025 was $2.8 and $2.8, respectively, and for the six months ended June 30, 2026 and 2025 was $6.1 and $5.9, respectively. Amortization related to deferred contract costs for the three months ended June 30, 2026 and 2025 was $0.1 and $0.2, respectively, and for the six months ended June 30, 2026 and 2025 was $0.2 and $0.4, respectively. Th</w:t>
      </w:r>
      <w:r>
        <w:rPr>
          <w:rFonts w:ascii="Times New Roman;serif" w:hAnsi="Times New Roman;serif"/>
          <w:b w:val="false"/>
          <w:color w:val="000000"/>
          <w:sz w:val="20"/>
          <w:shd w:fill="FFFFFF" w:val="clear"/>
        </w:rPr>
        <w:t>e Company applies the practical expedient to not recognize the effect of financing in its contracts with customers when the difference in timing of payment and performance is one year or less.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Accounts Receivable, Unbilled Services and Unearned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unbilled services and unearned revenue from contracts with customers:</w:t>
      </w:r>
    </w:p>
    <w:tbl>
      <w:tblPr>
        <w:tblW w:w="5711" w:type="dxa"/>
        <w:jc w:val="left"/>
        <w:tblInd w:w="0" w:type="dxa"/>
        <w:tblLayout w:type="fixed"/>
        <w:tblCellMar>
          <w:top w:w="28" w:type="dxa"/>
          <w:left w:w="28" w:type="dxa"/>
          <w:bottom w:w="28" w:type="dxa"/>
          <w:right w:w="28" w:type="dxa"/>
        </w:tblCellMar>
      </w:tblPr>
      <w:tblGrid>
        <w:gridCol w:w="984"/>
        <w:gridCol w:w="864"/>
        <w:gridCol w:w="867"/>
        <w:gridCol w:w="253"/>
        <w:gridCol w:w="741"/>
        <w:gridCol w:w="131"/>
        <w:gridCol w:w="109"/>
        <w:gridCol w:w="109"/>
        <w:gridCol w:w="109"/>
        <w:gridCol w:w="332"/>
        <w:gridCol w:w="970"/>
        <w:gridCol w:w="24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services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Revenue recognized during the period that was included in the unearned revenue balance at the beginning of the period was $229.8 and $157.5 for the six months ended June 30, 2026 and 2025, respectively. Additionally, as of June 30, 2026, the Company had sold $300.0 of receivables as described in the </w:t>
      </w:r>
      <w:r>
        <w:rPr>
          <w:rFonts w:ascii="Times New Roman;serif" w:hAnsi="Times New Roman;serif"/>
          <w:b w:val="false"/>
          <w:i/>
          <w:color w:val="000000"/>
          <w:sz w:val="20"/>
        </w:rPr>
        <w:t>Receivables Securitization Program</w:t>
      </w:r>
      <w:r>
        <w:rPr>
          <w:color w:val="000000"/>
        </w:rPr>
        <w:t xml:space="preserve"> </w:t>
      </w:r>
      <w:r>
        <w:rPr>
          <w:rFonts w:ascii="Times New Roman;serif" w:hAnsi="Times New Roman;serif"/>
          <w:b w:val="false"/>
          <w:color w:val="000000"/>
          <w:sz w:val="20"/>
        </w:rPr>
        <w:t>section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Loss Rollforward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future expected losses on accounts receivable and unbilled services over the remaining collection period of the instrument.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rollforward for the allowance for credit losses for the six months ended June 30, 2026 is as follows:</w:t>
      </w:r>
    </w:p>
    <w:tbl>
      <w:tblPr>
        <w:tblW w:w="5210" w:type="dxa"/>
        <w:jc w:val="left"/>
        <w:tblInd w:w="0" w:type="dxa"/>
        <w:tblLayout w:type="fixed"/>
        <w:tblCellMar>
          <w:top w:w="28" w:type="dxa"/>
          <w:left w:w="28" w:type="dxa"/>
          <w:bottom w:w="28" w:type="dxa"/>
          <w:right w:w="28" w:type="dxa"/>
        </w:tblCellMar>
      </w:tblPr>
      <w:tblGrid>
        <w:gridCol w:w="1570"/>
        <w:gridCol w:w="1378"/>
        <w:gridCol w:w="1386"/>
        <w:gridCol w:w="211"/>
        <w:gridCol w:w="511"/>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 Under Long-Term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approximately $4,442.5 of revenues are expected to be recognized from remaining performance obligations. The Company expects to recognize approximately 26% of the existing performance obligations as of June 30, 2026 as revenue over the next 12 months and the remaining balance thereafter. The Company’s long-term contracts generally range from one to eight years. The customer contract transaction price allocated to the remaining performance obligations differs from backlog in that it does not include wholly unperformed contracts under which the customer has a unilateral right to cancel the arrangement.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there were reductions of approximately $2 and $3 in revenue related to performance obligations partially satisfied in previous periods. For the three months ended June 30, 2026, the change was associated with changes in estimated effort to complete customer contract obligations. For the six months ended June 30, 2026, the majority of the change was associated with changes in estimated effort to complete customer contract obligations of $(7), partially offset by changes in scope or price of $4.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there were reductions of approximately $1 and $16 in revenue related to performance obligations partially satisfied in previous periods. For the three months ended June 30, 2025, the majority of the change was associated with changes in estimated effort to complete customer contract obligations of $(3), partially offset by changes in scope or price of $2. For the six months ended June 30, 2025, the majority of the change was associated with changes in scope or price of $(11) and a smaller portion related to changes in estimated effort to complete customer contract obligations of $(5). </w:t>
      </w:r>
    </w:p>
    <w:p>
      <w:pPr>
        <w:pStyle w:val="TextBody"/>
        <w:bidi w:val="0"/>
        <w:spacing w:lineRule="auto" w:line="276" w:before="0" w:after="180"/>
        <w:jc w:val="left"/>
        <w:rPr/>
      </w:pPr>
      <w:r>
        <w:rPr>
          <w:rFonts w:ascii="Times New Roman;serif" w:hAnsi="Times New Roman;serif"/>
          <w:b w:val="false"/>
          <w:color w:val="000000"/>
          <w:sz w:val="20"/>
          <w:shd w:fill="FFFFFF" w:val="clear"/>
        </w:rPr>
        <w:t>The Company applies the practical expedient and does not disclose information about remaining performance obligations</w:t>
      </w:r>
      <w:r>
        <w:rPr>
          <w:color w:val="000000"/>
        </w:rPr>
        <w:t xml:space="preserve"> </w:t>
      </w:r>
      <w:r>
        <w:rPr>
          <w:rFonts w:ascii="Times New Roman;serif" w:hAnsi="Times New Roman;serif"/>
          <w:b w:val="false"/>
          <w:color w:val="000000"/>
          <w:sz w:val="20"/>
        </w:rPr>
        <w:t>where (i) the performance obligation is part of a contract that has an original expected duration of one year or less or (ii) when the Company recognizes revenue from the satisfaction of the performance obligation in accordance with the right-to-invoice practical expedient.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Receivables Securitization Program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2024, the Company entered into a three-year $300.0 accounts receivable securitization program (the “Receivables Facility”). Under this program, Fortrea Inc. conveys receivable balances to a wholly-owned, bankruptcy-remote special purpose entity (“SPE”), which in turn, may sell receivables to a third-party financial institution in exchange for cash.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 All unsold accounts receivable held by the SPE are pledged as collateral to secure the collectability of the sold receivables.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the Company amended its Receivables Facility, which had been scheduled to terminate on May 6, 2027. The amended Receivables Facility is scheduled to terminate on February 23, 2029, unless terminated earlier pursuant to its terms. </w:t>
      </w:r>
    </w:p>
    <w:p>
      <w:pPr>
        <w:pStyle w:val="TextBody"/>
        <w:bidi w:val="0"/>
        <w:spacing w:lineRule="auto" w:line="288" w:before="0" w:after="180"/>
        <w:jc w:val="left"/>
        <w:rPr/>
      </w:pPr>
      <w:r>
        <w:rPr>
          <w:rFonts w:ascii="Times New Roman;serif" w:hAnsi="Times New Roman;serif"/>
          <w:b w:val="false"/>
          <w:color w:val="000000"/>
          <w:sz w:val="20"/>
        </w:rPr>
        <w:t xml:space="preserve">As of June 30, 2026, the Company had sold $300.0 of receivables, which were derecognized from the Company’s consolidated balance sheet as described in the </w:t>
      </w:r>
      <w:r>
        <w:rPr>
          <w:rFonts w:ascii="Times New Roman;serif" w:hAnsi="Times New Roman;serif"/>
          <w:b w:val="false"/>
          <w:i/>
          <w:color w:val="000000"/>
          <w:sz w:val="20"/>
        </w:rPr>
        <w:t>Accounts Receivable, Unbilled Services and Unearned Revenue</w:t>
      </w:r>
      <w:r>
        <w:rPr>
          <w:color w:val="000000"/>
        </w:rPr>
        <w:t xml:space="preserve"> </w:t>
      </w:r>
      <w:r>
        <w:rPr>
          <w:rFonts w:ascii="Times New Roman;serif" w:hAnsi="Times New Roman;serif"/>
          <w:b w:val="false"/>
          <w:color w:val="000000"/>
          <w:sz w:val="20"/>
        </w:rPr>
        <w:t xml:space="preserve">section above. Total costs associated with the sale were $4.1 and $8.8 for the three and six months ended June 30, 2026 and, $4.5 and $8.9 for the three and six months ended June 30, 2025, respectively, and are included within selling, general and administrative costs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RESTRUCTURING AND OTHER CHARGES</w:t>
      </w:r>
    </w:p>
    <w:p>
      <w:pPr>
        <w:pStyle w:val="TextBody"/>
        <w:bidi w:val="0"/>
        <w:spacing w:lineRule="auto" w:line="288" w:before="0" w:after="180"/>
        <w:jc w:val="left"/>
        <w:rPr/>
      </w:pPr>
      <w:r>
        <w:rPr>
          <w:rFonts w:ascii="Times New Roman;serif" w:hAnsi="Times New Roman;serif"/>
          <w:b w:val="false"/>
          <w:color w:val="000000"/>
          <w:sz w:val="20"/>
        </w:rPr>
        <w:t xml:space="preserve">In the fourth quarters of 2024 and 2025, the Company approved restructuring plans to streamline its operations and eliminate redundant positions. These plans, which relate primarily to severance benefits, were accounted for under ASC 712, </w:t>
      </w:r>
      <w:r>
        <w:rPr>
          <w:rFonts w:ascii="Times New Roman;serif" w:hAnsi="Times New Roman;serif"/>
          <w:b w:val="false"/>
          <w:i/>
          <w:color w:val="000000"/>
          <w:sz w:val="20"/>
        </w:rPr>
        <w:t>Compensation - Nonretirement Postemployment Benefits</w:t>
      </w:r>
      <w:r>
        <w:rPr>
          <w:rFonts w:ascii="Times New Roman;serif" w:hAnsi="Times New Roman;serif"/>
          <w:b w:val="false"/>
          <w:color w:val="000000"/>
          <w:sz w:val="20"/>
        </w:rPr>
        <w:t>. Actions under these restructuring plans are expected to continue through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Company’s restructuring accrual activities for the periods indicated:</w:t>
      </w:r>
    </w:p>
    <w:tbl>
      <w:tblPr>
        <w:tblW w:w="8549" w:type="dxa"/>
        <w:jc w:val="left"/>
        <w:tblInd w:w="0" w:type="dxa"/>
        <w:tblLayout w:type="fixed"/>
        <w:tblCellMar>
          <w:top w:w="28" w:type="dxa"/>
          <w:left w:w="28" w:type="dxa"/>
          <w:bottom w:w="28" w:type="dxa"/>
          <w:right w:w="28" w:type="dxa"/>
        </w:tblCellMar>
      </w:tblPr>
      <w:tblGrid>
        <w:gridCol w:w="1152"/>
        <w:gridCol w:w="1011"/>
        <w:gridCol w:w="1017"/>
        <w:gridCol w:w="714"/>
        <w:gridCol w:w="1734"/>
        <w:gridCol w:w="372"/>
        <w:gridCol w:w="109"/>
        <w:gridCol w:w="109"/>
        <w:gridCol w:w="109"/>
        <w:gridCol w:w="296"/>
        <w:gridCol w:w="570"/>
        <w:gridCol w:w="153"/>
        <w:gridCol w:w="109"/>
        <w:gridCol w:w="109"/>
        <w:gridCol w:w="109"/>
        <w:gridCol w:w="211"/>
        <w:gridCol w:w="51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Facility and </w:t>
              <w:b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7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49" w:type="dxa"/>
        <w:jc w:val="left"/>
        <w:tblInd w:w="0" w:type="dxa"/>
        <w:tblLayout w:type="fixed"/>
        <w:tblCellMar>
          <w:top w:w="28" w:type="dxa"/>
          <w:left w:w="28" w:type="dxa"/>
          <w:bottom w:w="28" w:type="dxa"/>
          <w:right w:w="28" w:type="dxa"/>
        </w:tblCellMar>
      </w:tblPr>
      <w:tblGrid>
        <w:gridCol w:w="1152"/>
        <w:gridCol w:w="1011"/>
        <w:gridCol w:w="1017"/>
        <w:gridCol w:w="714"/>
        <w:gridCol w:w="1734"/>
        <w:gridCol w:w="372"/>
        <w:gridCol w:w="109"/>
        <w:gridCol w:w="109"/>
        <w:gridCol w:w="109"/>
        <w:gridCol w:w="296"/>
        <w:gridCol w:w="570"/>
        <w:gridCol w:w="153"/>
        <w:gridCol w:w="109"/>
        <w:gridCol w:w="109"/>
        <w:gridCol w:w="109"/>
        <w:gridCol w:w="211"/>
        <w:gridCol w:w="51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Facility and </w:t>
              <w:b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current portion of the restructuring liabilities is included in the condensed consolidated balance sheets in accrued expenses and other current liabilities. The non-current portion of the restructuring liabilities is included in the condensed consolidated balance sheets in other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non-current portion of the restructuring liabilities as of June 30, 2026 and December 31, 2025 was $0.5 and $—,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EARNINGS (LOSS)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(“RSUs”), and performance stock units (“PSUs”).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the computation of basic and diluted earnings (loss) per share. </w:t>
      </w:r>
    </w:p>
    <w:tbl>
      <w:tblPr>
        <w:tblW w:w="10205" w:type="dxa"/>
        <w:jc w:val="left"/>
        <w:tblInd w:w="0" w:type="dxa"/>
        <w:tblLayout w:type="fixed"/>
        <w:tblCellMar>
          <w:top w:w="28" w:type="dxa"/>
          <w:left w:w="28" w:type="dxa"/>
          <w:bottom w:w="28" w:type="dxa"/>
          <w:right w:w="28" w:type="dxa"/>
        </w:tblCellMar>
      </w:tblPr>
      <w:tblGrid>
        <w:gridCol w:w="929"/>
        <w:gridCol w:w="815"/>
        <w:gridCol w:w="819"/>
        <w:gridCol w:w="109"/>
        <w:gridCol w:w="109"/>
        <w:gridCol w:w="109"/>
        <w:gridCol w:w="211"/>
        <w:gridCol w:w="563"/>
        <w:gridCol w:w="109"/>
        <w:gridCol w:w="109"/>
        <w:gridCol w:w="109"/>
        <w:gridCol w:w="109"/>
        <w:gridCol w:w="255"/>
        <w:gridCol w:w="256"/>
        <w:gridCol w:w="186"/>
        <w:gridCol w:w="109"/>
        <w:gridCol w:w="109"/>
        <w:gridCol w:w="109"/>
        <w:gridCol w:w="280"/>
        <w:gridCol w:w="758"/>
        <w:gridCol w:w="145"/>
        <w:gridCol w:w="109"/>
        <w:gridCol w:w="109"/>
        <w:gridCol w:w="109"/>
        <w:gridCol w:w="211"/>
        <w:gridCol w:w="668"/>
        <w:gridCol w:w="109"/>
        <w:gridCol w:w="109"/>
        <w:gridCol w:w="109"/>
        <w:gridCol w:w="109"/>
        <w:gridCol w:w="255"/>
        <w:gridCol w:w="256"/>
        <w:gridCol w:w="186"/>
        <w:gridCol w:w="109"/>
        <w:gridCol w:w="109"/>
        <w:gridCol w:w="109"/>
        <w:gridCol w:w="277"/>
        <w:gridCol w:w="748"/>
        <w:gridCol w:w="207"/>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919"/>
        <w:gridCol w:w="806"/>
        <w:gridCol w:w="810"/>
        <w:gridCol w:w="109"/>
        <w:gridCol w:w="109"/>
        <w:gridCol w:w="109"/>
        <w:gridCol w:w="211"/>
        <w:gridCol w:w="563"/>
        <w:gridCol w:w="109"/>
        <w:gridCol w:w="109"/>
        <w:gridCol w:w="109"/>
        <w:gridCol w:w="109"/>
        <w:gridCol w:w="255"/>
        <w:gridCol w:w="256"/>
        <w:gridCol w:w="186"/>
        <w:gridCol w:w="109"/>
        <w:gridCol w:w="109"/>
        <w:gridCol w:w="109"/>
        <w:gridCol w:w="279"/>
        <w:gridCol w:w="754"/>
        <w:gridCol w:w="144"/>
        <w:gridCol w:w="109"/>
        <w:gridCol w:w="109"/>
        <w:gridCol w:w="109"/>
        <w:gridCol w:w="211"/>
        <w:gridCol w:w="668"/>
        <w:gridCol w:w="109"/>
        <w:gridCol w:w="109"/>
        <w:gridCol w:w="109"/>
        <w:gridCol w:w="109"/>
        <w:gridCol w:w="255"/>
        <w:gridCol w:w="256"/>
        <w:gridCol w:w="186"/>
        <w:gridCol w:w="109"/>
        <w:gridCol w:w="109"/>
        <w:gridCol w:w="109"/>
        <w:gridCol w:w="256"/>
        <w:gridCol w:w="818"/>
        <w:gridCol w:w="192"/>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 There were no dilutive common shares for any period presented as the inclusion would be antidilutive.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common shares not included in the computation of diluted earnings per share because their impact would have been antidilutive:</w:t>
      </w:r>
    </w:p>
    <w:tbl>
      <w:tblPr>
        <w:tblW w:w="10205" w:type="dxa"/>
        <w:jc w:val="left"/>
        <w:tblInd w:w="0" w:type="dxa"/>
        <w:tblLayout w:type="fixed"/>
        <w:tblCellMar>
          <w:top w:w="28" w:type="dxa"/>
          <w:left w:w="28" w:type="dxa"/>
          <w:bottom w:w="28" w:type="dxa"/>
          <w:right w:w="28" w:type="dxa"/>
        </w:tblCellMar>
      </w:tblPr>
      <w:tblGrid>
        <w:gridCol w:w="2215"/>
        <w:gridCol w:w="1899"/>
        <w:gridCol w:w="1911"/>
        <w:gridCol w:w="251"/>
        <w:gridCol w:w="220"/>
        <w:gridCol w:w="205"/>
        <w:gridCol w:w="205"/>
        <w:gridCol w:w="205"/>
        <w:gridCol w:w="205"/>
        <w:gridCol w:w="251"/>
        <w:gridCol w:w="220"/>
        <w:gridCol w:w="205"/>
        <w:gridCol w:w="109"/>
        <w:gridCol w:w="109"/>
        <w:gridCol w:w="109"/>
        <w:gridCol w:w="224"/>
        <w:gridCol w:w="210"/>
        <w:gridCol w:w="187"/>
        <w:gridCol w:w="187"/>
        <w:gridCol w:w="187"/>
        <w:gridCol w:w="187"/>
        <w:gridCol w:w="224"/>
        <w:gridCol w:w="210"/>
        <w:gridCol w:w="270"/>
      </w:tblGrid>
      <w:tr>
        <w:trPr/>
        <w:tc>
          <w:tcPr>
            <w:tcW w:w="221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6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and awards</w:t>
            </w:r>
          </w:p>
        </w:tc>
        <w:tc>
          <w:tcPr>
            <w:tcW w:w="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employee stock options and awards excluded based on reporting a net loss for the period</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GOODWILL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first and second quarters of 2025, due to sustained declines in the Company’s share price and uncertainties in global macroeconomic conditions, the Company determined that indicators of impairment existed. As a result, the Company performed interim impairment tests as of March 31, 2025 and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March 31, 2025, the Company concluded that the fair value of the Clinical Development reporting unit was less than its carrying value and recorded a goodwill impairment of $488.8.</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June 30, 2025, the Company concluded that the fair value of the Clinical Development reporting unit was less than its carrying value and recorded a goodwill impairment of $309.1.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goodwill impairment tests, the fair values of the Clinical Development and Clinical Pharmacology reporting units were computed using both income-based and market-based valuation methods. The income-based approach is based on the reporting unit's forecasted future cash flows that are discounted to the present value using the reporting unit's weighted average cost of capital. The discount rate used reflects the risks inherent in realizing the forecasted cash flows and considers the risk-free rate of return on long-term treasury securities, the risk premium associated with investing in equity securities of comparable companies, the beta obtained from the comparable companies and the cost of debt for investment grade issuers. The discount rate used for the Clinical Development reporting unit quantitative assessments as of March 31, 2025 and June 30, 2025 was 10.0% and 10.5%, respectively. The increase in the discount rate was primarily the result of macroeconomic and market factors and impacted the impairment during the second quarter of 2025 by approximately $60.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The resulting estimated fair values of the combined reporting units are reconciled to the Company's market capitalization including an estimated implied control premium. The share price used to calculate the Company’s market capitalization was $7.55 per share and $4.94 per share as of March 31, 2025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six months ended June 30, 2026 and 2025 are as follows:</w:t>
      </w:r>
    </w:p>
    <w:tbl>
      <w:tblPr>
        <w:tblW w:w="8413" w:type="dxa"/>
        <w:jc w:val="left"/>
        <w:tblInd w:w="0" w:type="dxa"/>
        <w:tblLayout w:type="fixed"/>
        <w:tblCellMar>
          <w:top w:w="28" w:type="dxa"/>
          <w:left w:w="28" w:type="dxa"/>
          <w:bottom w:w="28" w:type="dxa"/>
          <w:right w:w="28" w:type="dxa"/>
        </w:tblCellMar>
      </w:tblPr>
      <w:tblGrid>
        <w:gridCol w:w="1781"/>
        <w:gridCol w:w="1564"/>
        <w:gridCol w:w="1574"/>
        <w:gridCol w:w="253"/>
        <w:gridCol w:w="741"/>
        <w:gridCol w:w="131"/>
        <w:gridCol w:w="109"/>
        <w:gridCol w:w="109"/>
        <w:gridCol w:w="109"/>
        <w:gridCol w:w="218"/>
        <w:gridCol w:w="794"/>
        <w:gridCol w:w="113"/>
        <w:gridCol w:w="109"/>
        <w:gridCol w:w="109"/>
        <w:gridCol w:w="109"/>
        <w:gridCol w:w="109"/>
        <w:gridCol w:w="109"/>
        <w:gridCol w:w="109"/>
        <w:gridCol w:w="109"/>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 and other adjustments to goodwill</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current portion of long-term debt consisted of the following:</w:t>
      </w:r>
    </w:p>
    <w:tbl>
      <w:tblPr>
        <w:tblW w:w="8214" w:type="dxa"/>
        <w:jc w:val="left"/>
        <w:tblInd w:w="0" w:type="dxa"/>
        <w:tblLayout w:type="fixed"/>
        <w:tblCellMar>
          <w:top w:w="28" w:type="dxa"/>
          <w:left w:w="28" w:type="dxa"/>
          <w:bottom w:w="28" w:type="dxa"/>
          <w:right w:w="28" w:type="dxa"/>
        </w:tblCellMar>
      </w:tblPr>
      <w:tblGrid>
        <w:gridCol w:w="1886"/>
        <w:gridCol w:w="1659"/>
        <w:gridCol w:w="1674"/>
        <w:gridCol w:w="285"/>
        <w:gridCol w:w="692"/>
        <w:gridCol w:w="147"/>
        <w:gridCol w:w="109"/>
        <w:gridCol w:w="109"/>
        <w:gridCol w:w="109"/>
        <w:gridCol w:w="422"/>
        <w:gridCol w:w="812"/>
        <w:gridCol w:w="310"/>
      </w:tblGrid>
      <w:tr>
        <w:trPr/>
        <w:tc>
          <w:tcPr>
            <w:tcW w:w="188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senior secured term loan A facility due 2028</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portion of long-term debt</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6102" w:type="dxa"/>
        <w:jc w:val="left"/>
        <w:tblInd w:w="0" w:type="dxa"/>
        <w:tblLayout w:type="fixed"/>
        <w:tblCellMar>
          <w:top w:w="28" w:type="dxa"/>
          <w:left w:w="28" w:type="dxa"/>
          <w:bottom w:w="28" w:type="dxa"/>
          <w:right w:w="28" w:type="dxa"/>
        </w:tblCellMar>
      </w:tblPr>
      <w:tblGrid>
        <w:gridCol w:w="1123"/>
        <w:gridCol w:w="988"/>
        <w:gridCol w:w="994"/>
        <w:gridCol w:w="218"/>
        <w:gridCol w:w="794"/>
        <w:gridCol w:w="113"/>
        <w:gridCol w:w="109"/>
        <w:gridCol w:w="109"/>
        <w:gridCol w:w="109"/>
        <w:gridCol w:w="288"/>
        <w:gridCol w:w="1047"/>
        <w:gridCol w:w="210"/>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7.5% senior notes due 2030</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A due 2028</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B due 2030</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2023, Fortrea entered into a credit agreement (as amended,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drew on the term loan A and term loan B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June 30, 2026, the effective interest rate on the term loan A and term loan B was 5.66% and 7.16%,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credit facility is permitted, subject to certain covenant restrictions, to be used for general corporate purposes, including working capital and capital expenditures. There were no balances outstanding on the Company’s current revolving credit facility and there were $2.3 in letters of credit issued under the letter of credit sublimit, resulting in $447.7 available for borrowing as of June 30, 2026 and December 31, 2025. As of June 30, 2026, the effective interest rate on the revolving credit facility was 5.64%, assuming a one-month interest election. There is an annual agency fee associated with the Credit Agreement ($0.1 paid in quarterly installments) and a variable commitment fee associated with the revolving credit facility based on the Company’s Total Leverage Ratio as defined under the Credit Agreement. As of June 30, 2026, the commitment fee was 0.30% (per annum and paid quarterly). The credit facility matures on June 30, 2028.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On February 28, 2025, the Company entered into an amendment to modify certain financial covenants for additional flexibility under the Credit Agreement. The Company was in compliance with all covenants in the Credit Agreement at June 30, 2026 and believes it will be in compliance with all covenants for a period of at least 12 months from the date these financial statements are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DERIVATIVE INSTRUMENTS AND HEDGING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Derivative Instruments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addresses its exposure to market risks, principally the market risk associated with changes in interest rates and foreign currency exchange rates, through a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interest rate swaps and foreign currency forward contracts are determined based on observable market inputs (Level 2). The table below presents the fair value of the Company’s derivatives on a gross basis and the balance sheet classification of those instruments:</w:t>
      </w:r>
    </w:p>
    <w:tbl>
      <w:tblPr>
        <w:tblW w:w="10205" w:type="dxa"/>
        <w:jc w:val="left"/>
        <w:tblInd w:w="0" w:type="dxa"/>
        <w:tblLayout w:type="fixed"/>
        <w:tblCellMar>
          <w:top w:w="28" w:type="dxa"/>
          <w:left w:w="28" w:type="dxa"/>
          <w:bottom w:w="28" w:type="dxa"/>
          <w:right w:w="28" w:type="dxa"/>
        </w:tblCellMar>
      </w:tblPr>
      <w:tblGrid>
        <w:gridCol w:w="1234"/>
        <w:gridCol w:w="1084"/>
        <w:gridCol w:w="1091"/>
        <w:gridCol w:w="1023"/>
        <w:gridCol w:w="1023"/>
        <w:gridCol w:w="1026"/>
        <w:gridCol w:w="109"/>
        <w:gridCol w:w="109"/>
        <w:gridCol w:w="109"/>
        <w:gridCol w:w="211"/>
        <w:gridCol w:w="406"/>
        <w:gridCol w:w="109"/>
        <w:gridCol w:w="211"/>
        <w:gridCol w:w="464"/>
        <w:gridCol w:w="109"/>
        <w:gridCol w:w="109"/>
        <w:gridCol w:w="109"/>
        <w:gridCol w:w="109"/>
        <w:gridCol w:w="211"/>
        <w:gridCol w:w="406"/>
        <w:gridCol w:w="109"/>
        <w:gridCol w:w="211"/>
        <w:gridCol w:w="464"/>
        <w:gridCol w:w="159"/>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340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072"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vMerge w:val="continue"/>
            <w:tcBorders/>
            <w:tcMar>
              <w:top w:w="0" w:type="dxa"/>
              <w:left w:w="0" w:type="dxa"/>
              <w:bottom w:w="0" w:type="dxa"/>
              <w:right w:w="0" w:type="dxa"/>
            </w:tcMar>
            <w:vAlign w:val="center"/>
          </w:tcPr>
          <w:p>
            <w:pPr>
              <w:pStyle w:val="Normal"/>
              <w:bidi w:val="0"/>
              <w:jc w:val="left"/>
              <w:rPr/>
            </w:pPr>
            <w:r>
              <w:rPr/>
            </w:r>
          </w:p>
        </w:tc>
        <w:tc>
          <w:tcPr>
            <w:tcW w:w="3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0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0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vMerge w:val="continue"/>
            <w:tcBorders/>
            <w:tcMar>
              <w:top w:w="0" w:type="dxa"/>
              <w:left w:w="0" w:type="dxa"/>
              <w:bottom w:w="0" w:type="dxa"/>
              <w:right w:w="0" w:type="dxa"/>
            </w:tcMar>
            <w:vAlign w:val="center"/>
          </w:tcPr>
          <w:p>
            <w:pPr>
              <w:pStyle w:val="Normal"/>
              <w:bidi w:val="0"/>
              <w:jc w:val="left"/>
              <w:rPr/>
            </w:pPr>
            <w:r>
              <w:rPr/>
            </w:r>
          </w:p>
        </w:tc>
        <w:tc>
          <w:tcPr>
            <w:tcW w:w="30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the Company’s interest rate swaps and foreign currency forward contracts were $150.0 and $383.7 as of June 30, 2026 and $150.0 and $305.7 as of December 31, 2025,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pre-tax effects of cash flow hedges included in the Company’s condensed consolidated statements of comprehensive loss: </w:t>
      </w:r>
    </w:p>
    <w:tbl>
      <w:tblPr>
        <w:tblW w:w="7060"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266"/>
        <w:gridCol w:w="513"/>
        <w:gridCol w:w="137"/>
        <w:gridCol w:w="137"/>
        <w:gridCol w:w="137"/>
        <w:gridCol w:w="137"/>
        <w:gridCol w:w="266"/>
        <w:gridCol w:w="608"/>
        <w:gridCol w:w="137"/>
        <w:gridCol w:w="137"/>
        <w:gridCol w:w="137"/>
        <w:gridCol w:w="137"/>
        <w:gridCol w:w="266"/>
        <w:gridCol w:w="513"/>
        <w:gridCol w:w="137"/>
        <w:gridCol w:w="137"/>
        <w:gridCol w:w="137"/>
        <w:gridCol w:w="137"/>
        <w:gridCol w:w="266"/>
        <w:gridCol w:w="608"/>
        <w:gridCol w:w="19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Pre-Tax Gain (Loss) Included in Other Comprehensive (Loss) Income</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8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7"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7"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7"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94"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The following table presents amounts reclassified out of accumulated other comprehensive loss</w:t>
      </w:r>
      <w:r>
        <w:rPr>
          <w:color w:val="EE2724"/>
        </w:rPr>
        <w:t xml:space="preserve"> </w:t>
      </w:r>
      <w:r>
        <w:rPr>
          <w:rFonts w:ascii="Times New Roman;serif" w:hAnsi="Times New Roman;serif"/>
          <w:b w:val="false"/>
          <w:color w:val="000000"/>
          <w:sz w:val="20"/>
        </w:rPr>
        <w:t xml:space="preserve">and recognized in the condensed consolidated statements of operations: </w:t>
      </w:r>
    </w:p>
    <w:tbl>
      <w:tblPr>
        <w:tblW w:w="9918" w:type="dxa"/>
        <w:jc w:val="left"/>
        <w:tblInd w:w="0" w:type="dxa"/>
        <w:tblLayout w:type="fixed"/>
        <w:tblCellMar>
          <w:top w:w="28" w:type="dxa"/>
          <w:left w:w="28" w:type="dxa"/>
          <w:bottom w:w="28" w:type="dxa"/>
          <w:right w:w="28" w:type="dxa"/>
        </w:tblCellMar>
      </w:tblPr>
      <w:tblGrid>
        <w:gridCol w:w="575"/>
        <w:gridCol w:w="505"/>
        <w:gridCol w:w="509"/>
        <w:gridCol w:w="969"/>
        <w:gridCol w:w="969"/>
        <w:gridCol w:w="972"/>
        <w:gridCol w:w="109"/>
        <w:gridCol w:w="109"/>
        <w:gridCol w:w="109"/>
        <w:gridCol w:w="263"/>
        <w:gridCol w:w="507"/>
        <w:gridCol w:w="136"/>
        <w:gridCol w:w="136"/>
        <w:gridCol w:w="136"/>
        <w:gridCol w:w="136"/>
        <w:gridCol w:w="263"/>
        <w:gridCol w:w="601"/>
        <w:gridCol w:w="136"/>
        <w:gridCol w:w="136"/>
        <w:gridCol w:w="136"/>
        <w:gridCol w:w="136"/>
        <w:gridCol w:w="263"/>
        <w:gridCol w:w="507"/>
        <w:gridCol w:w="136"/>
        <w:gridCol w:w="136"/>
        <w:gridCol w:w="136"/>
        <w:gridCol w:w="136"/>
        <w:gridCol w:w="263"/>
        <w:gridCol w:w="601"/>
        <w:gridCol w:w="192"/>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Reclassified from Other Comprehensive Loss into Earnings</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8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910" w:type="dxa"/>
            <w:gridSpan w:val="3"/>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6"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6"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6"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2"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amount of pre-tax net losses included in other comprehensive (loss) income that is expected to be reclassified into earnings over the twelve months following June 30, 2026, is $0.3.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Refer to Note 9, “Preferred Stock and Common Shareholders' Equity” for the impact of the Company’s derivative instruments included in 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gains and losses for derivative contracts not designated as hedges included in the Company’s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955"/>
        <w:gridCol w:w="838"/>
        <w:gridCol w:w="844"/>
        <w:gridCol w:w="880"/>
        <w:gridCol w:w="880"/>
        <w:gridCol w:w="883"/>
        <w:gridCol w:w="109"/>
        <w:gridCol w:w="109"/>
        <w:gridCol w:w="109"/>
        <w:gridCol w:w="250"/>
        <w:gridCol w:w="562"/>
        <w:gridCol w:w="129"/>
        <w:gridCol w:w="129"/>
        <w:gridCol w:w="129"/>
        <w:gridCol w:w="129"/>
        <w:gridCol w:w="250"/>
        <w:gridCol w:w="482"/>
        <w:gridCol w:w="129"/>
        <w:gridCol w:w="109"/>
        <w:gridCol w:w="109"/>
        <w:gridCol w:w="109"/>
        <w:gridCol w:w="231"/>
        <w:gridCol w:w="518"/>
        <w:gridCol w:w="119"/>
        <w:gridCol w:w="119"/>
        <w:gridCol w:w="119"/>
        <w:gridCol w:w="119"/>
        <w:gridCol w:w="231"/>
        <w:gridCol w:w="445"/>
        <w:gridCol w:w="181"/>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(Loss) Gain on Derivatives Recognized in Earnings</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37"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643"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9"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9"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9"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1"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COMMITMENTS AND CONTINGENT LIABILITIES </w:t>
      </w:r>
    </w:p>
    <w:p>
      <w:pPr>
        <w:pStyle w:val="TextBody"/>
        <w:bidi w:val="0"/>
        <w:spacing w:lineRule="auto" w:line="288" w:before="0" w:after="180"/>
        <w:jc w:val="left"/>
        <w:rPr/>
      </w:pPr>
      <w:r>
        <w:rPr>
          <w:rFonts w:ascii="Times New Roman;serif" w:hAnsi="Times New Roman;serif"/>
          <w:b w:val="false"/>
          <w:color w:val="000000"/>
          <w:sz w:val="20"/>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serif" w:hAnsi="Times New Roman;serif"/>
          <w:b w:val="false"/>
          <w:i/>
          <w:color w:val="000000"/>
          <w:sz w:val="20"/>
        </w:rPr>
        <w:t>Contingencies</w:t>
      </w:r>
      <w:r>
        <w:rPr>
          <w:rFonts w:ascii="Times New Roman;serif" w:hAnsi="Times New Roman;serif"/>
          <w:b w:val="false"/>
          <w:color w:val="000000"/>
          <w:sz w:val="20"/>
        </w:rPr>
        <w:t>, the Company establishes reserves for claims and legal actions when those matters present loss contingencies that are both probable and estimable. When loss contingencies are not both probable and estimable, the Company does not establish reserves. The outcomes of such proceedings are inherently unpredictable and subject to significant uncertainties. When the Company determines that it has a meritorious defense to any claims asserted, the Company defends itself vigorously; however the Company also considers and enters into discussions regarding settlement of disputes, and may enter into settlement agreements, if in management’s judgment, it is in the best interest of the Company to do so. For the three and six months ended June 30, 2025, the Company recorded legal expenses of $— and $1.9 related to the settlement of legal matters initiated prior to the Spin. Legal settlement expenses for the three and six months ended June 30, 2026 we</w:t>
      </w:r>
      <w:r>
        <w:rPr>
          <w:rFonts w:ascii="Times New Roman;serif" w:hAnsi="Times New Roman;serif"/>
          <w:b w:val="false"/>
          <w:color w:val="000000"/>
          <w:sz w:val="20"/>
          <w:shd w:fill="FFFFFF" w:val="clear"/>
        </w:rPr>
        <w:t>re not</w:t>
      </w:r>
      <w:r>
        <w:rPr>
          <w:color w:val="000000"/>
        </w:rPr>
        <w:t xml:space="preserve"> </w:t>
      </w:r>
      <w:r>
        <w:rPr>
          <w:rFonts w:ascii="Times New Roman;serif" w:hAnsi="Times New Roman;serif"/>
          <w:b w:val="false"/>
          <w:color w:val="000000"/>
          <w:sz w:val="20"/>
        </w:rPr>
        <w:t>significant. The Company does not believe that any liabilities resulting from claims and legal actions will have a material effect on its financial condition, results of operations or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6, 2026, Thermo Fisher Scientific Inc., Clario Holdings, Inc., and eResearch Technology, Inc. d/b/a Clario (collectively, the “Plaintiffs”) filed an action in the Court of Chancery of the State of Delaware against Jason Knoblauch and the Company challenging the Company’s appointment of Mr. Knoblauch as Chief Financial Officer. Plaintiffs allege that Mr. Knoblauch’s employment by the Company violates restrictive covenants and that he retained confidential information belonging to Plaintiffs. Plaintiffs sought expedited proceedings and temporary and preliminary injunctive relief. On July 25, 2026, the Court entered a temporary restraining order temporarily prohibiting Mr. Knoblauch from performing services for the Company pending further order of the Court. The Company disagrees with Plaintiffs’ allegations but is complying with the Court’s order and intends to defend the action. In light of the order, the Company’s Board of Directors appointed board member David R. Smith, to serve as interim Chief Financial Officer and principal financial officer, effective July 27, 2026. A hearing on Plaintiffs’ motion for a preliminary injunction is expected to be scheduled for early September.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2, 2025, a purported shareholder class action complaint captioned Lucas Deslande v. Fortrea Holdings Inc., et al., No 1:25-cv-04630 was filed in the U.S. District Court for the Southern District of New York, naming the Company and certain of its current and former officers as defendants. The complaint alleges that defendants made omissions and misrepresentations to investors that they claim violated certain securities laws. The Construction Industry Laborers Pension Fund and City of Pontiac Reestablished General Employees Retirement System were appointed as lead plaintiffs on September 3, 2025, and the lead plaintiffs filed an amended complaint on November 10, 2025. The Company filed a motion to dismiss the amended complaint on January 28, 2026. Lead plaintiffs filed their opposition to the Company’s motion to dismiss on March 19, 2026. The Company filed its reply to the lead plaintiffs’ opposition to the Company’s motion to dismiss on April 9, 2026. The Company believes it has valid defenses to the claims alleged and intends to vigorously defend itself, but there is no guarantee that the Company will prevail. The case is at a very early stage and the Company is unable to estimate the possible loss or range of loss, if any, associated with this action.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PREFERRED STOCK AND COMMON SHAREHOLDERS’ EQUITY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265.0 shares of common stock, par value $0.001 per share. The Company is authorized to issue up to 30.0 shares of preferred stock, par value $0.001 per share. There were no preferred shares outstanding as of June 30, 2026 and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11, 2025, the Company’s Board of Directors adopted a limited duration stockholder rights plan (the “Rights Agreement”). Pursuant to the Rights Agreement, on June 11, 2025, the Company’s Board of Directors declared a dividend of one preferred share purchase right (a “Right”) for each share of common stock, par value $0.001 per share, of the Company (the “Common Shares”) outstanding on June 23, 2025 to the stockholders of record on that date. Each Right entitles the registered holder to purchase from the Company one one thousandth of a share of Series A Preferred Stock, par value $0.001 per share, of the Company (the “Preferred Shares”) at a price of $50.00 per one one thousandth of a Preferred Share represented by a Right, subject to adjustment.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Rights Agreement expired in accordance with its terms at the close of business on June 10,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1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recognized income tax expenses of $12.0 and $4.2, respectively, which resulted in effective tax rates of (1000.0)% and (1.1)%, respectively. The effective tax rate for the three months ended June 30, 2026 was lower than the Company’s statutory tax rate primarily due to an increase in valuation allowance, non-deductible compensation expenses, earnings taxed in jurisdictions with higher tax rates and withholding taxes for 2026 non-U.S. earnings that are not permanently reinvested. For the three months ended June 30, 2025, the Company’s effective tax rate was lower than the Company’s statutory tax rate primarily due to impairment of goodwill that has no tax benefit, an increase in valuation allowance of deferred tax assets, BEAT, non-deductible compensation expenses and withholding taxes for 2025 non-U.S. earnings that are not permanently reinvested.</w:t>
      </w:r>
    </w:p>
    <w:p>
      <w:pPr>
        <w:pStyle w:val="TextBody"/>
        <w:bidi w:val="0"/>
        <w:spacing w:lineRule="auto" w:line="288" w:before="0" w:after="180"/>
        <w:ind w:left="0" w:right="0" w:firstLine="317"/>
        <w:jc w:val="left"/>
        <w:rPr/>
      </w:pPr>
      <w:r>
        <w:rPr>
          <w:rFonts w:ascii="Times New Roman;serif" w:hAnsi="Times New Roman;serif"/>
          <w:b w:val="false"/>
          <w:color w:val="000000"/>
          <w:sz w:val="20"/>
        </w:rPr>
        <w:t>For the six months ended June 30, 2026 and 2025, the Company recognized income tax expense of</w:t>
      </w:r>
      <w:r>
        <w:rPr>
          <w:color w:val="EE2724"/>
        </w:rPr>
        <w:t xml:space="preserve"> </w:t>
      </w:r>
      <w:r>
        <w:rPr>
          <w:rFonts w:ascii="Times New Roman;serif" w:hAnsi="Times New Roman;serif"/>
          <w:b w:val="false"/>
          <w:color w:val="000000"/>
          <w:sz w:val="20"/>
        </w:rPr>
        <w:t>$23.3 and $19.1, respectively, which resulted in effective tax rates of (172.6)% and (2.1)%, respectively. The effective tax rate for the six months ended June 30, 2026 was lower than the Company’s statutory tax rate primarily due to an increase in valuation allowance, non-deductible compensation expenses, earnings taxed in jurisdictions with higher tax rates and withholding taxes for 2026 non-U.S. earnings that are not permanently reinvested. For the six months ended June 30, 2025, the Company’s effective tax rate was lower than the Company’s statutory tax rate primarily due to impairment of goodwill that has no tax benefit, an increase in valuation allowance of deferred tax assets, BEAT, non-deductible compensation expenses and withholding taxes for 2025 non-U.S. earnings that are not permanently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STOCK COMPENSATION PLANS</w:t>
      </w:r>
    </w:p>
    <w:p>
      <w:pPr>
        <w:pStyle w:val="TextBody"/>
        <w:bidi w:val="0"/>
        <w:spacing w:lineRule="auto" w:line="288" w:before="0" w:after="180"/>
        <w:ind w:left="0" w:right="0" w:firstLine="317"/>
        <w:jc w:val="left"/>
        <w:rPr/>
      </w:pPr>
      <w:r>
        <w:rPr>
          <w:rFonts w:ascii="Times New Roman;serif" w:hAnsi="Times New Roman;serif"/>
          <w:b w:val="false"/>
          <w:color w:val="000000"/>
          <w:sz w:val="20"/>
        </w:rPr>
        <w:t>The Company granted 0.4 and 2.3 restricted stock units, respectively, during the three and six months ended June 30, 2026 with weighted average grant date fair values of $15.45</w:t>
      </w:r>
      <w:r>
        <w:rPr>
          <w:color w:val="EE2724"/>
        </w:rPr>
        <w:t xml:space="preserve"> </w:t>
      </w:r>
      <w:r>
        <w:rPr>
          <w:rFonts w:ascii="Times New Roman;serif" w:hAnsi="Times New Roman;serif"/>
          <w:b w:val="false"/>
          <w:color w:val="000000"/>
          <w:sz w:val="20"/>
        </w:rPr>
        <w:t>and</w:t>
      </w:r>
      <w:r>
        <w:rPr>
          <w:color w:val="EE2724"/>
        </w:rPr>
        <w:t xml:space="preserve"> </w:t>
      </w:r>
      <w:r>
        <w:rPr>
          <w:rFonts w:ascii="Times New Roman;serif" w:hAnsi="Times New Roman;serif"/>
          <w:b w:val="false"/>
          <w:color w:val="000000"/>
          <w:sz w:val="20"/>
        </w:rPr>
        <w:t>$10.54 per share. The Company granted — and 0.9 performance stock units, respectively, during the three and six months ended June 30, 2026 with weighted average grant date fair values of $—</w:t>
      </w:r>
      <w:r>
        <w:rPr>
          <w:color w:val="EE2724"/>
        </w:rPr>
        <w:t xml:space="preserve"> </w:t>
      </w:r>
      <w:r>
        <w:rPr>
          <w:rFonts w:ascii="Times New Roman;serif" w:hAnsi="Times New Roman;serif"/>
          <w:b w:val="false"/>
          <w:color w:val="000000"/>
          <w:sz w:val="20"/>
        </w:rPr>
        <w:t>and</w:t>
      </w:r>
      <w:r>
        <w:rPr>
          <w:color w:val="EE2724"/>
        </w:rPr>
        <w:t xml:space="preserve"> </w:t>
      </w:r>
      <w:r>
        <w:rPr>
          <w:rFonts w:ascii="Times New Roman;serif" w:hAnsi="Times New Roman;serif"/>
          <w:b w:val="false"/>
          <w:color w:val="000000"/>
          <w:sz w:val="20"/>
        </w:rPr>
        <w:t>$11.66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the associated income tax benefits recognized by the Company in the condensed consolidated statements of operations were as follows:</w:t>
      </w:r>
    </w:p>
    <w:tbl>
      <w:tblPr>
        <w:tblW w:w="8438" w:type="dxa"/>
        <w:jc w:val="left"/>
        <w:tblInd w:w="0" w:type="dxa"/>
        <w:tblLayout w:type="fixed"/>
        <w:tblCellMar>
          <w:top w:w="28" w:type="dxa"/>
          <w:left w:w="28" w:type="dxa"/>
          <w:bottom w:w="28" w:type="dxa"/>
          <w:right w:w="28" w:type="dxa"/>
        </w:tblCellMar>
      </w:tblPr>
      <w:tblGrid>
        <w:gridCol w:w="1351"/>
        <w:gridCol w:w="1186"/>
        <w:gridCol w:w="1198"/>
        <w:gridCol w:w="240"/>
        <w:gridCol w:w="582"/>
        <w:gridCol w:w="124"/>
        <w:gridCol w:w="124"/>
        <w:gridCol w:w="124"/>
        <w:gridCol w:w="124"/>
        <w:gridCol w:w="240"/>
        <w:gridCol w:w="582"/>
        <w:gridCol w:w="124"/>
        <w:gridCol w:w="109"/>
        <w:gridCol w:w="109"/>
        <w:gridCol w:w="109"/>
        <w:gridCol w:w="219"/>
        <w:gridCol w:w="531"/>
        <w:gridCol w:w="113"/>
        <w:gridCol w:w="113"/>
        <w:gridCol w:w="113"/>
        <w:gridCol w:w="113"/>
        <w:gridCol w:w="219"/>
        <w:gridCol w:w="531"/>
        <w:gridCol w:w="160"/>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1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SUPPLEMENTAL CASH FLOW INFORMATION</w:t>
      </w:r>
    </w:p>
    <w:tbl>
      <w:tblPr>
        <w:tblW w:w="6251" w:type="dxa"/>
        <w:jc w:val="left"/>
        <w:tblInd w:w="0" w:type="dxa"/>
        <w:tblLayout w:type="fixed"/>
        <w:tblCellMar>
          <w:top w:w="28" w:type="dxa"/>
          <w:left w:w="28" w:type="dxa"/>
          <w:bottom w:w="28" w:type="dxa"/>
          <w:right w:w="28" w:type="dxa"/>
        </w:tblCellMar>
      </w:tblPr>
      <w:tblGrid>
        <w:gridCol w:w="1498"/>
        <w:gridCol w:w="1319"/>
        <w:gridCol w:w="1322"/>
        <w:gridCol w:w="219"/>
        <w:gridCol w:w="531"/>
        <w:gridCol w:w="113"/>
        <w:gridCol w:w="113"/>
        <w:gridCol w:w="113"/>
        <w:gridCol w:w="113"/>
        <w:gridCol w:w="219"/>
        <w:gridCol w:w="531"/>
        <w:gridCol w:w="160"/>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cash flow information:</w:t>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period for:</w:t>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of non-cash investing activities:</w:t>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property, plant and equipment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BUSINESS SEGMENT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segment information for the three and six months ended June 30, 2026 and 2025.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CODM allocates resources and assesses performance based on the underlying businesses which determines the Company's operating segments. When determining the reportable segments, the Company aggregated operating segments based on their similar economic and operating characteristics. The Company reports its business in one reportable segment: Clinical Services, which provides phase I-IV clinical trials, including clinical pharmacology and comprehensive clinical development capabilities. The measure of segment profit or loss that the CODM uses to evaluate performance and allocate resources is segment operating income. The CODM uses segment operating income to monitor budget versus actual results and to make decisions about resources to be allocated to the segment and assess its performance.</w:t>
      </w:r>
    </w:p>
    <w:p>
      <w:pPr>
        <w:pStyle w:val="TextBody"/>
        <w:bidi w:val="0"/>
        <w:spacing w:lineRule="auto" w:line="288" w:before="0" w:after="180"/>
        <w:jc w:val="left"/>
        <w:rPr/>
      </w:pPr>
      <w:r>
        <w:rPr>
          <w:rFonts w:ascii="Times New Roman;serif" w:hAnsi="Times New Roman;serif"/>
          <w:b w:val="false"/>
          <w:color w:val="000000"/>
          <w:sz w:val="20"/>
        </w:rPr>
        <w:t>In accordance with ASU 2023-07,</w:t>
      </w:r>
      <w:r>
        <w:rPr>
          <w:color w:val="000000"/>
        </w:rPr>
        <w:t xml:space="preserve"> </w:t>
      </w:r>
      <w:r>
        <w:rPr>
          <w:rFonts w:ascii="Times New Roman;serif" w:hAnsi="Times New Roman;serif"/>
          <w:b w:val="false"/>
          <w:i/>
          <w:color w:val="000000"/>
          <w:sz w:val="20"/>
        </w:rPr>
        <w:t>Improvements to Reportable Segment Disclosures</w:t>
      </w:r>
      <w:r>
        <w:rPr>
          <w:rFonts w:ascii="Times New Roman;serif" w:hAnsi="Times New Roman;serif"/>
          <w:b w:val="false"/>
          <w:color w:val="000000"/>
          <w:sz w:val="20"/>
        </w:rPr>
        <w:t>, significant expenses included within segment operating income have been assessed and disclosed in the table below. Corporate costs not included in the segment operating income measure provided to the CODM are included within “Corporate costs not included in segment operating income.” Segment asset information is not presented because it is not used by the CODM at the segment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Segment operating income for the three and six months ended June 30, 2026 and 2025 is reconciled to loss before income taxes as follows:</w:t>
      </w:r>
    </w:p>
    <w:tbl>
      <w:tblPr>
        <w:tblW w:w="10004" w:type="dxa"/>
        <w:jc w:val="left"/>
        <w:tblInd w:w="0" w:type="dxa"/>
        <w:tblLayout w:type="fixed"/>
        <w:tblCellMar>
          <w:top w:w="28" w:type="dxa"/>
          <w:left w:w="28" w:type="dxa"/>
          <w:bottom w:w="28" w:type="dxa"/>
          <w:right w:w="28" w:type="dxa"/>
        </w:tblCellMar>
      </w:tblPr>
      <w:tblGrid>
        <w:gridCol w:w="1762"/>
        <w:gridCol w:w="1544"/>
        <w:gridCol w:w="1553"/>
        <w:gridCol w:w="211"/>
        <w:gridCol w:w="616"/>
        <w:gridCol w:w="109"/>
        <w:gridCol w:w="109"/>
        <w:gridCol w:w="109"/>
        <w:gridCol w:w="109"/>
        <w:gridCol w:w="211"/>
        <w:gridCol w:w="691"/>
        <w:gridCol w:w="109"/>
        <w:gridCol w:w="109"/>
        <w:gridCol w:w="109"/>
        <w:gridCol w:w="109"/>
        <w:gridCol w:w="211"/>
        <w:gridCol w:w="766"/>
        <w:gridCol w:w="109"/>
        <w:gridCol w:w="109"/>
        <w:gridCol w:w="109"/>
        <w:gridCol w:w="109"/>
        <w:gridCol w:w="211"/>
        <w:gridCol w:w="766"/>
        <w:gridCol w:w="154"/>
      </w:tblGrid>
      <w:tr>
        <w:trPr/>
        <w:tc>
          <w:tcPr>
            <w:tcW w:w="176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Pass through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not included in segment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(in millions)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is intended to provide a summary of significant factors relevant to the financial performance and condition of Fortrea Holdings Inc., which we refer to in this discussion and analysis as “Fortrea,” the “Company,” “our” and “we”. Prior to the spin-off which was completed on June 30, 2023 (the “Spin” or “the Separation”), Fortrea existed and functioned as part of Labcorp Holdings Inc., which we refer to in this discussion and analysis as “Labcorp” or “Former Parent.” The following discussion and analysis of our financial condition and results of operations should be read in conjunction with our audited consolidated and combined financial statements and corresponding notes included in our Annual Report on Form 10-K for the year ended December 31, 2025 (the “Form 10-K”) and our unaudited condensed consolidated financial statements and corresponding notes in Item 1. “Financial Statements.”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the “Risk Factors” Section of our Form 10-K, as filed with the SEC. Factors that could cause actual results to differ from those reflected in forward-looking statements relating to our operations and business include, among other things: our dependence on third parties generally to provide services critical to our businesses; our ability to successfully implement our business strategies and execute our long-term value creation strategy; the possibility that Delaware law, our organizational documents, our stockholder rights agreement, and our existing and future debt agreements may impede or discourage a takeover; risks and expenses associated with our international operations including but not limited to currency fluctuations and trade policies; our customer or therapeutic area concentrations; our adoption and use of technology within our business and the risks that we may not be able to capture the anticipated benefits of such technology or that such technology may have negative effects; the outcome and impact of pending or future litigation; any deterioration in the macroeconomic environment, particularly within the pharmaceutical and biotechnology industries, which could lead to defaults or cancellations by our customers; the risk that our backlog and net new business may not grow to the extent we anticipate over a specified period of time,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and other factors described in the Form 10-K and from time to time in documents that we file with the SEC.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Annual Report on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76" w:before="0" w:after="180"/>
        <w:jc w:val="left"/>
        <w:rPr/>
      </w:pPr>
      <w:r>
        <w:rPr>
          <w:rFonts w:ascii="Times New Roman;serif" w:hAnsi="Times New Roman;serif"/>
          <w:b w:val="false"/>
          <w:color w:val="000000"/>
          <w:sz w:val="20"/>
        </w:rPr>
        <w:t>Fortrea, a Delaware corporation incorporated on January 31, 2023, is a leading global contract research organization (“CRO”) providing biopharmaceutical product and medical device development solutions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and therapeutic expertise, clinical data insights, technology innovation (including Fortrea Intelligent Technology</w:t>
      </w:r>
      <w:r>
        <w:rPr>
          <w:rFonts w:ascii="Times New Roman;serif" w:hAnsi="Times New Roman;serif"/>
          <w:b w:val="false"/>
          <w:color w:val="000000"/>
          <w:sz w:val="13"/>
        </w:rPr>
        <w:t>TM</w:t>
      </w:r>
      <w:r>
        <w:rPr>
          <w:rFonts w:ascii="Times New Roman;serif" w:hAnsi="Times New Roman;serif"/>
          <w:b w:val="false"/>
          <w:color w:val="000000"/>
          <w:sz w:val="20"/>
        </w:rPr>
        <w:t>),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team of approximately 14,000 employees is able to conduct operations in approximately 100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amounts that have been recognized as revenue in our statements of operations. Our backlog was $7.8 billion as of June 30,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a further discussion of the risks relating to our business, see the “Risk Factors” section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Three and Six Months Ended June 30, 2026 compared with Three and Six Months Ended June 30,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financial measures that management considers to be the most significant indicators of the Company's performance. The Company defines organic growth as the change in revenues and direct costs excluding the year over year impact of foreign currency translation.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Revenues</w:t>
      </w:r>
    </w:p>
    <w:tbl>
      <w:tblPr>
        <w:tblW w:w="8403" w:type="dxa"/>
        <w:jc w:val="left"/>
        <w:tblInd w:w="0" w:type="dxa"/>
        <w:tblLayout w:type="fixed"/>
        <w:tblCellMar>
          <w:top w:w="28" w:type="dxa"/>
          <w:left w:w="28" w:type="dxa"/>
          <w:bottom w:w="28" w:type="dxa"/>
          <w:right w:w="28" w:type="dxa"/>
        </w:tblCellMar>
      </w:tblPr>
      <w:tblGrid>
        <w:gridCol w:w="332"/>
        <w:gridCol w:w="291"/>
        <w:gridCol w:w="293"/>
        <w:gridCol w:w="217"/>
        <w:gridCol w:w="634"/>
        <w:gridCol w:w="112"/>
        <w:gridCol w:w="112"/>
        <w:gridCol w:w="112"/>
        <w:gridCol w:w="112"/>
        <w:gridCol w:w="217"/>
        <w:gridCol w:w="634"/>
        <w:gridCol w:w="112"/>
        <w:gridCol w:w="109"/>
        <w:gridCol w:w="109"/>
        <w:gridCol w:w="109"/>
        <w:gridCol w:w="239"/>
        <w:gridCol w:w="241"/>
        <w:gridCol w:w="367"/>
        <w:gridCol w:w="109"/>
        <w:gridCol w:w="109"/>
        <w:gridCol w:w="109"/>
        <w:gridCol w:w="211"/>
        <w:gridCol w:w="766"/>
        <w:gridCol w:w="109"/>
        <w:gridCol w:w="109"/>
        <w:gridCol w:w="109"/>
        <w:gridCol w:w="109"/>
        <w:gridCol w:w="211"/>
        <w:gridCol w:w="766"/>
        <w:gridCol w:w="109"/>
        <w:gridCol w:w="109"/>
        <w:gridCol w:w="109"/>
        <w:gridCol w:w="109"/>
        <w:gridCol w:w="239"/>
        <w:gridCol w:w="241"/>
        <w:gridCol w:w="41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revenues for the three months ended June 30, 2026 were $678.2, a decrease of 4.5% from revenues of $710.3 in the corresponding period in 2025. The change in revenues was due to a decrease in organic revenues of 4.9%, partially offset by favorable foreign currency translation of 0.4%. The 4.9% decrease in organic revenues was due to lower pass through costs as well as lower demand for our functional service provider business. These decreases were partially offset by an increase in our clinical pharmacology business, driven by an increase in net new business and study mix.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revenues for the six months ended June 30, 2026 were $1,314.7, a decrease of 3.4% from revenues of $1,361.6 in the corresponding period in 2025. The change in revenues was due to a decrease in organic revenues of 4.0%, partially offset by favorable foreign currency translation of 0.6%. The 4.0% decrease in organic revenues was due to lower pass through costs as well as lower demand for our functional service provider business. These decreases were partially offset by an increase in our clinical pharmacology business, driven by an increase in net new business and study mix.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Direct Costs, Exclusive of Depreciation and Amortization</w:t>
      </w:r>
    </w:p>
    <w:tbl>
      <w:tblPr>
        <w:tblW w:w="10205" w:type="dxa"/>
        <w:jc w:val="left"/>
        <w:tblInd w:w="0" w:type="dxa"/>
        <w:tblLayout w:type="fixed"/>
        <w:tblCellMar>
          <w:top w:w="28" w:type="dxa"/>
          <w:left w:w="28" w:type="dxa"/>
          <w:bottom w:w="28" w:type="dxa"/>
          <w:right w:w="28" w:type="dxa"/>
        </w:tblCellMar>
      </w:tblPr>
      <w:tblGrid>
        <w:gridCol w:w="802"/>
        <w:gridCol w:w="686"/>
        <w:gridCol w:w="673"/>
        <w:gridCol w:w="211"/>
        <w:gridCol w:w="616"/>
        <w:gridCol w:w="271"/>
        <w:gridCol w:w="109"/>
        <w:gridCol w:w="109"/>
        <w:gridCol w:w="109"/>
        <w:gridCol w:w="211"/>
        <w:gridCol w:w="616"/>
        <w:gridCol w:w="271"/>
        <w:gridCol w:w="109"/>
        <w:gridCol w:w="109"/>
        <w:gridCol w:w="109"/>
        <w:gridCol w:w="231"/>
        <w:gridCol w:w="233"/>
        <w:gridCol w:w="367"/>
        <w:gridCol w:w="109"/>
        <w:gridCol w:w="109"/>
        <w:gridCol w:w="109"/>
        <w:gridCol w:w="211"/>
        <w:gridCol w:w="766"/>
        <w:gridCol w:w="271"/>
        <w:gridCol w:w="109"/>
        <w:gridCol w:w="109"/>
        <w:gridCol w:w="109"/>
        <w:gridCol w:w="211"/>
        <w:gridCol w:w="766"/>
        <w:gridCol w:w="271"/>
        <w:gridCol w:w="109"/>
        <w:gridCol w:w="109"/>
        <w:gridCol w:w="109"/>
        <w:gridCol w:w="231"/>
        <w:gridCol w:w="233"/>
        <w:gridCol w:w="422"/>
      </w:tblGrid>
      <w:tr>
        <w:trPr/>
        <w:tc>
          <w:tcPr>
            <w:tcW w:w="80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as a % of revenues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7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7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7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consist primarily of payroll and related benefits for project-related employees, reimbursable expenses (pass through costs), information technology costs, and other direct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decreased 6.6% during the three months ended June 30, 2026 as compared with the corresponding period in 2025. The change in direct costs was due to a decrease in organic direct costs of 7.4%, partially offset by unfavorable foreign currency translation of 0.8%. Direct costs decreased as a percentage of revenues to 79.5% during the three months ended June 30, 2026 as compared to 81.2% in the corresponding period in 2025. The 7.4% decrease in organic direct costs was primarily due to lower pass through and stock-based compensation costs, as well as lower personnel costs, including the benefit of restructuring actions. These decreases were partially offset by a year over year increase in variable compensation expense and clinical pharmacology study related costs.</w:t>
      </w:r>
    </w:p>
    <w:p>
      <w:pPr>
        <w:pStyle w:val="TextBody"/>
        <w:bidi w:val="0"/>
        <w:spacing w:lineRule="auto" w:line="288" w:before="0" w:after="180"/>
        <w:jc w:val="left"/>
        <w:rPr/>
      </w:pPr>
      <w:r>
        <w:rPr>
          <w:rFonts w:ascii="Times New Roman;serif" w:hAnsi="Times New Roman;serif"/>
          <w:b w:val="false"/>
          <w:color w:val="000000"/>
          <w:sz w:val="20"/>
        </w:rPr>
        <w:t>Direct costs decreased 5.4% during the six months ended June 30, 2026 as compared with the corresponding period in 2025. The change in direct costs was due to a decrease in organic direct costs of 6.9%, partially offset by unfavorable foreign currency translation of 1.5%. Direct costs decreased as a percentage of revenues to 80.0% during the six months ended June 30, 2026 as compared to 81.6% in the corresponding period in 2025. The 6.9% decrease in organic direct costs was primarily due to lower pass through and stock-based compensation costs, as well as lower personnel costs, including the benefit of restructuring actions. These</w:t>
      </w:r>
      <w:r>
        <w:rPr>
          <w:color w:val="EE2724"/>
        </w:rPr>
        <w:t xml:space="preserve"> </w:t>
      </w:r>
      <w:r>
        <w:rPr>
          <w:rFonts w:ascii="Times New Roman;serif" w:hAnsi="Times New Roman;serif"/>
          <w:b w:val="false"/>
          <w:color w:val="000000"/>
          <w:sz w:val="20"/>
        </w:rPr>
        <w:t>decreases</w:t>
      </w:r>
      <w:r>
        <w:rPr>
          <w:color w:val="EE2724"/>
        </w:rPr>
        <w:t xml:space="preserve"> </w:t>
      </w:r>
      <w:r>
        <w:rPr>
          <w:rFonts w:ascii="Times New Roman;serif" w:hAnsi="Times New Roman;serif"/>
          <w:b w:val="false"/>
          <w:color w:val="000000"/>
          <w:sz w:val="20"/>
        </w:rPr>
        <w:t>were partially offset by a year over year increase in variable compensation expense and clinical pharmacology study related costs.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Exclusive of Depreciation and Amortization</w:t>
      </w:r>
    </w:p>
    <w:tbl>
      <w:tblPr>
        <w:tblW w:w="10205" w:type="dxa"/>
        <w:jc w:val="left"/>
        <w:tblInd w:w="0" w:type="dxa"/>
        <w:tblLayout w:type="fixed"/>
        <w:tblCellMar>
          <w:top w:w="28" w:type="dxa"/>
          <w:left w:w="28" w:type="dxa"/>
          <w:bottom w:w="28" w:type="dxa"/>
          <w:right w:w="28" w:type="dxa"/>
        </w:tblCellMar>
      </w:tblPr>
      <w:tblGrid>
        <w:gridCol w:w="1040"/>
        <w:gridCol w:w="913"/>
        <w:gridCol w:w="916"/>
        <w:gridCol w:w="214"/>
        <w:gridCol w:w="627"/>
        <w:gridCol w:w="110"/>
        <w:gridCol w:w="110"/>
        <w:gridCol w:w="110"/>
        <w:gridCol w:w="110"/>
        <w:gridCol w:w="214"/>
        <w:gridCol w:w="627"/>
        <w:gridCol w:w="110"/>
        <w:gridCol w:w="109"/>
        <w:gridCol w:w="109"/>
        <w:gridCol w:w="109"/>
        <w:gridCol w:w="282"/>
        <w:gridCol w:w="282"/>
        <w:gridCol w:w="367"/>
        <w:gridCol w:w="109"/>
        <w:gridCol w:w="109"/>
        <w:gridCol w:w="109"/>
        <w:gridCol w:w="211"/>
        <w:gridCol w:w="616"/>
        <w:gridCol w:w="109"/>
        <w:gridCol w:w="109"/>
        <w:gridCol w:w="109"/>
        <w:gridCol w:w="109"/>
        <w:gridCol w:w="211"/>
        <w:gridCol w:w="616"/>
        <w:gridCol w:w="109"/>
        <w:gridCol w:w="109"/>
        <w:gridCol w:w="109"/>
        <w:gridCol w:w="109"/>
        <w:gridCol w:w="282"/>
        <w:gridCol w:w="282"/>
        <w:gridCol w:w="429"/>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administrative payroll and related benefit charges, information technology costs, other facility charges, advertising and promotional expenses, administrative travel and credit loss provisions.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18.2% during the three months ended June 30, 2026 as compared with the corresponding period in 2025. The decrease was primarily due to lower information technology and personnel costs, including the benefit of restructuring actions, as well as lower credit loss provisions. These decreases were partially offset by a year over year increase in variable compensation expense.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17.8% during the six months ended June 30, 2026 as compared with the corresponding period in 2025. The decrease was primarily due to lower information technology and personnel costs, including the benefit of restructuring actions, as well as lower credit loss provisions. These decreases were partially offset by a year over year increase in variable compensation expense.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Depreciation Expense</w:t>
      </w:r>
    </w:p>
    <w:tbl>
      <w:tblPr>
        <w:tblW w:w="8780" w:type="dxa"/>
        <w:jc w:val="left"/>
        <w:tblInd w:w="0" w:type="dxa"/>
        <w:tblLayout w:type="fixed"/>
        <w:tblCellMar>
          <w:top w:w="28" w:type="dxa"/>
          <w:left w:w="28" w:type="dxa"/>
          <w:bottom w:w="28" w:type="dxa"/>
          <w:right w:w="28" w:type="dxa"/>
        </w:tblCellMar>
      </w:tblPr>
      <w:tblGrid>
        <w:gridCol w:w="679"/>
        <w:gridCol w:w="597"/>
        <w:gridCol w:w="599"/>
        <w:gridCol w:w="268"/>
        <w:gridCol w:w="517"/>
        <w:gridCol w:w="138"/>
        <w:gridCol w:w="138"/>
        <w:gridCol w:w="138"/>
        <w:gridCol w:w="138"/>
        <w:gridCol w:w="268"/>
        <w:gridCol w:w="517"/>
        <w:gridCol w:w="138"/>
        <w:gridCol w:w="109"/>
        <w:gridCol w:w="109"/>
        <w:gridCol w:w="109"/>
        <w:gridCol w:w="203"/>
        <w:gridCol w:w="203"/>
        <w:gridCol w:w="367"/>
        <w:gridCol w:w="109"/>
        <w:gridCol w:w="109"/>
        <w:gridCol w:w="109"/>
        <w:gridCol w:w="219"/>
        <w:gridCol w:w="532"/>
        <w:gridCol w:w="113"/>
        <w:gridCol w:w="113"/>
        <w:gridCol w:w="113"/>
        <w:gridCol w:w="113"/>
        <w:gridCol w:w="219"/>
        <w:gridCol w:w="532"/>
        <w:gridCol w:w="113"/>
        <w:gridCol w:w="109"/>
        <w:gridCol w:w="109"/>
        <w:gridCol w:w="109"/>
        <w:gridCol w:w="203"/>
        <w:gridCol w:w="203"/>
        <w:gridCol w:w="41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 in depreciation expense for the three and six months ended June 30, 2026, as compared to the corresponding periods in 2025, was not significant.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Amortization Expense</w:t>
      </w:r>
    </w:p>
    <w:tbl>
      <w:tblPr>
        <w:tblW w:w="10205" w:type="dxa"/>
        <w:jc w:val="left"/>
        <w:tblInd w:w="0" w:type="dxa"/>
        <w:tblLayout w:type="fixed"/>
        <w:tblCellMar>
          <w:top w:w="28" w:type="dxa"/>
          <w:left w:w="28" w:type="dxa"/>
          <w:bottom w:w="28" w:type="dxa"/>
          <w:right w:w="28" w:type="dxa"/>
        </w:tblCellMar>
      </w:tblPr>
      <w:tblGrid>
        <w:gridCol w:w="1211"/>
        <w:gridCol w:w="1063"/>
        <w:gridCol w:w="1069"/>
        <w:gridCol w:w="235"/>
        <w:gridCol w:w="572"/>
        <w:gridCol w:w="121"/>
        <w:gridCol w:w="121"/>
        <w:gridCol w:w="121"/>
        <w:gridCol w:w="121"/>
        <w:gridCol w:w="235"/>
        <w:gridCol w:w="572"/>
        <w:gridCol w:w="121"/>
        <w:gridCol w:w="109"/>
        <w:gridCol w:w="109"/>
        <w:gridCol w:w="109"/>
        <w:gridCol w:w="203"/>
        <w:gridCol w:w="203"/>
        <w:gridCol w:w="367"/>
        <w:gridCol w:w="109"/>
        <w:gridCol w:w="109"/>
        <w:gridCol w:w="109"/>
        <w:gridCol w:w="217"/>
        <w:gridCol w:w="529"/>
        <w:gridCol w:w="112"/>
        <w:gridCol w:w="112"/>
        <w:gridCol w:w="112"/>
        <w:gridCol w:w="112"/>
        <w:gridCol w:w="217"/>
        <w:gridCol w:w="529"/>
        <w:gridCol w:w="112"/>
        <w:gridCol w:w="109"/>
        <w:gridCol w:w="109"/>
        <w:gridCol w:w="109"/>
        <w:gridCol w:w="203"/>
        <w:gridCol w:w="203"/>
        <w:gridCol w:w="431"/>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change in amortization of intangibles and other assets </w:t>
      </w:r>
      <w:r>
        <w:rPr>
          <w:rFonts w:ascii="Times New Roman;serif" w:hAnsi="Times New Roman;serif"/>
          <w:b w:val="false"/>
          <w:color w:val="000000"/>
          <w:sz w:val="20"/>
        </w:rPr>
        <w:t>for the three and six months ended June 30, 2026</w:t>
      </w:r>
      <w:r>
        <w:rPr>
          <w:rFonts w:ascii="Times New Roman;serif" w:hAnsi="Times New Roman;serif"/>
          <w:b w:val="false"/>
          <w:color w:val="000000"/>
          <w:sz w:val="20"/>
          <w:shd w:fill="FFFFFF" w:val="clear"/>
        </w:rPr>
        <w:t xml:space="preserve">, as compared to the corresponding periods in </w:t>
      </w:r>
      <w:r>
        <w:rPr>
          <w:rFonts w:ascii="Times New Roman;serif" w:hAnsi="Times New Roman;serif"/>
          <w:b w:val="false"/>
          <w:color w:val="000000"/>
          <w:sz w:val="20"/>
        </w:rPr>
        <w:t>2025, was not significant.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Goodwill and Other Asset Impairments</w:t>
      </w:r>
    </w:p>
    <w:tbl>
      <w:tblPr>
        <w:tblW w:w="9857" w:type="dxa"/>
        <w:jc w:val="left"/>
        <w:tblInd w:w="0" w:type="dxa"/>
        <w:tblLayout w:type="fixed"/>
        <w:tblCellMar>
          <w:top w:w="28" w:type="dxa"/>
          <w:left w:w="28" w:type="dxa"/>
          <w:bottom w:w="28" w:type="dxa"/>
          <w:right w:w="28" w:type="dxa"/>
        </w:tblCellMar>
      </w:tblPr>
      <w:tblGrid>
        <w:gridCol w:w="1152"/>
        <w:gridCol w:w="1011"/>
        <w:gridCol w:w="1017"/>
        <w:gridCol w:w="240"/>
        <w:gridCol w:w="462"/>
        <w:gridCol w:w="124"/>
        <w:gridCol w:w="124"/>
        <w:gridCol w:w="124"/>
        <w:gridCol w:w="124"/>
        <w:gridCol w:w="240"/>
        <w:gridCol w:w="701"/>
        <w:gridCol w:w="124"/>
        <w:gridCol w:w="109"/>
        <w:gridCol w:w="109"/>
        <w:gridCol w:w="109"/>
        <w:gridCol w:w="220"/>
        <w:gridCol w:w="220"/>
        <w:gridCol w:w="221"/>
        <w:gridCol w:w="109"/>
        <w:gridCol w:w="109"/>
        <w:gridCol w:w="109"/>
        <w:gridCol w:w="219"/>
        <w:gridCol w:w="422"/>
        <w:gridCol w:w="113"/>
        <w:gridCol w:w="113"/>
        <w:gridCol w:w="113"/>
        <w:gridCol w:w="113"/>
        <w:gridCol w:w="219"/>
        <w:gridCol w:w="641"/>
        <w:gridCol w:w="113"/>
        <w:gridCol w:w="109"/>
        <w:gridCol w:w="109"/>
        <w:gridCol w:w="109"/>
        <w:gridCol w:w="206"/>
        <w:gridCol w:w="206"/>
        <w:gridCol w:w="29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goodwill and other asset impairments for the three and six months ended June 30, 2026. Goodwill impairment for the three and six months ended June 30, 2025 was $309.1 and $797.9, respectively. This impairment was specific to the Clinical Development reporting unit.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 Charges</w:t>
      </w:r>
    </w:p>
    <w:tbl>
      <w:tblPr>
        <w:tblW w:w="9965" w:type="dxa"/>
        <w:jc w:val="left"/>
        <w:tblInd w:w="0" w:type="dxa"/>
        <w:tblLayout w:type="fixed"/>
        <w:tblCellMar>
          <w:top w:w="28" w:type="dxa"/>
          <w:left w:w="28" w:type="dxa"/>
          <w:bottom w:w="28" w:type="dxa"/>
          <w:right w:w="28" w:type="dxa"/>
        </w:tblCellMar>
      </w:tblPr>
      <w:tblGrid>
        <w:gridCol w:w="978"/>
        <w:gridCol w:w="860"/>
        <w:gridCol w:w="862"/>
        <w:gridCol w:w="253"/>
        <w:gridCol w:w="488"/>
        <w:gridCol w:w="131"/>
        <w:gridCol w:w="131"/>
        <w:gridCol w:w="131"/>
        <w:gridCol w:w="131"/>
        <w:gridCol w:w="253"/>
        <w:gridCol w:w="614"/>
        <w:gridCol w:w="131"/>
        <w:gridCol w:w="109"/>
        <w:gridCol w:w="109"/>
        <w:gridCol w:w="109"/>
        <w:gridCol w:w="293"/>
        <w:gridCol w:w="293"/>
        <w:gridCol w:w="367"/>
        <w:gridCol w:w="109"/>
        <w:gridCol w:w="109"/>
        <w:gridCol w:w="109"/>
        <w:gridCol w:w="231"/>
        <w:gridCol w:w="446"/>
        <w:gridCol w:w="119"/>
        <w:gridCol w:w="119"/>
        <w:gridCol w:w="119"/>
        <w:gridCol w:w="119"/>
        <w:gridCol w:w="231"/>
        <w:gridCol w:w="561"/>
        <w:gridCol w:w="119"/>
        <w:gridCol w:w="109"/>
        <w:gridCol w:w="109"/>
        <w:gridCol w:w="109"/>
        <w:gridCol w:w="293"/>
        <w:gridCol w:w="293"/>
        <w:gridCol w:w="418"/>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decline in restructuring expense for the three and six months ended June 30, 2026, as compared to the corresponding periods in 2025, was primarily due to the planned progression of the Company’s restructuring programs, which resulted in lower restructuring charges.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8693" w:type="dxa"/>
        <w:jc w:val="left"/>
        <w:tblInd w:w="0" w:type="dxa"/>
        <w:tblLayout w:type="fixed"/>
        <w:tblCellMar>
          <w:top w:w="28" w:type="dxa"/>
          <w:left w:w="28" w:type="dxa"/>
          <w:bottom w:w="28" w:type="dxa"/>
          <w:right w:w="28" w:type="dxa"/>
        </w:tblCellMar>
      </w:tblPr>
      <w:tblGrid>
        <w:gridCol w:w="516"/>
        <w:gridCol w:w="452"/>
        <w:gridCol w:w="456"/>
        <w:gridCol w:w="240"/>
        <w:gridCol w:w="582"/>
        <w:gridCol w:w="124"/>
        <w:gridCol w:w="124"/>
        <w:gridCol w:w="124"/>
        <w:gridCol w:w="124"/>
        <w:gridCol w:w="240"/>
        <w:gridCol w:w="582"/>
        <w:gridCol w:w="124"/>
        <w:gridCol w:w="109"/>
        <w:gridCol w:w="109"/>
        <w:gridCol w:w="109"/>
        <w:gridCol w:w="293"/>
        <w:gridCol w:w="293"/>
        <w:gridCol w:w="367"/>
        <w:gridCol w:w="109"/>
        <w:gridCol w:w="109"/>
        <w:gridCol w:w="109"/>
        <w:gridCol w:w="219"/>
        <w:gridCol w:w="532"/>
        <w:gridCol w:w="113"/>
        <w:gridCol w:w="113"/>
        <w:gridCol w:w="113"/>
        <w:gridCol w:w="113"/>
        <w:gridCol w:w="219"/>
        <w:gridCol w:w="532"/>
        <w:gridCol w:w="113"/>
        <w:gridCol w:w="109"/>
        <w:gridCol w:w="109"/>
        <w:gridCol w:w="109"/>
        <w:gridCol w:w="293"/>
        <w:gridCol w:w="293"/>
        <w:gridCol w:w="418"/>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three and six months ended June 30, 2026, as compared with the corresponding periods in 2025, was due to lower average debt outstanding during the first and second quarters of 2026, driven by the repurchase of $75.7 of senior secured notes in 2025 and no borrowings on the revolving credit facility during the first half of 2026, as well as lower effective interest rates on term loan A and term loan B.</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Foreign Exchange Gain (loss)</w:t>
      </w:r>
    </w:p>
    <w:tbl>
      <w:tblPr>
        <w:tblW w:w="9935" w:type="dxa"/>
        <w:jc w:val="left"/>
        <w:tblInd w:w="0" w:type="dxa"/>
        <w:tblLayout w:type="fixed"/>
        <w:tblCellMar>
          <w:top w:w="28" w:type="dxa"/>
          <w:left w:w="28" w:type="dxa"/>
          <w:bottom w:w="28" w:type="dxa"/>
          <w:right w:w="28" w:type="dxa"/>
        </w:tblCellMar>
      </w:tblPr>
      <w:tblGrid>
        <w:gridCol w:w="890"/>
        <w:gridCol w:w="783"/>
        <w:gridCol w:w="786"/>
        <w:gridCol w:w="244"/>
        <w:gridCol w:w="469"/>
        <w:gridCol w:w="126"/>
        <w:gridCol w:w="126"/>
        <w:gridCol w:w="126"/>
        <w:gridCol w:w="126"/>
        <w:gridCol w:w="244"/>
        <w:gridCol w:w="677"/>
        <w:gridCol w:w="126"/>
        <w:gridCol w:w="109"/>
        <w:gridCol w:w="109"/>
        <w:gridCol w:w="109"/>
        <w:gridCol w:w="344"/>
        <w:gridCol w:w="346"/>
        <w:gridCol w:w="367"/>
        <w:gridCol w:w="109"/>
        <w:gridCol w:w="109"/>
        <w:gridCol w:w="109"/>
        <w:gridCol w:w="211"/>
        <w:gridCol w:w="512"/>
        <w:gridCol w:w="109"/>
        <w:gridCol w:w="109"/>
        <w:gridCol w:w="109"/>
        <w:gridCol w:w="109"/>
        <w:gridCol w:w="211"/>
        <w:gridCol w:w="587"/>
        <w:gridCol w:w="109"/>
        <w:gridCol w:w="109"/>
        <w:gridCol w:w="109"/>
        <w:gridCol w:w="109"/>
        <w:gridCol w:w="344"/>
        <w:gridCol w:w="346"/>
        <w:gridCol w:w="418"/>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 in foreign exchange gain (loss) for the three and six months ended June 30, 2026 compared to the foreign exchange gain (loss) for three and six months ended June 30, 2025, was primarily due to the fluctuations in the U.S. Dollar against the British Pound and the Euro.</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net</w:t>
      </w:r>
    </w:p>
    <w:tbl>
      <w:tblPr>
        <w:tblW w:w="8282" w:type="dxa"/>
        <w:jc w:val="left"/>
        <w:tblInd w:w="0" w:type="dxa"/>
        <w:tblLayout w:type="fixed"/>
        <w:tblCellMar>
          <w:top w:w="28" w:type="dxa"/>
          <w:left w:w="28" w:type="dxa"/>
          <w:bottom w:w="28" w:type="dxa"/>
          <w:right w:w="28" w:type="dxa"/>
        </w:tblCellMar>
      </w:tblPr>
      <w:tblGrid>
        <w:gridCol w:w="331"/>
        <w:gridCol w:w="291"/>
        <w:gridCol w:w="292"/>
        <w:gridCol w:w="257"/>
        <w:gridCol w:w="587"/>
        <w:gridCol w:w="133"/>
        <w:gridCol w:w="133"/>
        <w:gridCol w:w="133"/>
        <w:gridCol w:w="133"/>
        <w:gridCol w:w="257"/>
        <w:gridCol w:w="496"/>
        <w:gridCol w:w="133"/>
        <w:gridCol w:w="109"/>
        <w:gridCol w:w="109"/>
        <w:gridCol w:w="109"/>
        <w:gridCol w:w="344"/>
        <w:gridCol w:w="346"/>
        <w:gridCol w:w="367"/>
        <w:gridCol w:w="109"/>
        <w:gridCol w:w="109"/>
        <w:gridCol w:w="109"/>
        <w:gridCol w:w="245"/>
        <w:gridCol w:w="472"/>
        <w:gridCol w:w="126"/>
        <w:gridCol w:w="126"/>
        <w:gridCol w:w="126"/>
        <w:gridCol w:w="126"/>
        <w:gridCol w:w="245"/>
        <w:gridCol w:w="472"/>
        <w:gridCol w:w="126"/>
        <w:gridCol w:w="109"/>
        <w:gridCol w:w="109"/>
        <w:gridCol w:w="109"/>
        <w:gridCol w:w="293"/>
        <w:gridCol w:w="293"/>
        <w:gridCol w:w="418"/>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decline in other, net for the three and six months ended June 30, 2026, as compared with the corresponding periods in 2025, was primarily due to income recognized in the prior-year periods related to services provided under transition services agreements that terminated in 2025.</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tbl>
      <w:tblPr>
        <w:tblW w:w="8705" w:type="dxa"/>
        <w:jc w:val="left"/>
        <w:tblInd w:w="0" w:type="dxa"/>
        <w:tblLayout w:type="fixed"/>
        <w:tblCellMar>
          <w:top w:w="28" w:type="dxa"/>
          <w:left w:w="28" w:type="dxa"/>
          <w:bottom w:w="28" w:type="dxa"/>
          <w:right w:w="28" w:type="dxa"/>
        </w:tblCellMar>
      </w:tblPr>
      <w:tblGrid>
        <w:gridCol w:w="1342"/>
        <w:gridCol w:w="1177"/>
        <w:gridCol w:w="1185"/>
        <w:gridCol w:w="232"/>
        <w:gridCol w:w="563"/>
        <w:gridCol w:w="278"/>
        <w:gridCol w:w="111"/>
        <w:gridCol w:w="111"/>
        <w:gridCol w:w="111"/>
        <w:gridCol w:w="216"/>
        <w:gridCol w:w="416"/>
        <w:gridCol w:w="278"/>
        <w:gridCol w:w="109"/>
        <w:gridCol w:w="109"/>
        <w:gridCol w:w="109"/>
        <w:gridCol w:w="211"/>
        <w:gridCol w:w="511"/>
        <w:gridCol w:w="271"/>
        <w:gridCol w:w="109"/>
        <w:gridCol w:w="109"/>
        <w:gridCol w:w="109"/>
        <w:gridCol w:w="211"/>
        <w:gridCol w:w="511"/>
        <w:gridCol w:w="316"/>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expense as a % of loss before tax</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Company's effective tax rate was (1000.0)% compared to (1.1)% for the corresponding period in 2025. For the six months ended June 30, 2026, the Company's effective tax rate was (172.6)% compared to (2.1)% for the corresponding period in 2025. The fluctuations in the quarter-to-date and year-to-date periods were primarily due to goodwill impairment with no associated tax benefit and BEAT for the three and six months ended June 30, 2025 and the impact of valuation allowance primarily related to expected interest deductibility limitations for the three and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Capital Resources and Financial Position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manages cash flow to fund and invest in operational growth, capital expenditures, and credit facility repayments. In connection with the Spin, we incurred indebtedness in an aggregate principal amount of $1,640.0, which consists of borrowings under senior secured term loan facilities and senior secured notes. We have also entered into a senior secured revolving credit facility, which consists of a five-year facility in the principal amount of up to $450.0 as further discussed in Note 6, “Debt” to our condensed consolidated financial statements. As of June 30, 2026, there was no balance outstanding on the Company’s revolving credit facility and there were $2.3 in letters of credit issued under the letter of credit sublimit, resulting in $447.7 available for borrowing. The maximum revolver borrowing outstanding was $— and $135.5 during the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6, 2024, we entered into a three-year $300.0 accounts receivable securitization program (the “Receivables Facility”). Under this program, Fortrea Inc. conveys receivable balances to a wholly-owned, bankruptcy-remote special purpose entity, which in turn, may sell receivables to a third-party financial institution in exchange for cash. As of June 30, 2026, the Company had sold $300.0 of receivables, which were derecognized from the Company’s consolidated balance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February 24, 2026, the Company amended its Receivables Facility, which had been scheduled to terminate on May 6, 2027. The amended Receivables Facility is scheduled to terminate on February 23, 2029, unless terminated earlier pursuant to its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for the Six months ended June 30, 2026 and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summary, the Company’s cash flows were as follows:</w:t>
      </w:r>
    </w:p>
    <w:tbl>
      <w:tblPr>
        <w:tblW w:w="7299" w:type="dxa"/>
        <w:jc w:val="left"/>
        <w:tblInd w:w="0" w:type="dxa"/>
        <w:tblLayout w:type="fixed"/>
        <w:tblCellMar>
          <w:top w:w="28" w:type="dxa"/>
          <w:left w:w="28" w:type="dxa"/>
          <w:bottom w:w="28" w:type="dxa"/>
          <w:right w:w="28" w:type="dxa"/>
        </w:tblCellMar>
      </w:tblPr>
      <w:tblGrid>
        <w:gridCol w:w="1839"/>
        <w:gridCol w:w="1617"/>
        <w:gridCol w:w="1629"/>
        <w:gridCol w:w="211"/>
        <w:gridCol w:w="511"/>
        <w:gridCol w:w="109"/>
        <w:gridCol w:w="109"/>
        <w:gridCol w:w="109"/>
        <w:gridCol w:w="109"/>
        <w:gridCol w:w="211"/>
        <w:gridCol w:w="691"/>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(used for)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provided by 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June 30, 2026 and 2025 totaled $168.6 and $81.2, respectively. Cash and cash equivalents consist of highly liquid instruments, such as commercial paper, time deposits and other money market instruments, which have maturities when purchased of three months or less.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Company’s operations provided $11.9 of cash as compared to $102.4 of cash used by operations during the six months ended June 30, 2025. The increase in cash provided of $114.3 for the six months ended June 30, 2026 was primarily due to a decrease in cash used for accounts payable and interest, as well as an improvement in net loss excluding non-cash income and expense items. These cash increases were partially offset by higher use of cash for accrued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jc w:val="left"/>
        <w:rPr/>
      </w:pPr>
      <w:r>
        <w:rPr>
          <w:rFonts w:ascii="Times New Roman;serif" w:hAnsi="Times New Roman;serif"/>
          <w:b w:val="false"/>
          <w:color w:val="000000"/>
          <w:sz w:val="20"/>
        </w:rPr>
        <w:t>Net cash used for</w:t>
      </w:r>
      <w:r>
        <w:rPr>
          <w:color w:val="EE2724"/>
        </w:rPr>
        <w:t xml:space="preserve"> </w:t>
      </w:r>
      <w:r>
        <w:rPr>
          <w:rFonts w:ascii="Times New Roman;serif" w:hAnsi="Times New Roman;serif"/>
          <w:b w:val="false"/>
          <w:color w:val="000000"/>
          <w:sz w:val="20"/>
        </w:rPr>
        <w:t>investing activities for the six months ended June 30, 2026 was $15.0 as compared to net cash provided by investing activities of $8.6 for the six months ended June 30, 2025. The $23.6 increase in net cash used for investing activities for the six months ended June 30, 2026 was primarily due to receipt of the first milestone payment related to the sale of the Enabling Services segment during the six months ended June 30, 2025 and a period over period increase in capital expenditures. Capital expenditures were $17.0 and $10.4 for the six months ended June 30, 2026 and 2025, respectively. Capital expenditures for the six months ended June 30, 2026 were 1.3% of revenues, primarily in connection with projects to support growth in the Company's core businesses. The Company also intends to continue to pursue selective investments in key therapeutic areas, business areas and geographies to drive growth and to improve efficiency of the Company's operations. Such expenditures are expected to be funded by cash flow from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 compared to cash provided by financing activities of $49.4 for the six months ended June 30, 2025. Cash provided by financing activities for the six months ended June 30, 2025 was primarily related to net proceeds from the revolving credit facility. The Company did not draw on the revolving credit facility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off-balance sheet financing other than short term operating leases and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We have chosen accounting policies that management believes are appropriate to accurately and fairly report our operating results and financial position in conformity with U.S. GAAP. We apply these accounting policies in a consistent manner. The Company’s critical accounting policies are summarized in Note 2, “Summary of Significant Accounting Policies” to the consolidated and combined financial statements included in the Annual Report on Form 10-K.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these accounting policies requires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accounting policies that involve the most significant estimates, assumptions and management judgments used in preparation of the condensed consolidated financial statements, or are the most sensitive to change due to outside factors, are discussed in Management’s Discussion and Analysis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(in millions)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associated with changes in foreign currency exchange rates and interest rates, through a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7, “Derivative Instruments and Hedging Activities” to the condensed consolidated financial statements for information on how the Company utilizes derivative financial instruments.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Approximately 16.8% and 15.9% of our revenues for the six months ended June 30, 2026 and 2025,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financial results. In the six months ended June 30, 2026 and the year ended December 31, 2025, the most significant currency exchange rate exposure was the Euro. Excluding the impacts from any outstanding or future hedging transactions, a hypothetical change of 10% in average exchange rates used to translate all foreign currencies to USD would have impacted operating income for the six months ended June 30, 2026 by approximately $0.2. Gross accumulated currency translation adjustments recorded as a separate component of stockholders’ equity were $(27.2) and $128.0 at June 30, 2026 and June 30, 2025, respectively. We do not have significant operations in countries in which the economy is considered to be highly inflationary.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 into foreign currency forward contracts with external counterparties to hedge certain foreign currency transactions with exposure predominantly to the Euro and British Pound. These contracts do not qualify for hedge accounting under U.S. GAAP and the changes in fair value are recorded directly to earnings.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may incur additional indebtedness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particular, we face the market risks associated with interest rate movements on our variable rate debt. We entered into a variable-to-fixed interest rate swap with respect to some of our floating rate debt in August 2023. At June 30, 2026, we had $572.0 outstanding related to our variable rate debt. Excluding the impacts from any outstanding or future variable-to-fixed interest rate swap transactions, a hypothetical 1% increase in interest rates would result in increased interest expenses of $5.7. We expect to continue to be exposed to an element of market risk from changes to interest rates, including on any refinancing of debt. We expect to regularly assess market risks and to establish policies and business practices to protect against the adverse effects of these exposures. See Note 6, “Debt”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 We review our disclosure controls and procedures and our internal control over financial reporting on an on-going basis and may from time to time make changes aimed at enhancing their effectiveness to ensure that our systems evolve with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June 30, 2026. Based on this evaluation, our chief executive officer and our chief financial officer have concluded that, as of the end of the period covered by this report, our disclosure controls and procedures were effective to accomplish their objectives at the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June 30,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8, “Commitments and Contingent Liabilities” to the condensed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 factors described in our Annual Report on Form 10-K for the year ended December 31, 2025, as filed with the SEC on February 26, 2026 (our “Annual Report”). For a discussion of the risks relating to our business, see the Part I, Item 1A “Risk Factors” section of our Annual Report and the “Cautionary Statement Concerning Forward-Looking Statements” set forth in Part I, Item 2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or terminated any contract, instruction or written plan that was intended to satisfy the affirmative defense conditions of Rule 10b5-1(c) of the Exchange Act or any non-Rule 10b5-1 trading arrangement for the purchase or sale of our securities within the meaning of Item 408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exhibits below are filed or furnished as a part of this report and are incorporated herein by reference.</w:t>
      </w:r>
    </w:p>
    <w:tbl>
      <w:tblPr>
        <w:tblW w:w="10205" w:type="dxa"/>
        <w:jc w:val="left"/>
        <w:tblInd w:w="0" w:type="dxa"/>
        <w:tblLayout w:type="fixed"/>
        <w:tblCellMar>
          <w:top w:w="28" w:type="dxa"/>
          <w:left w:w="28" w:type="dxa"/>
          <w:bottom w:w="28" w:type="dxa"/>
          <w:right w:w="28" w:type="dxa"/>
        </w:tblCellMar>
      </w:tblPr>
      <w:tblGrid>
        <w:gridCol w:w="344"/>
        <w:gridCol w:w="302"/>
        <w:gridCol w:w="303"/>
        <w:gridCol w:w="109"/>
        <w:gridCol w:w="109"/>
        <w:gridCol w:w="109"/>
        <w:gridCol w:w="1257"/>
        <w:gridCol w:w="1232"/>
        <w:gridCol w:w="1235"/>
        <w:gridCol w:w="109"/>
        <w:gridCol w:w="109"/>
        <w:gridCol w:w="109"/>
        <w:gridCol w:w="307"/>
        <w:gridCol w:w="307"/>
        <w:gridCol w:w="308"/>
        <w:gridCol w:w="109"/>
        <w:gridCol w:w="109"/>
        <w:gridCol w:w="109"/>
        <w:gridCol w:w="220"/>
        <w:gridCol w:w="220"/>
        <w:gridCol w:w="221"/>
        <w:gridCol w:w="115"/>
        <w:gridCol w:w="115"/>
        <w:gridCol w:w="115"/>
        <w:gridCol w:w="163"/>
        <w:gridCol w:w="163"/>
        <w:gridCol w:w="152"/>
        <w:gridCol w:w="115"/>
        <w:gridCol w:w="115"/>
        <w:gridCol w:w="115"/>
        <w:gridCol w:w="240"/>
        <w:gridCol w:w="240"/>
        <w:gridCol w:w="241"/>
        <w:gridCol w:w="115"/>
        <w:gridCol w:w="115"/>
        <w:gridCol w:w="115"/>
        <w:gridCol w:w="211"/>
        <w:gridCol w:w="211"/>
        <w:gridCol w:w="312"/>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jasonknoblaucho.htm">
              <w:r>
                <w:rPr>
                  <w:rStyle w:val="InternetLink"/>
                  <w:rFonts w:ascii="Times New Roman;serif" w:hAnsi="Times New Roman;serif"/>
                  <w:b w:val="false"/>
                  <w:color w:val="0000FF"/>
                  <w:sz w:val="20"/>
                  <w:u w:val="single"/>
                </w:rPr>
                <w:t>Offer letter,effective as of July 6, 2026, between Fortrea Holdings Inc. and Jason Knoblauch.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nonxemployeedir.htm">
              <w:r>
                <w:rPr>
                  <w:rStyle w:val="InternetLink"/>
                  <w:rFonts w:ascii="Times New Roman;serif" w:hAnsi="Times New Roman;serif"/>
                  <w:b w:val="false"/>
                  <w:color w:val="0000FF"/>
                  <w:sz w:val="20"/>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312.htm">
              <w:r>
                <w:rPr>
                  <w:rStyle w:val="InternetLink"/>
                  <w:rFonts w:ascii="Times New Roman;serif" w:hAnsi="Times New Roman;serif"/>
                  <w:b w:val="false"/>
                  <w:color w:val="000080"/>
                  <w:sz w:val="20"/>
                  <w:u w:val="single"/>
                </w:rPr>
                <w:t xml:space="preserve">Certification of </w:t>
              </w:r>
            </w:hyperlink>
            <w:hyperlink w:anchor="q226exhibit-312.htm">
              <w:r>
                <w:rPr>
                  <w:rStyle w:val="InternetLink"/>
                  <w:rFonts w:ascii="Times New Roman;serif" w:hAnsi="Times New Roman;serif"/>
                  <w:b w:val="false"/>
                  <w:color w:val="000080"/>
                  <w:sz w:val="20"/>
                  <w:u w:val="single"/>
                </w:rPr>
                <w:t>Inter</w:t>
              </w:r>
            </w:hyperlink>
            <w:hyperlink w:anchor="q226exhibit-312.htm">
              <w:r>
                <w:rPr>
                  <w:rStyle w:val="InternetLink"/>
                  <w:rFonts w:ascii="Times New Roman;serif" w:hAnsi="Times New Roman;serif"/>
                  <w:b w:val="false"/>
                  <w:color w:val="000080"/>
                  <w:sz w:val="20"/>
                  <w:u w:val="single"/>
                </w:rPr>
                <w:t>i</w:t>
              </w:r>
            </w:hyperlink>
            <w:hyperlink w:anchor="q226exhibit-312.htm">
              <w:r>
                <w:rPr>
                  <w:rStyle w:val="InternetLink"/>
                  <w:rFonts w:ascii="Times New Roman;serif" w:hAnsi="Times New Roman;serif"/>
                  <w:b w:val="false"/>
                  <w:color w:val="000080"/>
                  <w:sz w:val="20"/>
                  <w:u w:val="single"/>
                </w:rPr>
                <w:t>m</w:t>
              </w:r>
            </w:hyperlink>
            <w:hyperlink w:anchor="q226exhibit-312.htm">
              <w:r>
                <w:rPr>
                  <w:rStyle w:val="InternetLink"/>
                  <w:rFonts w:ascii="Times New Roman;serif" w:hAnsi="Times New Roman;serif"/>
                  <w:b w:val="false"/>
                  <w:color w:val="000080"/>
                  <w:sz w:val="20"/>
                  <w:u w:val="single"/>
                </w:rPr>
                <w:t xml:space="preserve"> </w:t>
              </w:r>
            </w:hyperlink>
            <w:hyperlink w:anchor="q226exhibit-312.htm">
              <w:r>
                <w:rPr>
                  <w:rStyle w:val="InternetLink"/>
                  <w:rFonts w:ascii="Times New Roman;serif" w:hAnsi="Times New Roman;serif"/>
                  <w:b w:val="false"/>
                  <w:color w:val="000080"/>
                  <w:sz w:val="20"/>
                  <w:u w:val="single"/>
                </w:rPr>
                <w:t>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322.htm">
              <w:r>
                <w:rPr>
                  <w:rStyle w:val="InternetLink"/>
                  <w:rFonts w:ascii="Times New Roman;serif" w:hAnsi="Times New Roman;serif"/>
                  <w:b w:val="false"/>
                  <w:color w:val="000080"/>
                  <w:sz w:val="20"/>
                  <w:u w:val="single"/>
                </w:rPr>
                <w:t xml:space="preserve">Certification of </w:t>
              </w:r>
            </w:hyperlink>
            <w:hyperlink w:anchor="q226exhibit-322.htm">
              <w:r>
                <w:rPr>
                  <w:rStyle w:val="InternetLink"/>
                  <w:rFonts w:ascii="Times New Roman;serif" w:hAnsi="Times New Roman;serif"/>
                  <w:b w:val="false"/>
                  <w:color w:val="000080"/>
                  <w:sz w:val="20"/>
                  <w:u w:val="single"/>
                </w:rPr>
                <w:t>Inter</w:t>
              </w:r>
            </w:hyperlink>
            <w:hyperlink w:anchor="q226exhibit-322.htm">
              <w:r>
                <w:rPr>
                  <w:rStyle w:val="InternetLink"/>
                  <w:rFonts w:ascii="Times New Roman;serif" w:hAnsi="Times New Roman;serif"/>
                  <w:b w:val="false"/>
                  <w:color w:val="000080"/>
                  <w:sz w:val="20"/>
                  <w:u w:val="single"/>
                </w:rPr>
                <w:t>i</w:t>
              </w:r>
            </w:hyperlink>
            <w:hyperlink w:anchor="q226exhibit-322.htm">
              <w:r>
                <w:rPr>
                  <w:rStyle w:val="InternetLink"/>
                  <w:rFonts w:ascii="Times New Roman;serif" w:hAnsi="Times New Roman;serif"/>
                  <w:b w:val="false"/>
                  <w:color w:val="000080"/>
                  <w:sz w:val="20"/>
                  <w:u w:val="single"/>
                </w:rPr>
                <w:t>m</w:t>
              </w:r>
            </w:hyperlink>
            <w:hyperlink w:anchor="q226exhibit-322.htm">
              <w:r>
                <w:rPr>
                  <w:rStyle w:val="InternetLink"/>
                  <w:rFonts w:ascii="Times New Roman;serif" w:hAnsi="Times New Roman;serif"/>
                  <w:b w:val="false"/>
                  <w:color w:val="000080"/>
                  <w:sz w:val="20"/>
                  <w:u w:val="single"/>
                </w:rPr>
                <w:t xml:space="preserve"> </w:t>
              </w:r>
            </w:hyperlink>
            <w:hyperlink w:anchor="q226exhibit-322.htm">
              <w:r>
                <w:rPr>
                  <w:rStyle w:val="InternetLink"/>
                  <w:rFonts w:ascii="Times New Roman;serif" w:hAnsi="Times New Roman;serif"/>
                  <w:b w:val="false"/>
                  <w:color w:val="000080"/>
                  <w:sz w:val="20"/>
                  <w:u w:val="single"/>
                </w:rPr>
                <w:t>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Instance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lineRule="auto" w:line="288" w:before="0" w:after="180"/>
        <w:jc w:val="left"/>
        <w:rPr/>
      </w:pPr>
      <w:hyperlink w:anchor="i3eb220eb1643431ca98f46fb63169304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8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 xml:space="preserve">Fortrea Holdings Inc. </w:t>
      </w:r>
    </w:p>
    <w:tbl>
      <w:tblPr>
        <w:tblW w:w="6175"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20"/>
        <w:gridCol w:w="1520"/>
        <w:gridCol w:w="2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David Ross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5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Ross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52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 and as Principal Financial Officer)</w:t>
            </w:r>
          </w:p>
        </w:tc>
      </w:tr>
    </w:tbl>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tbl>
      <w:tblPr>
        <w:tblW w:w="3203" w:type="dxa"/>
        <w:jc w:val="left"/>
        <w:tblInd w:w="0" w:type="dxa"/>
        <w:tblLayout w:type="fixed"/>
        <w:tblCellMar>
          <w:top w:w="28" w:type="dxa"/>
          <w:left w:w="28" w:type="dxa"/>
          <w:bottom w:w="28" w:type="dxa"/>
          <w:right w:w="28" w:type="dxa"/>
        </w:tblCellMar>
      </w:tblPr>
      <w:tblGrid>
        <w:gridCol w:w="558"/>
        <w:gridCol w:w="491"/>
        <w:gridCol w:w="492"/>
        <w:gridCol w:w="109"/>
        <w:gridCol w:w="109"/>
        <w:gridCol w:w="109"/>
        <w:gridCol w:w="390"/>
        <w:gridCol w:w="390"/>
        <w:gridCol w:w="555"/>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914400" cy="219075"/>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914400" cy="219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10.1</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June 19,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Jason Knoblauch</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Dear Jason: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 behalf of Fortrea Inc. (“Company”), I am delighted to offer you the role of Chief Financial Officer, reporting to Anshul Thakral, beginning July 6, 2026. In this pivotal role, you will play a vital part in advancing our mission to provide cutting-edge solutions that accelerate the delivery of life-changing medicines to patients, while simultaneously creating enduring value for our employees, patients, customers and stakeholders. Your contributions will be instrumental in driving healthcare innovation and shaping the future of the industry.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 Fortrea, we are committed to fostering a workspace that not only fuels the growth of our organization but also nurtures the personal and professional development of each employee on a global scale. Your expertise will contribute to creating an environment where every individual can thrive and make a significant impact.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We are excited to have you join our team, and we believe that your exceptional skills and experience will be integral to our journey of revolutionizing healthcare.</w:t>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Please review the following information about your position:</w:t>
      </w:r>
    </w:p>
    <w:p>
      <w:pPr>
        <w:pStyle w:val="TextBody"/>
        <w:bidi w:val="0"/>
        <w:spacing w:lineRule="auto" w:line="288" w:before="100" w:after="100"/>
        <w:jc w:val="left"/>
        <w:rPr/>
      </w:pPr>
      <w:r>
        <w:rPr>
          <w:rFonts w:ascii="Times New Roman;serif" w:hAnsi="Times New Roman;serif"/>
          <w:b/>
          <w:color w:val="000000"/>
          <w:sz w:val="24"/>
        </w:rPr>
        <w:t>Business Title</w:t>
      </w:r>
      <w:r>
        <w:rPr>
          <w:rFonts w:ascii="Times New Roman;serif" w:hAnsi="Times New Roman;serif"/>
          <w:b w:val="false"/>
          <w:color w:val="000000"/>
          <w:sz w:val="24"/>
        </w:rPr>
        <w:t xml:space="preserve">: Chief Financial Officer </w:t>
      </w:r>
    </w:p>
    <w:p>
      <w:pPr>
        <w:pStyle w:val="TextBody"/>
        <w:bidi w:val="0"/>
        <w:spacing w:lineRule="auto" w:line="288" w:before="100" w:after="100"/>
        <w:jc w:val="both"/>
        <w:rPr/>
      </w:pPr>
      <w:r>
        <w:rPr>
          <w:rFonts w:ascii="Times New Roman;serif" w:hAnsi="Times New Roman;serif"/>
          <w:b/>
          <w:color w:val="000000"/>
          <w:sz w:val="24"/>
        </w:rPr>
        <w:t>Start date:</w:t>
      </w:r>
      <w:r>
        <w:rPr>
          <w:color w:val="000000"/>
        </w:rPr>
        <w:t xml:space="preserve"> </w:t>
      </w:r>
      <w:r>
        <w:rPr>
          <w:rFonts w:ascii="Times New Roman;serif" w:hAnsi="Times New Roman;serif"/>
          <w:b w:val="false"/>
          <w:color w:val="000000"/>
          <w:sz w:val="24"/>
        </w:rPr>
        <w:t>July 6, 2026</w:t>
      </w:r>
    </w:p>
    <w:p>
      <w:pPr>
        <w:pStyle w:val="TextBody"/>
        <w:bidi w:val="0"/>
        <w:spacing w:lineRule="auto" w:line="288" w:before="100" w:after="100"/>
        <w:jc w:val="both"/>
        <w:rPr/>
      </w:pPr>
      <w:r>
        <w:rPr>
          <w:rFonts w:ascii="Times New Roman;serif" w:hAnsi="Times New Roman;serif"/>
          <w:b/>
          <w:color w:val="000000"/>
          <w:sz w:val="24"/>
        </w:rPr>
        <w:t>Salary:</w:t>
      </w:r>
      <w:r>
        <w:rPr>
          <w:color w:val="000000"/>
        </w:rPr>
        <w:t xml:space="preserve"> </w:t>
      </w:r>
      <w:r>
        <w:rPr>
          <w:rFonts w:ascii="Times New Roman;serif" w:hAnsi="Times New Roman;serif"/>
          <w:b w:val="false"/>
          <w:color w:val="000000"/>
          <w:sz w:val="24"/>
        </w:rPr>
        <w:t>Your initial annual base salary will be $570,000.00 payable via direct deposit, where permitted, in accordance with the standard payroll practices of the Company, less all statutory withholdings and deductions. </w:t>
      </w:r>
    </w:p>
    <w:p>
      <w:pPr>
        <w:pStyle w:val="TextBody"/>
        <w:bidi w:val="0"/>
        <w:spacing w:lineRule="auto" w:line="288" w:before="100" w:after="100"/>
        <w:jc w:val="both"/>
        <w:rPr/>
      </w:pPr>
      <w:r>
        <w:rPr>
          <w:rFonts w:ascii="Times New Roman;serif" w:hAnsi="Times New Roman;serif"/>
          <w:b/>
          <w:color w:val="000000"/>
          <w:sz w:val="24"/>
        </w:rPr>
        <w:t xml:space="preserve">Pay Frequency: </w:t>
      </w:r>
      <w:r>
        <w:rPr>
          <w:rFonts w:ascii="Times New Roman;serif" w:hAnsi="Times New Roman;serif"/>
          <w:b w:val="false"/>
          <w:color w:val="000000"/>
          <w:sz w:val="24"/>
        </w:rPr>
        <w:t>The Company’s current standard payroll schedule is bi-weekly, with payment on the Friday following the end of each payroll cycle. This is subject to change in the Company’s discretion.</w:t>
      </w:r>
    </w:p>
    <w:p>
      <w:pPr>
        <w:pStyle w:val="TextBody"/>
        <w:bidi w:val="0"/>
        <w:spacing w:lineRule="auto" w:line="288" w:before="100" w:after="100"/>
        <w:jc w:val="both"/>
        <w:rPr/>
      </w:pPr>
      <w:r>
        <w:rPr>
          <w:rFonts w:ascii="Times New Roman;serif" w:hAnsi="Times New Roman;serif"/>
          <w:b/>
          <w:color w:val="000000"/>
          <w:sz w:val="24"/>
        </w:rPr>
        <w:t>Fortrea Bonus Program:</w:t>
      </w:r>
      <w:r>
        <w:rPr>
          <w:color w:val="000000"/>
        </w:rPr>
        <w:t xml:space="preserve"> </w:t>
      </w:r>
      <w:r>
        <w:rPr>
          <w:rFonts w:ascii="Times New Roman;serif" w:hAnsi="Times New Roman;serif"/>
          <w:b w:val="false"/>
          <w:color w:val="000000"/>
          <w:sz w:val="24"/>
        </w:rPr>
        <w:t xml:space="preserve">You will participate in the Fortrea Bonus Program (“FBP”) for the 2026 plan year with a Target Bonus Opportunity (as that term is defined in the FBP Summary Program Guide) of 85% of your base salary, subject to proration. Your actual bonus award payout may range from 0% to a maximum of 200%. Bonus payments are subject to company established performance metrics, modified by individual performance, as well as satisfaction of certain eligibility criteria such as a minimum amount of active employment and continued employment through the date of the payout of the Bonus, all as set out in the FBP Summary Program Guide, except as otherwise provided in the Fortrea Inc. Master Senior Executive Severance Plan or its successor plan. Your participation in the FBP or successor bonus program in future years, as well as your Target Bonus Opportunity, is annually reviewed and determined at the sole discretion of the Company.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color w:val="000000"/>
          <w:sz w:val="24"/>
        </w:rPr>
        <w:t xml:space="preserve">Sign-on bonus: </w:t>
      </w:r>
      <w:r>
        <w:rPr>
          <w:rFonts w:ascii="Times New Roman;serif" w:hAnsi="Times New Roman;serif"/>
          <w:b w:val="false"/>
          <w:color w:val="000000"/>
          <w:sz w:val="24"/>
        </w:rPr>
        <w:t>You will receive a sign-on bonus of $1,250,000.00, less all applicable taxes and withholdings, representing an amount comparable to forfeited compensation from your former employer. Payment of your sign-on bonus will be in two installments, with $500,000.00 to be paid within 90 days after your start date and $750,000.00 to be paid within 90 days of the one-year anniversary of your start date. Receipt of any sign-on bonus payment is contingent upon your successful completion of the conditions of employment stated below as of each sign-on bonus payment date.</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If you voluntarily terminate your employment without Good Reason or you are terminated by the Company for Cause as those terms are defined in the Fortrea Inc. Master Senior Executive Severance Plan or its successor plan, within one year of your start date for any reason other than redundancy, ill health, or death, you will be required to repay a prorated portion of the first installment of your sign-on bonus and you will not receive the second installment. The proration will be determined by multiplying the amount of the previously paid sign-on bonus by a fraction, the numerator of which is 12 minus the number of full months of your completed employment following your start date, and the denominator of which is 12.</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Subject to applicable law, this repayment will be deducted from your final pay (including from any payment in lieu of notice), and you will be responsible for repaying any outstanding balance to the Company within 30 days of your last day of employment with the Company. This unreimbursed sum shall be recoverable as a debt, together with all costs, including legal costs, reasonably incurred by the Company in recovering the sum and together with interest thereon for the period commencing on the date the first installment was paid to you and ending on the date on which the Company receives repayment of such monies in full, such interest to be calculated at the prevailing prime interest rate published on the date the sign-on bonus was paid to you.</w:t>
      </w:r>
    </w:p>
    <w:p>
      <w:pPr>
        <w:pStyle w:val="TextBody"/>
        <w:bidi w:val="0"/>
        <w:spacing w:lineRule="auto" w:line="288"/>
        <w:jc w:val="left"/>
        <w:rPr/>
      </w:pPr>
      <w:r>
        <w:rPr>
          <w:rFonts w:ascii="Times New Roman;serif" w:hAnsi="Times New Roman;serif"/>
          <w:b/>
          <w:color w:val="000000"/>
          <w:sz w:val="24"/>
        </w:rPr>
        <w:t>Annual Equity Grant:</w:t>
      </w:r>
      <w:r>
        <w:rPr>
          <w:color w:val="000000"/>
        </w:rPr>
        <w:t xml:space="preserve"> </w:t>
      </w:r>
      <w:r>
        <w:rPr>
          <w:rFonts w:ascii="Times New Roman;serif" w:hAnsi="Times New Roman;serif"/>
          <w:b w:val="false"/>
          <w:color w:val="000000"/>
          <w:sz w:val="24"/>
        </w:rPr>
        <w:t xml:space="preserve">It is the Company’s intent to recommend that you should participate in the 2028 annual equity grant cycle under the same terms applicable to and at a level given to similarly situated employees. Subject to approval by the Company’s Board of Directors, the Company anticipates an initial target long-term incentive grant for the 2028 annual equity grant cycle with an aggregate grant date fair value of approximately $2,000,000.00 (subject to rounding), using the average closing price of the Company’s common stock over the 30 trading days immediately preceding your commencement of employment to calculate the target number of awards, comprised of 50% restricted stock units (“RSUs”) and 50% performance share awards (“PSUs”) that will have a maximum term of ten years, and, (A) in the case of the RSUs will vest ratably over a 3-year period commencing on the first anniversary of the grant date (B) in the case of the PSUs will vest over a 3-year performance period commencing on the first anniversary of the grant date on the same terms and conditions as the PSUs awarded to other senior executives in the Board’s unfettered discretion. All equity grants are contingent upon your execution of an equity award agreement that will contain terms and conditions governing the grant. The Company’s Board of Directors shall have complete and unfettered discretion to decide whether or not to grant you an equity award, to establish the amount and type of such award, if any, the vesting schedule, and to set all other terms and conditions of the award in accordance with the Company’s applicable equity plan. Receipt of any equity grant will be contingent upon your execution of an equity agreement, the terms of which will be established by the Company’s Board in its discretion.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color w:val="000000"/>
          <w:sz w:val="24"/>
        </w:rPr>
        <w:t>Make-Whole Equity Award:</w:t>
      </w:r>
      <w:r>
        <w:rPr>
          <w:color w:val="000000"/>
        </w:rPr>
        <w:t xml:space="preserve"> </w:t>
      </w:r>
      <w:r>
        <w:rPr>
          <w:rFonts w:ascii="Times New Roman;serif" w:hAnsi="Times New Roman;serif"/>
          <w:b w:val="false"/>
          <w:color w:val="000000"/>
          <w:sz w:val="24"/>
        </w:rPr>
        <w:t>It is the Company’s intent to recommend that you receive a one-time, make-whole award grant of RSUs as an inducement to your commencement of employment with the Company and representing an amount comparable to forfeited compensation from your former employer, at the next available grant cycle following your commencement of employment, with an aggregate grant date fair value of approximately $2,300,000.00 (subject to rounding), using the average closing price of the Company’s common stock over the 30 trading days immediately preceding the commencement of your employment with the Company to calculate the number of RSUs (the “Make-Whole Equity Award”). The Make-Whole Equity Award vests ratably over a 3-year period commencing on the first anniversary of the grant date. All equity grants are contingent upon your execution of an equity award agreement that will contain terms and conditions governing the grant, as well as a confidentiality, non-solicitation and non-compete agreement.</w:t>
      </w:r>
    </w:p>
    <w:p>
      <w:pPr>
        <w:pStyle w:val="TextBody"/>
        <w:bidi w:val="0"/>
        <w:spacing w:lineRule="auto" w:line="288" w:before="100" w:after="100"/>
        <w:jc w:val="both"/>
        <w:rPr/>
      </w:pPr>
      <w:r>
        <w:rPr>
          <w:rFonts w:ascii="Times New Roman;serif" w:hAnsi="Times New Roman;serif"/>
          <w:b/>
          <w:color w:val="000000"/>
          <w:sz w:val="24"/>
        </w:rPr>
        <w:t xml:space="preserve">One-Time Equity Award: </w:t>
      </w:r>
      <w:r>
        <w:rPr>
          <w:rFonts w:ascii="Times New Roman;serif" w:hAnsi="Times New Roman;serif"/>
          <w:b w:val="false"/>
          <w:color w:val="000000"/>
          <w:sz w:val="24"/>
        </w:rPr>
        <w:t>It is the Company’s intent to recommend that you receive a one-time grant as an inducement to your employment with the Company, at the next available grant cycle following your commencement of employment, of an award of PSUs with an aggregate grant date fair value of approximately $1,700,000.00 (subject to rounding), using the average closing price of the Company’s common stock over the 30 trading days immediately preceding your commencement of employment to calculate the target number of PSUs (the “One-Time Equity Award”). The One-Time Equity Award vests over a 3-year performance period commencing on the first anniversary of the grant date. All equity grants are contingent upon your execution of an equity award agreement that will contain terms and conditions governing the grant, as well as a confidentiality, non-solicitation and non-compete agreement. Notwithstanding any stock price calculation, the total number of RSUs comprising the Make-Whole Equity Award and the total number of PSUs comprising this One-Time Equity Award, combined, shall not exceed 400,000 total RSUs/PSUs. Notwithstanding any contradictory or different language in any Company plan or document, in the event of a Change in Control (as such term is defined in the Fortrea Holdings Inc. 2023 Omnibus Incentive Plan) occurring before the first anniversary of the grant date, one-third of the Target Performance Shares specified in the notice of grant for the One-Time Equity Award will vest at closing, with the actual number of shares determined based on the price per share in the Change in Control; and, in the event of a Change in Control occurring on or after the first anniversary of the grant date and before the Vesting Date (as such term is defined in the award agreement for the One-Time Equity Award), a prorated number of Target Performance Shares shall vest in an amount determined based on a fraction, the numerator of which is the number of full months that have elapsed since the first day of your employment with the Company and the denominator of which is the number of full months between your start date and the Vesting Date.</w:t>
      </w:r>
    </w:p>
    <w:p>
      <w:pPr>
        <w:pStyle w:val="TextBody"/>
        <w:bidi w:val="0"/>
        <w:spacing w:lineRule="auto" w:line="288" w:before="100" w:after="100"/>
        <w:jc w:val="both"/>
        <w:rPr/>
      </w:pPr>
      <w:r>
        <w:rPr>
          <w:rFonts w:ascii="Times New Roman;serif" w:hAnsi="Times New Roman;serif"/>
          <w:b/>
          <w:color w:val="000000"/>
          <w:sz w:val="24"/>
        </w:rPr>
        <w:t>Benefits:</w:t>
      </w:r>
      <w:r>
        <w:rPr>
          <w:color w:val="000000"/>
        </w:rPr>
        <w:t xml:space="preserve"> </w:t>
      </w:r>
      <w:r>
        <w:rPr>
          <w:rFonts w:ascii="Times New Roman;serif" w:hAnsi="Times New Roman;serif"/>
          <w:b w:val="false"/>
          <w:color w:val="000000"/>
          <w:sz w:val="24"/>
        </w:rPr>
        <w:t>Your Fortrea benefits (if eligible) —for you and any eligible dependent(s)—are granted on the first day of the month following your start date. You shall be entitled to participate in all employee benefit plans, practices, and programs maintained by the Company, as in effect from time to time, that are generally made available to senior executives of the Company. The Company reserves the right to amend, modify, or cancel any employee benefit plans, practices, and programs, and any fringe benefits at any time.</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pPr>
      <w:r>
        <w:rPr>
          <w:rFonts w:ascii="Times New Roman;serif" w:hAnsi="Times New Roman;serif"/>
          <w:b/>
          <w:color w:val="000000"/>
          <w:sz w:val="24"/>
        </w:rPr>
        <w:t>Prior Employer Obligations; Defense of Claims:</w:t>
      </w:r>
      <w:r>
        <w:rPr>
          <w:color w:val="000000"/>
        </w:rPr>
        <w:t xml:space="preserve"> </w:t>
      </w:r>
      <w:r>
        <w:rPr>
          <w:rFonts w:ascii="Times New Roman;serif" w:hAnsi="Times New Roman;serif"/>
          <w:b w:val="false"/>
          <w:color w:val="000000"/>
          <w:sz w:val="24"/>
        </w:rPr>
        <w:t>In response to your request to the Company, and subject to the limitations below, the Company agrees to reimburse you for reasonable, documented, out-of-pocket legal fees and expenses actually incurred by you in connection with the defense of any third-party claim first asserted against you by Clario Holdings, Inc., Goldcup TopCo, L.P., or Thermo Fisher Scientific Inc. (“</w:t>
      </w:r>
      <w:r>
        <w:rPr>
          <w:rFonts w:ascii="Times New Roman;serif" w:hAnsi="Times New Roman;serif"/>
          <w:b/>
          <w:color w:val="000000"/>
          <w:sz w:val="24"/>
        </w:rPr>
        <w:t>Clario Parties</w:t>
      </w:r>
      <w:r>
        <w:rPr>
          <w:color w:val="000000"/>
        </w:rPr>
        <w:t>”</w:t>
      </w:r>
      <w:r>
        <w:rPr>
          <w:rFonts w:ascii="Times New Roman;serif" w:hAnsi="Times New Roman;serif"/>
          <w:b w:val="false"/>
          <w:color w:val="000000"/>
          <w:sz w:val="24"/>
        </w:rPr>
        <w:t>) alleging that your employment with the Company constitutes a breach of Section 6(a)(i) of the Transaction Support Agreement dated October 28, 2025 entered into by you and the Clario Parties (“</w:t>
      </w:r>
      <w:r>
        <w:rPr>
          <w:rFonts w:ascii="Times New Roman;serif" w:hAnsi="Times New Roman;serif"/>
          <w:b/>
          <w:color w:val="000000"/>
          <w:sz w:val="24"/>
        </w:rPr>
        <w:t>Clario Covenant Agreement</w:t>
      </w:r>
      <w:r>
        <w:rPr>
          <w:color w:val="000000"/>
        </w:rPr>
        <w:t>”</w:t>
      </w:r>
      <w:r>
        <w:rPr>
          <w:rFonts w:ascii="Times New Roman;serif" w:hAnsi="Times New Roman;serif"/>
          <w:b w:val="false"/>
          <w:color w:val="000000"/>
          <w:sz w:val="24"/>
        </w:rPr>
        <w:t>). Having reviewed the Clario Covenant Agreement, you have informed us you believe in good faith that your employment by the Company, as contemplated herein, should not be considered a breach of the Clario Covenant Agreement, and the Company has made its own independent determination regarding these matters to the same conclusion. You covenant to the Company that you will not, during the course of your employment with the Company, seek to utilize any trade secrets or confidential or proprietary information belonging to any of your prior employers or take any action that would breach any obligation you may have to your prior employers. </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The Company's indemnification obligations to you are limited as follows:</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(a) The Company shall have no obligation to indemnify you for (i) any amounts paid to settle any claim; (ii) any judgments, fines, penalties, or other monetary awards entered against you; (iii) any forfeiture, reduction, or denial of severance pay, equity awards, or any other compensation under any Company plan, program, policy, or agreement; (iv) any consequential, special, or indirect damages, including lost compensation or benefits; (v) any claims arising from any agreement other than Section 6(a)(i) of the Clario Covenant Agreement; and (vi) any fees, costs, or expenses incurred as a result of you asserting any counterclaims against any of the Clario Parties.</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(b) The Company shall have no obligation to indemnify you, and may recover any amounts paid to you for indemnification, if any claim arises out of or relates to (i) your gross negligence, willful misconduct, or fraud with respect to the Company; (ii) your breach of fiduciary duty to the Company; (iii) your use, disclosure, or misappropriation of confidential or proprietary information or trade secrets of any third party, including the Clario Parties; (iv) conduct outside the scope of your employment with the Company; or (v) your material breach of any agreement with the Company.</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You shall promptly notify the Company in writing provided to both the Company’s Chief Executive Officer and the Company’s General Counsel of any claim covered by this indemnification obligation or for which you intend to seek indemnification. The Company’s obligation to indemnify you under this offer letter is conditioned on your continued compliance with your representations and obligations in this offer letter regarding your prior employers.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You shall select and retain defense counsel; provided, however, that the Company's obligation to reimburse legal fees shall be limited to fees charged at rates that are reasonable and customary for attorneys of similar experience and qualifications in the relevant jurisdiction. The Company shall have no obligation to advance fees or expenses and shall reimburse only after receipt of reasonably detailed invoices. </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Nothing in this offer letter shall be construed as an admission or acknowledgment by the Company that your employment with the Company violates any agreement or that any indemnification obligation has been triggered.</w:t>
      </w:r>
    </w:p>
    <w:p>
      <w:pPr>
        <w:pStyle w:val="TextBody"/>
        <w:bidi w:val="0"/>
        <w:spacing w:lineRule="auto" w:line="288" w:before="100" w:after="100"/>
        <w:jc w:val="both"/>
        <w:rPr/>
      </w:pPr>
      <w:r>
        <w:rPr>
          <w:rFonts w:ascii="Times New Roman;serif" w:hAnsi="Times New Roman;serif"/>
          <w:b/>
          <w:color w:val="000000"/>
          <w:sz w:val="24"/>
        </w:rPr>
        <w:t xml:space="preserve">Conditions of Employment: </w:t>
      </w:r>
      <w:r>
        <w:rPr>
          <w:rFonts w:ascii="Times New Roman;serif" w:hAnsi="Times New Roman;serif"/>
          <w:b w:val="false"/>
          <w:color w:val="000000"/>
          <w:sz w:val="24"/>
        </w:rPr>
        <w:t>This offer and your employment by the Company are contingent upon the timely and successful completion of a post-offer drug screen test, background evaluation including but not limited to whether or not you have been sanctioned or excluded from participating in any Medicare, Medicaid or other government-funded program, and U.S. Citizenship and Immigration Service’s I-9 Form. This offer and your employment by the Company are also contingent upon your timely execution of all documentation required by the Company as part of the orientation process, including, but not limited to, execution of tax withholding documentation and execution of a Confidentiality/Non-Competition/Non-Solicitation Agreement. You have represented to the Company, and the Company conveys this offer in reliance upon your representations, that you have disclosed all restrictive covenants with any former employer that would remain in effect at any point during your employment with the Company. The Company expects that you will honor and protect all contractual and legal obligations owed to any former employer and will not use, disclose or divulge any trade secrets or confidential and proprietary information of your former employer in the course of your employment with the Company. In the event you believe that the performance of the duties of your position might violate any legal or contractual obligation owed to any prior employer, you must immediately report your concerns to your supervisor, and the Company reserves the right to review any contractual agreements previously signed by you that may restrict or prevent you from performing your job duties. The Company further reserves the right to rescind your offer of employment should the Company determine that any prior agreement restricts or prevents you from performing those duties.</w:t>
      </w:r>
    </w:p>
    <w:p>
      <w:pPr>
        <w:pStyle w:val="TextBody"/>
        <w:bidi w:val="0"/>
        <w:spacing w:lineRule="auto" w:line="288" w:before="100" w:after="100"/>
        <w:jc w:val="both"/>
        <w:rPr/>
      </w:pPr>
      <w:r>
        <w:rPr>
          <w:rFonts w:ascii="Times New Roman;serif" w:hAnsi="Times New Roman;serif"/>
          <w:b/>
          <w:color w:val="000000"/>
          <w:sz w:val="24"/>
        </w:rPr>
        <w:t xml:space="preserve">Background Checks: </w:t>
      </w:r>
      <w:r>
        <w:rPr>
          <w:rFonts w:ascii="Times New Roman;serif" w:hAnsi="Times New Roman;serif"/>
          <w:b w:val="false"/>
          <w:color w:val="000000"/>
          <w:sz w:val="24"/>
        </w:rPr>
        <w:t>This offer of employment and the commencement date set forth above are conditional upon satisfactory completion of background checks as permitted under applicable laws. Failure to satisfactorily complete the background checks may result in the deferral of the commencement date to a later date to be determined by the Company, withdrawal of the offer of employment, or dismissal, in accordance with the terms of this offer letter and applicable laws.</w:t>
      </w:r>
    </w:p>
    <w:p>
      <w:pPr>
        <w:pStyle w:val="TextBody"/>
        <w:bidi w:val="0"/>
        <w:spacing w:lineRule="auto" w:line="288" w:before="100" w:after="100"/>
        <w:jc w:val="both"/>
        <w:rPr/>
      </w:pPr>
      <w:r>
        <w:rPr>
          <w:rFonts w:ascii="Times New Roman;serif" w:hAnsi="Times New Roman;serif"/>
          <w:b/>
          <w:color w:val="000000"/>
          <w:sz w:val="24"/>
        </w:rPr>
        <w:t>Confidentiality/Non-Competition/Non-Solicitation Agreement:</w:t>
      </w:r>
      <w:r>
        <w:rPr>
          <w:color w:val="000000"/>
        </w:rPr>
        <w:t xml:space="preserve"> </w:t>
      </w:r>
      <w:r>
        <w:rPr>
          <w:rFonts w:ascii="Times New Roman;serif" w:hAnsi="Times New Roman;serif"/>
          <w:b w:val="false"/>
          <w:color w:val="000000"/>
          <w:sz w:val="24"/>
        </w:rPr>
        <w:t>We attach and incorporate by reference the Confidentiality/Non-Competition/Non-Solicitation Agreement as if fully set forth herein. By signing this offer letter, you agree to be, and hereby are, bound to all terms and conditions of that agreement.  Carefully read the full agreement before signing this offer letter.</w:t>
      </w:r>
    </w:p>
    <w:p>
      <w:pPr>
        <w:pStyle w:val="TextBody"/>
        <w:bidi w:val="0"/>
        <w:spacing w:lineRule="auto" w:line="288" w:before="100" w:after="100"/>
        <w:jc w:val="both"/>
        <w:rPr/>
      </w:pPr>
      <w:r>
        <w:rPr>
          <w:rFonts w:ascii="Times New Roman;serif" w:hAnsi="Times New Roman;serif"/>
          <w:b/>
          <w:color w:val="000000"/>
          <w:sz w:val="24"/>
        </w:rPr>
        <w:t xml:space="preserve">Term of Employment: </w:t>
      </w:r>
      <w:r>
        <w:rPr>
          <w:rFonts w:ascii="Times New Roman;serif" w:hAnsi="Times New Roman;serif"/>
          <w:b w:val="false"/>
          <w:color w:val="000000"/>
          <w:sz w:val="24"/>
        </w:rPr>
        <w:t>Your employment with the Company is an at-will relationship. As such, and subject to the terms of the Fortrea Inc. Master Senior Executive Severance Plan or its successor plan, both you and the Company retain the right to terminate your employment at any time for any reason not prohibited by law.</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By signing below, you hereby confirm that you have represented to the Company (and the Company conveys this offer in reliance upon your representations) that you can perform the duties of this position and are not bound by a non-compete/non-solicitation or similar agreement between you and any former employer or any third party that you have not provided to the Company for review. This offer letter supersedes any previous offer letters provided to you by the Company.</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I hope the above terms are acceptable and I look forward to having you join the Fortrea team as we transform drug and device development for partners and patients across the globe. Please do not hesitate to reach out to me directly if you have any questions.</w:t>
      </w:r>
    </w:p>
    <w:p>
      <w:pPr>
        <w:pStyle w:val="TextBody"/>
        <w:bidi w:val="0"/>
        <w:spacing w:before="100" w:after="100"/>
        <w:jc w:val="both"/>
        <w:rPr/>
      </w:pPr>
      <w:r>
        <w:rPr/>
      </w:r>
    </w:p>
    <w:tbl>
      <w:tblPr>
        <w:tblW w:w="4451" w:type="dxa"/>
        <w:jc w:val="left"/>
        <w:tblInd w:w="0" w:type="dxa"/>
        <w:tblLayout w:type="fixed"/>
        <w:tblCellMar>
          <w:top w:w="28" w:type="dxa"/>
          <w:left w:w="28" w:type="dxa"/>
          <w:bottom w:w="28" w:type="dxa"/>
          <w:right w:w="28" w:type="dxa"/>
        </w:tblCellMar>
      </w:tblPr>
      <w:tblGrid>
        <w:gridCol w:w="124"/>
        <w:gridCol w:w="109"/>
        <w:gridCol w:w="109"/>
        <w:gridCol w:w="279"/>
        <w:gridCol w:w="279"/>
        <w:gridCol w:w="281"/>
        <w:gridCol w:w="956"/>
        <w:gridCol w:w="956"/>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/s/ David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Name:</w:t>
            </w:r>
          </w:p>
        </w:tc>
        <w:tc>
          <w:tcPr>
            <w:tcW w:w="32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David H.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Title:</w:t>
            </w:r>
          </w:p>
        </w:tc>
        <w:tc>
          <w:tcPr>
            <w:tcW w:w="32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Chief Administrative Officer</w:t>
            </w:r>
          </w:p>
        </w:tc>
      </w:tr>
    </w:tbl>
    <w:p>
      <w:pPr>
        <w:pStyle w:val="TextBody"/>
        <w:bidi w:val="0"/>
        <w:spacing w:before="100" w:after="100"/>
        <w:jc w:val="both"/>
        <w:rPr/>
      </w:pPr>
      <w:r>
        <w:rPr/>
      </w:r>
    </w:p>
    <w:p>
      <w:pPr>
        <w:pStyle w:val="TextBody"/>
        <w:bidi w:val="0"/>
        <w:spacing w:lineRule="auto" w:line="240" w:before="100" w:after="100"/>
        <w:jc w:val="both"/>
        <w:rPr>
          <w:rFonts w:ascii="Times New Roman;serif" w:hAnsi="Times New Roman;serif"/>
          <w:b w:val="false"/>
          <w:i/>
          <w:color w:val="000000"/>
          <w:sz w:val="24"/>
        </w:rPr>
      </w:pPr>
      <w:r>
        <w:rPr>
          <w:rFonts w:ascii="Times New Roman;serif" w:hAnsi="Times New Roman;serif"/>
          <w:b w:val="false"/>
          <w:i/>
          <w:color w:val="000000"/>
          <w:sz w:val="24"/>
        </w:rPr>
        <w:t xml:space="preserve">By electronically signing below, I knowingly and voluntarily sign this offer letter and specifically understand that I am bound by the terms and conditions of the attached Confidentiality/Non-Competition/Non-Solicitation Agreement.  </w:t>
      </w:r>
    </w:p>
    <w:p>
      <w:pPr>
        <w:pStyle w:val="TextBody"/>
        <w:bidi w:val="0"/>
        <w:spacing w:before="100" w:after="100"/>
        <w:jc w:val="both"/>
        <w:rPr/>
      </w:pPr>
      <w:r>
        <w:rPr/>
      </w:r>
    </w:p>
    <w:tbl>
      <w:tblPr>
        <w:tblW w:w="3551" w:type="dxa"/>
        <w:jc w:val="left"/>
        <w:tblInd w:w="0" w:type="dxa"/>
        <w:tblLayout w:type="fixed"/>
        <w:tblCellMar>
          <w:top w:w="28" w:type="dxa"/>
          <w:left w:w="28" w:type="dxa"/>
          <w:bottom w:w="28" w:type="dxa"/>
          <w:right w:w="28" w:type="dxa"/>
        </w:tblCellMar>
      </w:tblPr>
      <w:tblGrid>
        <w:gridCol w:w="124"/>
        <w:gridCol w:w="109"/>
        <w:gridCol w:w="109"/>
        <w:gridCol w:w="279"/>
        <w:gridCol w:w="279"/>
        <w:gridCol w:w="281"/>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/s/ Jason Knoblauch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Name:</w:t>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Jason Knoblauch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Date:</w:t>
            </w:r>
          </w:p>
        </w:tc>
        <w:tc>
          <w:tcPr>
            <w:tcW w:w="23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June 22, 2026</w:t>
            </w:r>
          </w:p>
        </w:tc>
      </w:tr>
    </w:tbl>
    <w:p>
      <w:pPr>
        <w:pStyle w:val="TextBody"/>
        <w:bidi w:val="0"/>
        <w:spacing w:before="100" w:after="100"/>
        <w:jc w:val="both"/>
        <w:rPr/>
      </w:pPr>
      <w:r>
        <w:rPr/>
      </w:r>
    </w:p>
    <w:p>
      <w:pPr>
        <w:pStyle w:val="TextBody"/>
        <w:bidi w:val="0"/>
        <w:spacing w:before="100" w:after="100"/>
        <w:jc w:val="both"/>
        <w:rPr/>
      </w:pPr>
      <w:r>
        <w:rPr/>
      </w:r>
    </w:p>
    <w:p>
      <w:pPr>
        <w:pStyle w:val="TextBody"/>
        <w:bidi w:val="0"/>
        <w:spacing w:before="0" w:after="16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CONFIDENTIALITY/NON-COMPETITION/NON-SOLICITATION AGREEMENT</w:t>
      </w:r>
    </w:p>
    <w:p>
      <w:pPr>
        <w:pStyle w:val="TextBody"/>
        <w:bidi w:val="0"/>
        <w:spacing w:lineRule="auto" w:line="288"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During the course of your employment with Fortrea Holdings Inc. (“Fortrea”) or its subsidiaries, divisions, or affiliates, you will have access to, or will acquire, highly Confidential Information (as defined below) and Trade Secrets (as defined below) concerning Fortrea’s and the Employer Company’s, as defined in Paragraph 9(e), business, including, but not limited to, customer lists, pricing, methods of pricing, marketing practices, advertising strategy, methods of operation and the needs and requirements of Employer Company’s and/or Fortrea’s customers. In addition, you will receive from Fortrea or Employer Company and/or be exposed to Fortrea’s or the Employer Company’s valuable technical and marketing information that will materially aid you in the performance of your duties on behalf of the Employer Company, and assist you and/or the Employer Company in furthering the Employer Company’s business interests, including establishing and retaining the Employer Company’s customers. The support furnished to you by the Employer Company will enable you to increase the value of the Employer Company’s goodwill with the Employer Company’s customers, which is a valuable asset of the Employer Company.</w:t>
      </w:r>
    </w:p>
    <w:p>
      <w:pPr>
        <w:pStyle w:val="TextBody"/>
        <w:bidi w:val="0"/>
        <w:spacing w:lineRule="auto" w:line="288" w:before="0" w:after="160"/>
        <w:jc w:val="both"/>
        <w:rPr>
          <w:color w:val="000000"/>
        </w:rPr>
      </w:pPr>
      <w:r>
        <w:rPr>
          <w:color w:val="000000"/>
        </w:rPr>
        <w:t>    </w:t>
      </w:r>
      <w:r>
        <w:rPr>
          <w:rFonts w:ascii="Times New Roman;serif" w:hAnsi="Times New Roman;serif"/>
          <w:b w:val="false"/>
          <w:color w:val="000000"/>
          <w:sz w:val="24"/>
        </w:rPr>
        <w:t>As indicated by the foregoing, the services you will be performing for the Employer Company will be of a special, unique and extraordinary nature. Accordingly, in consideration of your employment with Fortrea and Fortrea extending to you, as applicable, certain incentive compensation in the form of Restricted Stock Units, Performance Shares, Restricted Stock and/or Options as set forth in the offer letter or Agreement(s) to which this agreement is made a part thereof and which governs the grant of said benefits, any and all of which benefits otherwise would not be provided to you absent your agreement to be bound by the terms of this Confidentiality/Non-Competition/Non-Solicitation Agreement (“Restrictive Covenant Agreement”), you agree that:</w:t>
      </w:r>
    </w:p>
    <w:p>
      <w:pPr>
        <w:pStyle w:val="TextBody"/>
        <w:bidi w:val="0"/>
        <w:spacing w:lineRule="auto" w:line="288"/>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Property Rights and Work Product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All ideas, inventions, discoveries, developments, standard operating procedures, designs, algorithms, improvements, formulae, processes, techniques, programs, know-how, data, databases, notes, business plans, reports, presentations, and any other work product relating to the Employer Company’s business or anticipated business, together with all printed, physical and electronic copies and other tangible embodiments thereof (hereafter collectively referred to as “Work Product”) created, generated, developed, conceived or reduced to practice by you individually or jointly with others as part of your employment with the Employer Company shall (to the extent consisting of copyrightable subject matter) be deemed to be work made for hire, and the Employer Company shall be the sole owner of all rights, title and interest in and to the Work Product.  To the extent such Work Product, or any part thereof, does not constitute “work made for hire” as defined in the Copyright Act of 1976 (17 U.S.C. § 101) or equivalent laws of a non-US jurisdiction, you agree to permanently and irrevocably assign, and hereby permanently and irrevocably assign, to the Employer Company all of your right, title and interest in and to the Work Product, together with all goodwill therein and the right to sue, counterclaim and recover for past, present and future infringement misappropriation, and dilution thereof.  The Employer Company may, at its own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expense, prepare and process applications for copyrights, trademarks, service marks, or patents and other intellectual property rights therein arising in any jurisdiction, and may take other actions that it deems necessary or appropriate to protect its rights in and to the aforementioned items.  You shall cooperate with the Employer Company in protecting and enforcing its rights therein, including by executing such applications and other documentation prepared for the protection and enforcement of its rights, title and interest in such Work Product and assigning such documentation to the Employer Company, and delivering to the Employer Company all printed, physical and electronic copies and other tangible embodiments of the Work Product that may come into your possession. This Paragraph 1 shall not apply to an invention that you developed entirely on your own time without using the Employer Company’s equipment, supplies, facility or trade secret information except for those inventions that (i) relate to the Employer Company’s business or actual or demonstrably anticipated research or development, or (ii) result from any work performed by you for the Employer Company.</w:t>
      </w:r>
    </w:p>
    <w:p>
      <w:pPr>
        <w:pStyle w:val="TextBody"/>
        <w:bidi w:val="0"/>
        <w:spacing w:before="0" w:after="0"/>
        <w:jc w:val="both"/>
        <w:rPr/>
      </w:pPr>
      <w:r>
        <w:rPr/>
      </w:r>
    </w:p>
    <w:p>
      <w:pPr>
        <w:pStyle w:val="TextBody"/>
        <w:bidi w:val="0"/>
        <w:spacing w:lineRule="auto" w:line="288"/>
        <w:ind w:left="0" w:right="0" w:hanging="630"/>
        <w:jc w:val="both"/>
        <w:rPr/>
      </w:pPr>
      <w:r>
        <w:rPr>
          <w:rFonts w:ascii="Times New Roman;serif" w:hAnsi="Times New Roman;serif"/>
          <w:b w:val="false"/>
          <w:color w:val="000000"/>
          <w:sz w:val="24"/>
        </w:rPr>
        <w:t>2.</w:t>
      </w:r>
      <w:r>
        <w:rPr>
          <w:rFonts w:ascii="Times New Roman;serif" w:hAnsi="Times New Roman;serif"/>
          <w:b/>
          <w:color w:val="000000"/>
          <w:sz w:val="24"/>
        </w:rPr>
        <w:t>Confidentiality</w:t>
      </w:r>
      <w:r>
        <w:rPr>
          <w:rFonts w:ascii="Times New Roman;serif" w:hAnsi="Times New Roman;serif"/>
          <w:b w:val="false"/>
          <w:color w:val="000000"/>
          <w:sz w:val="24"/>
        </w:rPr>
        <w:t xml:space="preserve">. You agree that during the term of your employment and for any time after your termination, you shall not, without the prior written consent of the Employer Company, divulge to any third party or use for your own benefit, or for any purpose other than the exclusive benefit of the Employer Company, any Confidential Information of the Employer Company, Fortrea and its subsidiaries, divisions, or affiliates. In this Restrictive Covenant Agreement, “Confidential Information” shall mean information that concerns the Employer Company’s, Fortrea’s and its subsidiaries', divisions', or affiliates' Trade Secrets, prices, pricing methods, costs, profits, profit margins, suppliers, methods, procedures, processes or combinations or applications thereof developed in, by, or for the Employer Company’s business, research and development projects, data, business strategies, marketing strategies, sales techniques, customer, supplier or employee lists, customer information, financial information, employee performance or evaluations (other than your own), or any other information concerning the Employer Company or its business that is not readily and easily available to the public or to those persons in the same business, trade, or industry of the Employer Company. The term “Trade Secret” as used in this Restrictive Covenant Agreement shall mean any proprietary information, including a formula, pattern, compilation, program, device, method, technique, or process, which is marked in writing as a ‘trade secret’ at the time of disclosure, that: (i) gives its owner an opportunity to obtain an advantage over competitors who do not know or use it; (ii) derives independent economic value, actual or potential, from not being generally known to, and not being readily ascertainable by proper means or by reverse engineering by other persons who can obtain economic value from its disclosure or use; and (iii) is the subject of reasonable efforts, under the circumstances, by its owner to maintain its secrecy. The term “customer information” as used in this Restrictive Covenant Agreement shall mean information that concerns the course of dealing between the Employer Company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and its customers or potential customers solicited by the Employer Company, customer preferences, particular contracts or locations of customers or potential customers, negotiations with customers, and any other information concerning customers or potential customers obtained by the Employer Company that is not readily and easily available to the public or to those in the business, trade, or industry of the Employer Company. Your obligation not to disclose Confidential Information does not prohibit you from (a) disclosing the information to a government agency if you are required to produce the information pursuant to a subpoena, court order, administrative order or other legal process, (b) discussing terms and conditions of employment or engaging in other activities protected by the National Labor Relations Act, (c) communicating with the Securities and Exchange Commission about securities law violations, or (d) communicating with any other government entity or agency if such communication is to report a violation of applicable law. However, you shall notify the Employer Company in writing within three (3) calendar days of the receipt of any subpoena, court order, administrative order or other legal process requiring disclosure of Confidential Information and shall provide the Employer Company with a copy of said subpoena, court order, administrative order or other legal process. The U.S. Defend Trade Secrets Act of 2016 (the “DTSA”) provides that an individual shall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Nothing in this Agreement prevents you from providing, without prior notice to the Company or Employer Company, information to governmental authorities regarding possible legal violations or otherwise testifying or participating in any investigation or proceeding by any governmental authorities regarding possible legal violations. </w:t>
      </w:r>
    </w:p>
    <w:p>
      <w:pPr>
        <w:pStyle w:val="TextBody"/>
        <w:bidi w:val="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Non-Solicitation of Fortrea Employees</w:t>
      </w:r>
      <w:r>
        <w:rPr>
          <w:rFonts w:ascii="Times New Roman;serif" w:hAnsi="Times New Roman;serif"/>
          <w:b w:val="false"/>
          <w:color w:val="000000"/>
          <w:sz w:val="24"/>
        </w:rPr>
        <w:t>. During the term of your employment with the Company or the Employer Company and for a period of twelve (12) months following the termination of your employment with the Company or the Employer Company, you shall not, and shall not instruct or assist a subordinate, co-worker, peer, or any other person or entity to, contact, solicit, encourage or induce any officer, director or employee of Fortrea or its subsidiaries and affiliates to work for or provide services to you and/or any other person or entity that either (i) directly provides products or services that compete with the products or services provided by the Employer Company in a geographic market serviced by the Employer Company or (ii) supplies, services, advises or consults with a person, trade or business that provides products or services that compete with the products or services provided by the Employer Company in a geographic market serviced by the Employer Company.</w:t>
      </w:r>
    </w:p>
    <w:p>
      <w:pPr>
        <w:pStyle w:val="TextBody"/>
        <w:bidi w:val="0"/>
        <w:spacing w:lineRule="auto" w:line="288" w:before="0" w:after="240"/>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rPr>
        <w:t xml:space="preserve">Non-Solicitation of Customers. </w:t>
      </w:r>
      <w:r>
        <w:rPr>
          <w:rFonts w:ascii="Times New Roman;serif" w:hAnsi="Times New Roman;serif"/>
          <w:b w:val="false"/>
          <w:color w:val="000000"/>
          <w:sz w:val="24"/>
        </w:rPr>
        <w:t xml:space="preserve">During your employment with the Company or the Employer Company and for a period of twelve (12) months following the voluntary or involuntary termination of your employment, you will not, and shall not instruct or assist a subordinate, co-worker, peer or other person or entity to, call upon, contact, or solicit or attempt to call upon, contact or solicit any customer or customer prospect of the Employer Company, with a view toward the sale or providing of any service or product competitive with the products and services offered by the Employer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the restrictions set forth in this Paragraph 4 shall apply only to customers or prospects of the Employer Company, or representatives of the same, with which you had contact during the last twenty-four (24) months of your employment with the Employer Company. The parties agree and affirm that their intention with respect to this Paragraph 4 is that your activities be limited only for a twelve (12) month period after termination of your employment with the Employer Company for any reason. The provisions calling for a “look back” of twenty-four (24) months prior to the termination of employment are intended solely as a means of identifying the customers and potential customers to which such restrictions apply and are not intended to nor shall they, under any circumstances, be construed to define the length or term of any such restriction</w:t>
      </w:r>
      <w:r>
        <w:rPr>
          <w:rFonts w:ascii="Times New Roman;serif" w:hAnsi="Times New Roman;serif"/>
          <w:b/>
          <w:color w:val="000000"/>
          <w:sz w:val="24"/>
        </w:rPr>
        <w: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rPr>
        <w:t>Noncompetition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During your employment with the Company or the Employer Company and for a period of twelve (12) months following your voluntary or involuntary termination of employment, you shall not become an owner in, shareholder with more than a 2% equity interest in, investor in, or an employee, contractor, consultant, advisor, representative, officer, director, or agent of, a trade or business that offers products and services that are the same or substantially similar to the products and services provided by the Employer Company in any geographic market in which the Employer Company conducts business (“Competitor”), as evidenced by the books and records of the Employer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duties and responsibilities of said employment or engagement as an owner in, shareholder with more than 2% equity interest in, investor in, employee, contractor, consultant, advisor, representative, officer, director or agent are (i) the same, substantially similar to, or substantially related to your current duties and responsibilities or duties or responsibilities performed by you while employed by the Employer Company at any time during a six (6) month period prior to your date of termination of employment and (ii) related to or concerning the Competitor’s business activities in the Restricted Territory. The parties agree and affirm that their intention with respect to this Paragraph 5 is that your activities shall be limited only for the twelve (12) month period after termination of employment for any reason. The provisions calling for a “look back” of six (6) months prior to the date of termination of employment are intended solely as a means of identifying the duties and responsibilities that will define the restricted activities covered by this Paragraph 5 and are not intended to nor shall they, under any circumstances, be construed to define the length or term of any such restriction. For purposes of this Paragraph 5, the term “Restricted Territory” means the geographic area that is part of your current duties and responsibilities or the geographic area that was part of your duties and responsibilities within the six (6) month period prior to the date of your termination of employment. If a court of competent jurisdiction determines that the Restricted Territory as defined herein is too restrictive, then the parties agree that said court may reduce or limit the Restricted Territory to the largest acceptable area so as to enable the enforcement of this Paragraph 5.</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rPr>
        <w:t>Return of Confidential Information</w:t>
      </w:r>
      <w:r>
        <w:rPr>
          <w:rFonts w:ascii="Times New Roman;serif" w:hAnsi="Times New Roman;serif"/>
          <w:b w:val="false"/>
          <w:color w:val="000000"/>
          <w:sz w:val="24"/>
        </w:rPr>
        <w:t>. At any time upon the request of the Employer Company or upon your termination of your employment, you shall return to the Employer Company any and all Employer Company property including but not limited to laptops, phones, smart phones and documents or materials in your possession, custody and control that contain Confidential Information. You also agree that upon termination of employment, you shall destroy any Confidential Information stored on your personal computer or other data storage device. Along with the return of said documents and materials, you shall provide the Employer Company (upon the Employer Company’s request) with a sworn or written statement indicating that you do not have possession, custody and control of any of the Employer Company’s Confidential Information and have destroyed all of the Employer Company’s data electronically stored on your personal computer or other data storage device, including any copies made at any time.</w:t>
      </w:r>
    </w:p>
    <w:p>
      <w:pPr>
        <w:pStyle w:val="TextBody"/>
        <w:bidi w:val="0"/>
        <w:spacing w:lineRule="auto" w:line="288" w:before="0" w:after="240"/>
        <w:ind w:left="0" w:right="0" w:hanging="720"/>
        <w:jc w:val="both"/>
        <w:rPr/>
      </w:pPr>
      <w:r>
        <w:rPr>
          <w:rFonts w:ascii="Times New Roman;serif" w:hAnsi="Times New Roman;serif"/>
          <w:b w:val="false"/>
          <w:color w:val="000000"/>
          <w:sz w:val="24"/>
        </w:rPr>
        <w:t>7.</w:t>
      </w:r>
      <w:r>
        <w:rPr>
          <w:color w:val="000000"/>
        </w:rPr>
        <w:t>    </w:t>
      </w:r>
      <w:r>
        <w:rPr>
          <w:rFonts w:ascii="Times New Roman;serif" w:hAnsi="Times New Roman;serif"/>
          <w:b/>
          <w:color w:val="000000"/>
          <w:sz w:val="24"/>
        </w:rPr>
        <w:t>Notice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Notice shall be effective only if it is made in writing and actually or constructively received by the individuals below. To be effective, any notice required under this Restrictive Covenant Agreement must be sent by nationally recognized express delivery courier or by certified mail, return receipt requested, to the person(s) and address(es) listed below. </w:t>
      </w:r>
    </w:p>
    <w:p>
      <w:pPr>
        <w:pStyle w:val="TextBody"/>
        <w:bidi w:val="0"/>
        <w:spacing w:lineRule="auto" w:line="288" w:before="0" w:after="0"/>
        <w:ind w:left="0" w:right="0" w:firstLine="288"/>
        <w:jc w:val="both"/>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lineRule="auto" w:line="288" w:before="0" w:after="0"/>
        <w:ind w:left="0" w:right="0" w:firstLine="288"/>
        <w:jc w:val="both"/>
        <w:rPr>
          <w:rFonts w:ascii="Times New Roman;serif" w:hAnsi="Times New Roman;serif"/>
          <w:b w:val="false"/>
          <w:color w:val="000000"/>
          <w:sz w:val="24"/>
        </w:rPr>
      </w:pPr>
      <w:r>
        <w:rPr>
          <w:rFonts w:ascii="Times New Roman;serif" w:hAnsi="Times New Roman;serif"/>
          <w:b w:val="false"/>
          <w:color w:val="000000"/>
          <w:sz w:val="24"/>
        </w:rPr>
        <w:t>Fortrea Holdings Inc.</w:t>
      </w:r>
    </w:p>
    <w:p>
      <w:pPr>
        <w:pStyle w:val="TextBody"/>
        <w:bidi w:val="0"/>
        <w:spacing w:lineRule="auto" w:line="288" w:before="0" w:after="0"/>
        <w:ind w:left="0" w:right="0" w:firstLine="288"/>
        <w:jc w:val="both"/>
        <w:rPr>
          <w:rFonts w:ascii="Times New Roman;serif" w:hAnsi="Times New Roman;serif"/>
          <w:b w:val="false"/>
          <w:color w:val="000000"/>
          <w:sz w:val="24"/>
        </w:rPr>
      </w:pPr>
      <w:r>
        <w:rPr>
          <w:rFonts w:ascii="Times New Roman;serif" w:hAnsi="Times New Roman;serif"/>
          <w:b w:val="false"/>
          <w:color w:val="000000"/>
          <w:sz w:val="24"/>
        </w:rPr>
        <w:t>8 Moore Drive</w:t>
      </w:r>
    </w:p>
    <w:p>
      <w:pPr>
        <w:pStyle w:val="TextBody"/>
        <w:bidi w:val="0"/>
        <w:spacing w:lineRule="auto" w:line="288" w:before="0" w:after="160"/>
        <w:ind w:left="0" w:right="0" w:firstLine="288"/>
        <w:jc w:val="both"/>
        <w:rPr>
          <w:rFonts w:ascii="Times New Roman;serif" w:hAnsi="Times New Roman;serif"/>
          <w:b w:val="false"/>
          <w:color w:val="000000"/>
          <w:sz w:val="24"/>
        </w:rPr>
      </w:pPr>
      <w:r>
        <w:rPr>
          <w:rFonts w:ascii="Times New Roman;serif" w:hAnsi="Times New Roman;serif"/>
          <w:b w:val="false"/>
          <w:color w:val="000000"/>
          <w:sz w:val="24"/>
        </w:rPr>
        <w:t>Durham, NC 27709    </w: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0"/>
        <w:ind w:left="0" w:right="0" w:firstLine="288"/>
        <w:jc w:val="both"/>
        <w:rPr>
          <w:rFonts w:ascii="Times New Roman;serif" w:hAnsi="Times New Roman;serif"/>
          <w:b w:val="false"/>
          <w:color w:val="000000"/>
          <w:sz w:val="24"/>
        </w:rPr>
      </w:pPr>
      <w:r>
        <w:rPr>
          <w:rFonts w:ascii="Times New Roman;serif" w:hAnsi="Times New Roman;serif"/>
          <w:b w:val="false"/>
          <w:color w:val="000000"/>
          <w:sz w:val="24"/>
        </w:rPr>
        <w:t>Chief Administrative Officer</w:t>
      </w:r>
    </w:p>
    <w:p>
      <w:pPr>
        <w:pStyle w:val="TextBody"/>
        <w:bidi w:val="0"/>
        <w:spacing w:lineRule="auto" w:line="288" w:before="0" w:after="0"/>
        <w:ind w:left="0" w:right="0" w:firstLine="288"/>
        <w:jc w:val="both"/>
        <w:rPr>
          <w:rFonts w:ascii="Times New Roman;serif" w:hAnsi="Times New Roman;serif"/>
          <w:b w:val="false"/>
          <w:color w:val="000000"/>
          <w:sz w:val="24"/>
        </w:rPr>
      </w:pPr>
      <w:r>
        <w:rPr>
          <w:rFonts w:ascii="Times New Roman;serif" w:hAnsi="Times New Roman;serif"/>
          <w:b w:val="false"/>
          <w:color w:val="000000"/>
          <w:sz w:val="24"/>
        </w:rPr>
        <w:t>Fortrea Holdings Inc.</w:t>
      </w:r>
    </w:p>
    <w:p>
      <w:pPr>
        <w:pStyle w:val="TextBody"/>
        <w:bidi w:val="0"/>
        <w:spacing w:lineRule="auto" w:line="288" w:before="0" w:after="0"/>
        <w:ind w:left="0" w:right="0" w:firstLine="288"/>
        <w:jc w:val="both"/>
        <w:rPr>
          <w:rFonts w:ascii="Times New Roman;serif" w:hAnsi="Times New Roman;serif"/>
          <w:b w:val="false"/>
          <w:color w:val="000000"/>
          <w:sz w:val="24"/>
        </w:rPr>
      </w:pPr>
      <w:r>
        <w:rPr>
          <w:rFonts w:ascii="Times New Roman;serif" w:hAnsi="Times New Roman;serif"/>
          <w:b w:val="false"/>
          <w:color w:val="000000"/>
          <w:sz w:val="24"/>
        </w:rPr>
        <w:t>8 Moore Drive</w:t>
      </w:r>
    </w:p>
    <w:p>
      <w:pPr>
        <w:pStyle w:val="TextBody"/>
        <w:bidi w:val="0"/>
        <w:spacing w:lineRule="auto" w:line="288" w:before="0" w:after="160"/>
        <w:ind w:left="0" w:right="0" w:firstLine="288"/>
        <w:jc w:val="both"/>
        <w:rPr>
          <w:rFonts w:ascii="Times New Roman;serif" w:hAnsi="Times New Roman;serif"/>
          <w:b w:val="false"/>
          <w:color w:val="000000"/>
          <w:sz w:val="24"/>
        </w:rPr>
      </w:pPr>
      <w:r>
        <w:rPr>
          <w:rFonts w:ascii="Times New Roman;serif" w:hAnsi="Times New Roman;serif"/>
          <w:b w:val="false"/>
          <w:color w:val="000000"/>
          <w:sz w:val="24"/>
        </w:rPr>
        <w:t>Durham, NC 27709</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4"/>
        </w:rPr>
        <w:t>and, if to you, notice shall be sent to your last known mailing address on record at the Employer Company. You have an obligation to ensure that the Employer Company’s records contain your most recent address.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color w:val="000000"/>
          <w:sz w:val="24"/>
        </w:rPr>
        <w:t>Breach/Available Remedies</w:t>
      </w:r>
      <w:r>
        <w:rPr>
          <w:rFonts w:ascii="Times New Roman;serif" w:hAnsi="Times New Roman;serif"/>
          <w:b w:val="false"/>
          <w:color w:val="000000"/>
          <w:sz w:val="24"/>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a.Except as otherwise provided in this subparagraph, if any provision of this Restrictive Covenant Agreement shall be determined to be invalid or unenforceable by a court of competent jurisdiction, that part shall be ineffective to the extent of such invalidity or unenforceability only, without in any way affecting the remaining parts of said provision or the remaining provisions of this Restrictive Covenant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any provision contained in this Restrictive Covenant Agreement shall be adjudicated to be invalid or unenforceable because such provision is held to be excessively broad as to duration, geographic scope, activity or subject, the parties agree that the said provision shall be limited and reduced to the maximum extent compatible with the applicable laws of such jurisdiction, and such amendment only to apply with respect to the operation of such provision in the applicable jurisdiction in which the adjudication is made.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b.You agree that as part of this Restrictive Covenant Agreement, you will have access to the Employer Company’s Confidential Information, personnel, and existing and potential customers of the Employer Company. You further agree that the Employer Company maintains a competitive advantage over other persons or entities in the trade or business of providing commercial drug development and medical testing services as a result of the Employer Company’s Confidential Information, personnel, and existing and potential customer contacts. You further agree that the Employer Company will be placed at a competitive disadvantage in the event that you breach this Restrictive Covenant Agreement and that damages would not be an adequate or reasonable remedy in the event of such breach. Accordingly, you stipulate that in the event that you breach one or more of the provisions set forth in this Restrictive Covenant Agreement, the Employer Company will be entitled to an injunction restraining you from violating the terms of those paragraphs. Nothing herein shall be construed as prohibiting the Employer Company from pursuing any other remedy available for such breach or prospective breach. </w:t>
      </w:r>
    </w:p>
    <w:p>
      <w:pPr>
        <w:pStyle w:val="TextBody"/>
        <w:bidi w:val="0"/>
        <w:spacing w:lineRule="auto" w:line="288" w:before="0" w:after="240"/>
        <w:ind w:left="0" w:right="0" w:hanging="720"/>
        <w:jc w:val="both"/>
        <w:rPr/>
      </w:pPr>
      <w:r>
        <w:rPr>
          <w:rFonts w:ascii="Times New Roman;serif" w:hAnsi="Times New Roman;serif"/>
          <w:b w:val="false"/>
          <w:color w:val="000000"/>
          <w:sz w:val="24"/>
        </w:rPr>
        <w:t>9.</w:t>
      </w:r>
      <w:r>
        <w:rPr>
          <w:color w:val="000000"/>
        </w:rPr>
        <w:t>    </w:t>
      </w:r>
      <w:r>
        <w:rPr>
          <w:rFonts w:ascii="Times New Roman;serif" w:hAnsi="Times New Roman;serif"/>
          <w:b/>
          <w:color w:val="000000"/>
          <w:sz w:val="24"/>
        </w:rPr>
        <w:t>Miscellaneous</w:t>
      </w:r>
      <w:r>
        <w:rPr>
          <w:rFonts w:ascii="Times New Roman;serif" w:hAnsi="Times New Roman;serif"/>
          <w:b w:val="false"/>
          <w:color w:val="000000"/>
          <w:sz w:val="24"/>
        </w:rPr>
        <w:t>.</w:t>
      </w:r>
      <w:r>
        <w:rPr>
          <w:color w:val="000000"/>
        </w:rPr>
        <w:t xml:space="preserve"> </w:t>
      </w:r>
    </w:p>
    <w:p>
      <w:pPr>
        <w:pStyle w:val="TextBody"/>
        <w:bidi w:val="0"/>
        <w:spacing w:lineRule="auto" w:line="288"/>
        <w:ind w:left="0" w:right="0" w:hanging="720"/>
        <w:jc w:val="both"/>
        <w:rPr/>
      </w:pPr>
      <w:r>
        <w:rPr>
          <w:rFonts w:ascii="Times New Roman;serif" w:hAnsi="Times New Roman;serif"/>
          <w:b w:val="false"/>
          <w:color w:val="000000"/>
          <w:sz w:val="24"/>
        </w:rPr>
        <w:t>a.Absent any other agreement to the contrary, nothing herein shall be construed as giving you the right to continued service or employment relationship with the Employer Company.</w:t>
      </w:r>
      <w:r>
        <w:rPr>
          <w:color w:val="000000"/>
        </w:rPr>
        <w:t xml:space="preserve"> </w:t>
      </w:r>
      <w:r>
        <w:rPr>
          <w:rFonts w:ascii="Times New Roman;serif" w:hAnsi="Times New Roman;serif"/>
          <w:b w:val="false"/>
          <w:color w:val="000000"/>
          <w:sz w:val="24"/>
        </w:rPr>
        <w:t>This Agreement does not alter or amend in any way the Employer Company's right to terminate the employment relationship in accordance with any offer letter, employment contract or applicable law.</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b.You represent and warrant that you are not a party to any contract, agreement or understanding that prevents or prohibits you from entering into and fully performing under this Restrictive Covenant Agreement.</w:t>
      </w:r>
    </w:p>
    <w:p>
      <w:pPr>
        <w:pStyle w:val="TextBody"/>
        <w:bidi w:val="0"/>
        <w:spacing w:lineRule="auto" w:line="288" w:before="16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c.In the event a court of law declares any provision of this Restrictive Covenant Agreement to be null and void, it is understood and agreed by you and the Employer Company that such clause shall be severed from this Restrictive Covenant Agreement and that the remaining provisions of this Restrictive Covenant Agreement shall continue to be binding on you.</w:t>
      </w:r>
    </w:p>
    <w:p>
      <w:pPr>
        <w:pStyle w:val="TextBody"/>
        <w:bidi w:val="0"/>
        <w:spacing w:lineRule="auto" w:line="288" w:before="160" w:after="240"/>
        <w:ind w:left="0" w:right="0" w:hanging="709"/>
        <w:jc w:val="both"/>
        <w:rPr>
          <w:rFonts w:ascii="Times New Roman;serif" w:hAnsi="Times New Roman;serif"/>
          <w:b w:val="false"/>
          <w:color w:val="000000"/>
          <w:sz w:val="24"/>
        </w:rPr>
      </w:pPr>
      <w:r>
        <w:rPr>
          <w:rFonts w:ascii="Times New Roman;serif" w:hAnsi="Times New Roman;serif"/>
          <w:b w:val="false"/>
          <w:color w:val="000000"/>
          <w:sz w:val="24"/>
        </w:rPr>
        <w:t>d.It is understood and agreed by you and Fortrea that this Confidentiality/Non-Competition/Non-Solicitation Agreement constitutes the agreement in its entirety and supersedes any previous Confidentiality/Non-Competition/Non-Solicitation Agreement previously executed by you as part of an Equity Award Agreement with Fortrea. This Confidentiality/Non-Competition/Non-Solicitation Agreement replaces any other non-compete, non-solicitation and confidentiality agreement which you may have previously executed in favor of Fortrea or one of its subsidiary companies incorporated within the United States. This Confidentiality/Non-Competition/Non-Solicitation Agreement shall not replace, amend, restrict, otherwise modify or supersede any employment contract or agreement between you and a foreign subsidiary of Fortrea and shall not amend, alter or affect any non-compete, non-solicitation or confidentiality agreement executed by you and Fortrea or an Employer Company in connection with a merger or acquisition agreement of a business entity with whom you were previously employed or affiliated, including, but not limited to, an ownership or investment interest in said entity.</w:t>
      </w:r>
    </w:p>
    <w:p>
      <w:pPr>
        <w:pStyle w:val="TextBody"/>
        <w:bidi w:val="0"/>
        <w:spacing w:lineRule="auto" w:line="288" w:before="0" w:after="160"/>
        <w:ind w:left="0" w:right="0" w:hanging="709"/>
        <w:jc w:val="both"/>
        <w:rPr>
          <w:rFonts w:ascii="Times New Roman;serif" w:hAnsi="Times New Roman;serif"/>
          <w:b w:val="false"/>
          <w:color w:val="000000"/>
          <w:sz w:val="24"/>
        </w:rPr>
      </w:pPr>
      <w:r>
        <w:rPr>
          <w:rFonts w:ascii="Times New Roman;serif" w:hAnsi="Times New Roman;serif"/>
          <w:b w:val="false"/>
          <w:color w:val="000000"/>
          <w:sz w:val="24"/>
        </w:rPr>
        <w:t>e.For purposes of this Restrictive Covenant Agreement, the Employer Company shall mean Fortrea or its subsidiary and affiliated companies with whom you are employed at the commencement of your employment, as well as any subsequent parent, subsidiary or affiliated company that becomes the employing entity in the event of a transfer, promotion, assignment, reassignment or corporate restructuring.</w:t>
      </w:r>
    </w:p>
    <w:p>
      <w:pPr>
        <w:pStyle w:val="TextBody"/>
        <w:bidi w:val="0"/>
        <w:spacing w:lineRule="auto" w:line="288" w:before="0" w:after="1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f.As used herein, “affiliate” shall mean a current or future company or other business entity that, directly or indirectly, is controlled by, controls or is under common control with Fortrea. For the purposes of the preceding sentence, the meaning of the word “control” shall include, but not necessarily be limited to, ownership of more than fifty percent (50%) of the voting shares or other interest of the Employer Company or other business entity.</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g.This Restrictive Covenant Agreement shall be binding upon you and shall inure to the benefit of the parties and their respective personal representatives, heirs, affiliates, successors, and assigns. Fortrea may at its sole discretion assign its rights under this Restrictive Covenant Agreement. </w:t>
      </w:r>
    </w:p>
    <w:p>
      <w:pPr>
        <w:pStyle w:val="TextBody"/>
        <w:bidi w:val="0"/>
        <w:spacing w:lineRule="auto" w:line="288" w:before="0" w:after="1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h.You affirm by signing this Restrictive Covenant Agreement that you have completely read this entire Restrictive Covenant Agreement and understand the terms and conditions included within this Restrictive Covenant Agreement. You also agree that this Restrictive Covenant Agreement may not be modified or altered in any respect except in writing, signed by you and Fortrea. </w:t>
      </w:r>
    </w:p>
    <w:p>
      <w:pPr>
        <w:pStyle w:val="TextBody"/>
        <w:bidi w:val="0"/>
        <w:spacing w:lineRule="auto" w:line="288" w:before="0" w:after="1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i.This Restrictive Covenant Agreement shall be deemed to have been entered into in the State of North Carolina and shall be construed in accordance with and governed by the laws of North Carolina, to the exclusion of the laws of any other forum including but not limited to the laws of the State of California. You agree, acknowledge and recognize that by virtue of your employment with the Employer Company, with its principal place of business in North Carolina, and your own contacts and business dealings with Fortrea and the Employer Company in North Carolina, North Carolina has a substantial relationship to this Restrictive Covenant Agreement and a materially greater interest in applying its laws, over and to the exclusion of the laws of any other forum, to the resolution of any dispute arising out of or relating to this Restrictive Covenant Agreement.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hanging="720"/>
        <w:jc w:val="both"/>
        <w:rPr/>
      </w:pPr>
      <w:r>
        <w:rPr>
          <w:rFonts w:ascii="Times New Roman;serif" w:hAnsi="Times New Roman;serif"/>
          <w:b w:val="false"/>
          <w:color w:val="000000"/>
          <w:sz w:val="24"/>
        </w:rPr>
        <w:t xml:space="preserve">j.Any action, special proceeding or other proceeding, including without limitation any request for temporary, preliminary, or permanent injunctive relief with respect to this Restrictive Covenant Agreement shall be brought exclusively in the federal or state courts of the State of North Carolina. </w:t>
      </w:r>
      <w:r>
        <w:rPr>
          <w:rFonts w:ascii="Times New Roman;serif" w:hAnsi="Times New Roman;serif"/>
          <w:b/>
          <w:i/>
          <w:color w:val="000000"/>
          <w:sz w:val="24"/>
        </w:rPr>
        <w:t>You and the Employer Company irrevocably consent to the jurisdiction of the Federal and State courts of North Carolina and you hereby consent and submit to personal jurisdiction in the State of North Carolina. You and the Employer Company irrevocably waive any objection, including an objection or defense based on lack of personal jurisdiction, improper venue or forum non-conveniens which either may now or hereafter have to the bringing of any action or proceeding in connection with this Restrictive Covenant Agreement. You acknowledge and recognize that in the event that you breach this Restrictive Covenant Agreement, the Employer Company may initiate a lawsuit against you in North Carolina, that you waive your right to have that lawsuit be brought in a court located closer to where you may reside, and that you will be required to travel to and defend yourself in North Carolina. You likewise agree that to the extent you institute any action arising out of or relating to this Restrictive Covenant Agreement, it shall be brought in North Carolina and doing so does not present any undue burden or inconvenience to you.</w:t>
      </w:r>
    </w:p>
    <w:p>
      <w:pPr>
        <w:pStyle w:val="TextBody"/>
        <w:bidi w:val="0"/>
        <w:spacing w:lineRule="auto" w:line="288" w:before="0" w:after="1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k.You shall at all times abide by such laws and regulations, including but not limited to such laws which relate to the improper inducement for referrals of items or services reimbursable by the Federal health care programs 42 U.S.C. § 1320a-7b(b) (the “anti-kickback statute”). You acknowledge that you are (i) aware that the United States securities laws prohibit any person who has material nonpublic information about the Employer Company from purchasing or selling securities of such Employer Company, or from communicating such information to any other person under circumstances in which it is reasonably foreseeable that such person is likely to purchase or sell such securities and (ii) familiar with the Securities Exchange Act of 1934 and the rules and regulations promulgated thereunder and agrees that you will neither use, nor cause any third party to use, any information in contravention of such Act or any such rules and regulations, including Rules 10b-5 and 14e-3.</w:t>
      </w:r>
    </w:p>
    <w:p>
      <w:pPr>
        <w:pStyle w:val="TextBody"/>
        <w:bidi w:val="0"/>
        <w:spacing w:lineRule="auto" w:line="288" w:before="0" w:after="1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l.Except as stated otherwise herein, this Restrictive Covenant Agreement contains the entire agreement between the parties hereto with respect to the subject matter hereof, and there are no representations, warranties, covenants, conditions, understandings or agreements other than those expressly set forth herein.</w:t>
      </w:r>
    </w:p>
    <w:p>
      <w:pPr>
        <w:pStyle w:val="TextBody"/>
        <w:bidi w:val="0"/>
        <w:spacing w:before="0" w:after="16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pPr>
      <w:r>
        <w:rPr>
          <w:rFonts w:ascii="Times New Roman;serif" w:hAnsi="Times New Roman;serif"/>
          <w:b/>
          <w:color w:val="000000"/>
          <w:sz w:val="24"/>
        </w:rPr>
        <w:t>[</w:t>
      </w:r>
      <w:r>
        <w:rPr>
          <w:rFonts w:ascii="Times New Roman;serif" w:hAnsi="Times New Roman;serif"/>
          <w:b w:val="false"/>
          <w:i/>
          <w:color w:val="000000"/>
          <w:sz w:val="24"/>
        </w:rPr>
        <w:t>Signature page to the Confidentiality/Non-Competition/Non-Solicitation Agreement</w:t>
      </w:r>
      <w:r>
        <w:rPr>
          <w:rFonts w:ascii="Times New Roman;serif" w:hAnsi="Times New Roman;serif"/>
          <w:b w:val="false"/>
          <w:color w:val="000000"/>
          <w:sz w:val="24"/>
        </w:rPr>
        <w:t>]</w:t>
      </w:r>
    </w:p>
    <w:p>
      <w:pPr>
        <w:pStyle w:val="TextBody"/>
        <w:bidi w:val="0"/>
        <w:spacing w:before="0" w:after="240"/>
        <w:jc w:val="both"/>
        <w:rPr/>
      </w:pPr>
      <w:r>
        <w:rPr/>
      </w:r>
    </w:p>
    <w:tbl>
      <w:tblPr>
        <w:tblW w:w="3850" w:type="dxa"/>
        <w:jc w:val="left"/>
        <w:tblInd w:w="0" w:type="dxa"/>
        <w:tblLayout w:type="fixed"/>
        <w:tblCellMar>
          <w:top w:w="28" w:type="dxa"/>
          <w:left w:w="28" w:type="dxa"/>
          <w:bottom w:w="28" w:type="dxa"/>
          <w:right w:w="28" w:type="dxa"/>
        </w:tblCellMar>
      </w:tblPr>
      <w:tblGrid>
        <w:gridCol w:w="124"/>
        <w:gridCol w:w="109"/>
        <w:gridCol w:w="109"/>
        <w:gridCol w:w="279"/>
        <w:gridCol w:w="279"/>
        <w:gridCol w:w="281"/>
        <w:gridCol w:w="780"/>
        <w:gridCol w:w="780"/>
        <w:gridCol w:w="11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Agreed and Accepted: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/s/ Jason Knoblauch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Name:</w:t>
            </w:r>
          </w:p>
        </w:tc>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Jason Knoblauch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Date:</w:t>
            </w:r>
          </w:p>
        </w:tc>
        <w:tc>
          <w:tcPr>
            <w:tcW w:w="266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June 22, 2026</w:t>
            </w:r>
          </w:p>
        </w:tc>
      </w:tr>
    </w:tbl>
    <w:p>
      <w:pPr>
        <w:pStyle w:val="TextBody"/>
        <w:bidi w:val="0"/>
        <w:spacing w:before="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FORTREA HOLDINGS INC.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NON-EMPLOYEE DIRECTOR COMPENSATION POLICY</w:t>
      </w:r>
    </w:p>
    <w:p>
      <w:pPr>
        <w:pStyle w:val="TextBody"/>
        <w:bidi w:val="0"/>
        <w:spacing w:lineRule="auto" w:line="288" w:before="180" w:after="180"/>
        <w:jc w:val="left"/>
        <w:rPr/>
      </w:pPr>
      <w:r>
        <w:rPr>
          <w:rFonts w:ascii="Times New Roman;serif" w:hAnsi="Times New Roman;serif"/>
          <w:b w:val="false"/>
          <w:color w:val="000000"/>
          <w:sz w:val="24"/>
          <w:shd w:fill="FFFFFF" w:val="clear"/>
        </w:rPr>
        <w:t>The Board of Directors of Fortrea Holdings Inc. (the “</w:t>
      </w:r>
      <w:r>
        <w:rPr>
          <w:rFonts w:ascii="Times New Roman;serif" w:hAnsi="Times New Roman;serif"/>
          <w:b w:val="false"/>
          <w:color w:val="000000"/>
          <w:sz w:val="24"/>
          <w:u w:val="single"/>
          <w:shd w:fill="FFFFFF" w:val="clear"/>
        </w:rPr>
        <w:t>Company</w:t>
      </w:r>
      <w:r>
        <w:rPr>
          <w:color w:val="000000"/>
          <w:shd w:fill="FFFFFF" w:val="clear"/>
        </w:rPr>
        <w:t>”</w:t>
      </w:r>
      <w:r>
        <w:rPr>
          <w:rFonts w:ascii="Times New Roman;serif" w:hAnsi="Times New Roman;serif"/>
          <w:b w:val="false"/>
          <w:color w:val="000000"/>
          <w:sz w:val="24"/>
          <w:shd w:fill="FFFFFF" w:val="clear"/>
        </w:rPr>
        <w:t>) approved the following Non-Employee Director Compensation Policy (the “</w:t>
      </w:r>
      <w:r>
        <w:rPr>
          <w:rFonts w:ascii="Times New Roman;serif" w:hAnsi="Times New Roman;serif"/>
          <w:b w:val="false"/>
          <w:color w:val="000000"/>
          <w:sz w:val="24"/>
          <w:u w:val="single"/>
          <w:shd w:fill="FFFFFF" w:val="clear"/>
        </w:rPr>
        <w:t>Policy</w:t>
      </w:r>
      <w:r>
        <w:rPr>
          <w:color w:val="000000"/>
          <w:shd w:fill="FFFFFF" w:val="clear"/>
        </w:rPr>
        <w:t>”</w:t>
      </w:r>
      <w:r>
        <w:rPr>
          <w:rFonts w:ascii="Times New Roman;serif" w:hAnsi="Times New Roman;serif"/>
          <w:b w:val="false"/>
          <w:color w:val="000000"/>
          <w:sz w:val="24"/>
          <w:shd w:fill="FFFFFF" w:val="clear"/>
        </w:rPr>
        <w:t>) which establishes compensation to be paid to non-employee directors of the Company, effective as of May 20, 2026 (the “</w:t>
      </w:r>
      <w:r>
        <w:rPr>
          <w:rFonts w:ascii="Times New Roman;serif" w:hAnsi="Times New Roman;serif"/>
          <w:b w:val="false"/>
          <w:color w:val="000000"/>
          <w:sz w:val="24"/>
          <w:u w:val="single"/>
          <w:shd w:fill="FFFFFF" w:val="clear"/>
        </w:rPr>
        <w:t>Effective Date</w:t>
      </w:r>
      <w:r>
        <w:rPr>
          <w:color w:val="000000"/>
          <w:shd w:fill="FFFFFF" w:val="clear"/>
        </w:rPr>
        <w:t>”</w:t>
      </w:r>
      <w:r>
        <w:rPr>
          <w:rFonts w:ascii="Times New Roman;serif" w:hAnsi="Times New Roman;serif"/>
          <w:b w:val="false"/>
          <w:color w:val="000000"/>
          <w:sz w:val="24"/>
          <w:shd w:fill="FFFFFF" w:val="clear"/>
        </w:rPr>
        <w:t>), to provide an inducement to obtain and retain the services of qualified persons to serve as members of the Company’s Board of Directors.</w:t>
      </w:r>
    </w:p>
    <w:p>
      <w:pPr>
        <w:pStyle w:val="TextBody"/>
        <w:bidi w:val="0"/>
        <w:spacing w:lineRule="auto" w:line="288" w:before="0" w:after="0"/>
        <w:ind w:left="0" w:right="0" w:firstLine="144"/>
        <w:jc w:val="left"/>
        <w:rPr/>
      </w:pPr>
      <w:r>
        <w:rPr>
          <w:rFonts w:ascii="Times New Roman;serif" w:hAnsi="Times New Roman;serif"/>
          <w:b/>
          <w:color w:val="000000"/>
          <w:sz w:val="24"/>
        </w:rPr>
        <w:t xml:space="preserve">I. </w:t>
      </w:r>
      <w:r>
        <w:rPr>
          <w:rFonts w:ascii="Times New Roman;serif" w:hAnsi="Times New Roman;serif"/>
          <w:b/>
          <w:color w:val="000000"/>
          <w:sz w:val="24"/>
          <w:shd w:fill="FFFFFF" w:val="clear"/>
        </w:rPr>
        <w:t>Applicable Persons</w:t>
      </w:r>
    </w:p>
    <w:p>
      <w:pPr>
        <w:pStyle w:val="TextBody"/>
        <w:bidi w:val="0"/>
        <w:spacing w:lineRule="auto" w:line="288" w:before="120" w:after="180"/>
        <w:jc w:val="left"/>
        <w:rPr/>
      </w:pPr>
      <w:r>
        <w:rPr>
          <w:rFonts w:ascii="Times New Roman;serif" w:hAnsi="Times New Roman;serif"/>
          <w:b w:val="false"/>
          <w:color w:val="000000"/>
          <w:sz w:val="24"/>
          <w:shd w:fill="FFFFFF" w:val="clear"/>
        </w:rPr>
        <w:t>This Policy shall apply to each director of the Company who is not an employee of the Company or any Affiliate (each, a “</w:t>
      </w:r>
      <w:r>
        <w:rPr>
          <w:rFonts w:ascii="Times New Roman;serif" w:hAnsi="Times New Roman;serif"/>
          <w:b w:val="false"/>
          <w:color w:val="000000"/>
          <w:sz w:val="24"/>
          <w:u w:val="single"/>
          <w:shd w:fill="FFFFFF" w:val="clear"/>
        </w:rPr>
        <w:t>Non-Employee Director</w:t>
      </w:r>
      <w:r>
        <w:rPr>
          <w:color w:val="000000"/>
          <w:shd w:fill="FFFFFF" w:val="clear"/>
        </w:rPr>
        <w:t>”</w:t>
      </w:r>
      <w:r>
        <w:rPr>
          <w:rFonts w:ascii="Times New Roman;serif" w:hAnsi="Times New Roman;serif"/>
          <w:b w:val="false"/>
          <w:color w:val="000000"/>
          <w:sz w:val="24"/>
          <w:shd w:fill="FFFFFF" w:val="clear"/>
        </w:rPr>
        <w:t>). “</w:t>
      </w:r>
      <w:r>
        <w:rPr>
          <w:rFonts w:ascii="Times New Roman;serif" w:hAnsi="Times New Roman;serif"/>
          <w:b w:val="false"/>
          <w:color w:val="000000"/>
          <w:sz w:val="24"/>
          <w:u w:val="single"/>
          <w:shd w:fill="FFFFFF" w:val="clear"/>
        </w:rPr>
        <w:t>Affiliate</w:t>
      </w:r>
      <w:r>
        <w:rPr>
          <w:color w:val="000000"/>
          <w:shd w:fill="FFFFFF" w:val="clear"/>
        </w:rPr>
        <w:t xml:space="preserve">” </w:t>
      </w:r>
      <w:r>
        <w:rPr>
          <w:rFonts w:ascii="Times New Roman;serif" w:hAnsi="Times New Roman;serif"/>
          <w:b w:val="false"/>
          <w:color w:val="000000"/>
          <w:sz w:val="24"/>
          <w:shd w:fill="FFFFFF" w:val="clear"/>
        </w:rPr>
        <w:t>shall mean an entity which is a direct or indirect parent or subsidiary of the Company, as determined pursuant to Section 424 of the Internal Revenue Code of 1986, as amended.</w:t>
      </w:r>
    </w:p>
    <w:p>
      <w:pPr>
        <w:pStyle w:val="TextBody"/>
        <w:bidi w:val="0"/>
        <w:spacing w:lineRule="auto" w:line="288" w:before="0" w:after="0"/>
        <w:ind w:left="0" w:right="0" w:firstLine="144"/>
        <w:jc w:val="left"/>
        <w:rPr/>
      </w:pPr>
      <w:r>
        <w:rPr>
          <w:rFonts w:ascii="Times New Roman;serif" w:hAnsi="Times New Roman;serif"/>
          <w:b/>
          <w:color w:val="000000"/>
          <w:sz w:val="24"/>
        </w:rPr>
        <w:t xml:space="preserve">II. </w:t>
      </w:r>
      <w:r>
        <w:rPr>
          <w:rFonts w:ascii="Times New Roman;serif" w:hAnsi="Times New Roman;serif"/>
          <w:b/>
          <w:color w:val="000000"/>
          <w:sz w:val="24"/>
          <w:shd w:fill="FFFFFF" w:val="clear"/>
        </w:rPr>
        <w:t>Equity Grant</w: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All equity amounts set forth herein shall be subject to automatic adjustment in the event of any stock split or other recapitalization affecting the Company’s common stock.</w:t>
      </w:r>
    </w:p>
    <w:p>
      <w:pPr>
        <w:pStyle w:val="TextBody"/>
        <w:bidi w:val="0"/>
        <w:spacing w:lineRule="auto" w:line="288" w:before="360" w:after="283"/>
        <w:jc w:val="left"/>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Annual Equity Grants</w:t>
      </w:r>
    </w:p>
    <w:p>
      <w:pPr>
        <w:pStyle w:val="TextBody"/>
        <w:bidi w:val="0"/>
        <w:spacing w:lineRule="auto" w:line="288" w:before="120" w:after="180"/>
        <w:jc w:val="left"/>
        <w:rPr/>
      </w:pPr>
      <w:r>
        <w:rPr>
          <w:rFonts w:ascii="Times New Roman;serif" w:hAnsi="Times New Roman;serif"/>
          <w:b w:val="false"/>
          <w:color w:val="000000"/>
          <w:sz w:val="24"/>
          <w:shd w:fill="FFFFFF" w:val="clear"/>
        </w:rPr>
        <w:t>Annually, each Non-Employee Director shall be granted restricted stock units (“</w:t>
      </w:r>
      <w:r>
        <w:rPr>
          <w:rFonts w:ascii="Times New Roman;serif" w:hAnsi="Times New Roman;serif"/>
          <w:b w:val="false"/>
          <w:color w:val="000000"/>
          <w:sz w:val="24"/>
          <w:u w:val="single"/>
          <w:shd w:fill="FFFFFF" w:val="clear"/>
        </w:rPr>
        <w:t>RSU</w:t>
      </w:r>
      <w:r>
        <w:rPr>
          <w:color w:val="000000"/>
          <w:shd w:fill="FFFFFF" w:val="clear"/>
        </w:rPr>
        <w:t>”</w:t>
      </w:r>
      <w:r>
        <w:rPr>
          <w:rFonts w:ascii="Times New Roman;serif" w:hAnsi="Times New Roman;serif"/>
          <w:b w:val="false"/>
          <w:color w:val="000000"/>
          <w:sz w:val="24"/>
          <w:shd w:fill="FFFFFF" w:val="clear"/>
        </w:rPr>
        <w:t>) with a market value as of the date of grant of $210,000 under the Company’s 2023 Omnibus Incentive Plan (the “</w:t>
      </w:r>
      <w:r>
        <w:rPr>
          <w:rFonts w:ascii="Times New Roman;serif" w:hAnsi="Times New Roman;serif"/>
          <w:b w:val="false"/>
          <w:color w:val="000000"/>
          <w:sz w:val="24"/>
          <w:u w:val="single"/>
          <w:shd w:fill="FFFFFF" w:val="clear"/>
        </w:rPr>
        <w:t>2023 Plan</w:t>
      </w:r>
      <w:r>
        <w:rPr>
          <w:color w:val="000000"/>
          <w:shd w:fill="FFFFFF" w:val="clear"/>
        </w:rPr>
        <w:t>”</w:t>
      </w:r>
      <w:r>
        <w:rPr>
          <w:rFonts w:ascii="Times New Roman;serif" w:hAnsi="Times New Roman;serif"/>
          <w:b w:val="false"/>
          <w:color w:val="000000"/>
          <w:sz w:val="24"/>
          <w:shd w:fill="FFFFFF" w:val="clear"/>
        </w:rPr>
        <w:t>) on the date of the first meeting of the Board of Directors held following the Company’s annual meeting of stockholders.</w:t>
      </w:r>
    </w:p>
    <w:p>
      <w:pPr>
        <w:pStyle w:val="TextBody"/>
        <w:bidi w:val="0"/>
        <w:spacing w:lineRule="auto" w:line="288" w:before="0" w:after="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shd w:fill="FFFFFF" w:val="clear"/>
        </w:rPr>
        <w:t>Initial Equity Grant for Newly Appointed or Elected Directors</w:t>
      </w:r>
    </w:p>
    <w:p>
      <w:pPr>
        <w:pStyle w:val="TextBody"/>
        <w:bidi w:val="0"/>
        <w:spacing w:lineRule="auto" w:line="288" w:before="120" w:after="18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Each new Non-Employee Director shall be granted restricted stock units (“RSU”) with a market value as of the date of grant of $210,000 under the Company’s 2023 Plan, pro-rated in year of initial election, at the first regularly scheduled meeting of the Board of Directors on or after his or her initial appointment or election to the Board of Directors.</w:t>
      </w:r>
    </w:p>
    <w:p>
      <w:pPr>
        <w:pStyle w:val="TextBody"/>
        <w:bidi w:val="0"/>
        <w:spacing w:lineRule="auto" w:line="288" w:before="0" w:after="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shd w:fill="FFFFFF" w:val="clear"/>
        </w:rPr>
        <w:t>Terms for All Equity Grants</w: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Unless otherwise specified by the Board of Directors or the Management Development and Compensation Committee at the time of grant, all equity granted under this Policy shall (i) vest 100% one year from the date of grant; (ii) vest 100% upon the consummation of a change-in-control; and (iii) contain such other terms and conditions as set forth in the form of RSU agreement approved by the Board of Directors or the Compensation Committee prior to the grant date. Subject to the continued service of each Non-Employee Director and unless otherwise specified by the Board of Directors or the Compensation Committee at the time of grant, each annual equity grant shall vest on the first anniversary of the date of grant and each initial equity grant shall vest on the one year anniversary date of grant.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
        <w:jc w:val="left"/>
        <w:rPr/>
      </w:pPr>
      <w:r>
        <w:rPr>
          <w:rFonts w:ascii="Times New Roman;serif" w:hAnsi="Times New Roman;serif"/>
          <w:b/>
          <w:color w:val="000000"/>
          <w:sz w:val="24"/>
        </w:rPr>
        <w:t xml:space="preserve">III. </w:t>
      </w:r>
      <w:r>
        <w:rPr>
          <w:rFonts w:ascii="Times New Roman;serif" w:hAnsi="Times New Roman;serif"/>
          <w:b/>
          <w:color w:val="000000"/>
          <w:sz w:val="24"/>
          <w:shd w:fill="FFFFFF" w:val="clear"/>
        </w:rPr>
        <w:t>Annual Fees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Amounts</w:t>
      </w:r>
    </w:p>
    <w:p>
      <w:pPr>
        <w:pStyle w:val="TextBody"/>
        <w:bidi w:val="0"/>
        <w:spacing w:lineRule="auto" w:line="288" w:before="120" w:after="283"/>
        <w:jc w:val="left"/>
        <w:rPr/>
      </w:pPr>
      <w:r>
        <w:rPr>
          <w:rFonts w:ascii="Times New Roman;serif" w:hAnsi="Times New Roman;serif"/>
          <w:b w:val="false"/>
          <w:color w:val="000000"/>
          <w:sz w:val="24"/>
          <w:shd w:fill="FFFFFF" w:val="clear"/>
        </w:rPr>
        <w:t>Each Non-Employee Director serving on the Board of Directors and the Audit Committee, Management Development and Compensation Committee and/or Nominating, Corporate Governance and Compliance Committee, as applicable, shall be entitled to the following annual amounts (the “</w:t>
      </w:r>
      <w:r>
        <w:rPr>
          <w:rFonts w:ascii="Times New Roman;serif" w:hAnsi="Times New Roman;serif"/>
          <w:b w:val="false"/>
          <w:color w:val="000000"/>
          <w:sz w:val="24"/>
          <w:u w:val="single"/>
          <w:shd w:fill="FFFFFF" w:val="clear"/>
        </w:rPr>
        <w:t>Annual Fees</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816"/>
        <w:gridCol w:w="707"/>
        <w:gridCol w:w="707"/>
        <w:gridCol w:w="707"/>
        <w:gridCol w:w="707"/>
        <w:gridCol w:w="707"/>
        <w:gridCol w:w="707"/>
        <w:gridCol w:w="707"/>
        <w:gridCol w:w="734"/>
        <w:gridCol w:w="109"/>
        <w:gridCol w:w="109"/>
        <w:gridCol w:w="109"/>
        <w:gridCol w:w="356"/>
        <w:gridCol w:w="356"/>
        <w:gridCol w:w="356"/>
        <w:gridCol w:w="356"/>
        <w:gridCol w:w="356"/>
        <w:gridCol w:w="356"/>
        <w:gridCol w:w="356"/>
        <w:gridCol w:w="356"/>
        <w:gridCol w:w="531"/>
      </w:tblGrid>
      <w:tr>
        <w:trPr/>
        <w:tc>
          <w:tcPr>
            <w:tcW w:w="8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64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Board of Directors / </w:t>
              <w:br/>
              <w:t>Committee Chairs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Annual Retainer</w:t>
              <w:br/>
              <w:t xml:space="preserve">Amount for Directors and Chairs </w:t>
            </w:r>
          </w:p>
        </w:tc>
      </w:tr>
      <w:tr>
        <w:trPr/>
        <w:tc>
          <w:tcPr>
            <w:tcW w:w="649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4"/>
              </w:rPr>
              <w:t>Board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$90,000</w:t>
            </w:r>
          </w:p>
        </w:tc>
      </w:tr>
      <w:tr>
        <w:trPr/>
        <w:tc>
          <w:tcPr>
            <w:tcW w:w="649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$125,000</w:t>
            </w:r>
          </w:p>
        </w:tc>
      </w:tr>
      <w:tr>
        <w:trPr/>
        <w:tc>
          <w:tcPr>
            <w:tcW w:w="6499"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4"/>
              </w:rPr>
              <w:t>Audit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$25,000</w:t>
            </w:r>
          </w:p>
        </w:tc>
      </w:tr>
      <w:tr>
        <w:trPr/>
        <w:tc>
          <w:tcPr>
            <w:tcW w:w="6499" w:type="dxa"/>
            <w:gridSpan w:val="9"/>
            <w:tcBorders/>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4"/>
              </w:rPr>
              <w:t>Management Development and Compensation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$20,000</w:t>
            </w:r>
          </w:p>
        </w:tc>
      </w:tr>
      <w:tr>
        <w:trPr/>
        <w:tc>
          <w:tcPr>
            <w:tcW w:w="6499"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4"/>
              </w:rPr>
              <w:t>Nominating, Corporate Governance and Compliance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$20,000</w:t>
            </w:r>
          </w:p>
        </w:tc>
      </w:tr>
    </w:tbl>
    <w:p>
      <w:pPr>
        <w:pStyle w:val="TextBody"/>
        <w:bidi w:val="0"/>
        <w:spacing w:lineRule="auto" w:line="288" w:before="180" w:after="18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Except as otherwise set forth in this Policy, all Annual Fees shall be paid in cash. </w:t>
      </w:r>
    </w:p>
    <w:p>
      <w:pPr>
        <w:pStyle w:val="TextBody"/>
        <w:bidi w:val="0"/>
        <w:spacing w:lineRule="auto" w:line="288" w:before="0" w:after="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shd w:fill="FFFFFF" w:val="clear"/>
        </w:rPr>
        <w:t>Payments</w:t>
      </w:r>
    </w:p>
    <w:p>
      <w:pPr>
        <w:pStyle w:val="TextBody"/>
        <w:bidi w:val="0"/>
        <w:spacing w:lineRule="auto" w:line="288" w:before="120" w:after="18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Payments payable to Non-Employee Directors shall be paid quarterly in arrears promptly following the end of each fiscal quarter, provided that (i) the amount of such payment shall be prorated for any portion of such quarter that such director was not serving on the Board of Directors or a committee; and (ii) no fee shall be payable in respect of any period prior to the date such director was elected to the Board of Directors or a committee.</w:t>
      </w:r>
    </w:p>
    <w:p>
      <w:pPr>
        <w:pStyle w:val="TextBody"/>
        <w:bidi w:val="0"/>
        <w:spacing w:lineRule="auto" w:line="288" w:before="0" w:after="0"/>
        <w:ind w:left="0" w:right="0" w:firstLine="144"/>
        <w:jc w:val="left"/>
        <w:rPr/>
      </w:pPr>
      <w:r>
        <w:rPr>
          <w:rFonts w:ascii="Times New Roman;serif" w:hAnsi="Times New Roman;serif"/>
          <w:b/>
          <w:color w:val="000000"/>
          <w:sz w:val="24"/>
        </w:rPr>
        <w:t xml:space="preserve">IV. </w:t>
      </w:r>
      <w:r>
        <w:rPr>
          <w:rFonts w:ascii="Times New Roman;serif" w:hAnsi="Times New Roman;serif"/>
          <w:b/>
          <w:color w:val="000000"/>
          <w:sz w:val="24"/>
          <w:shd w:fill="FFFFFF" w:val="clear"/>
        </w:rPr>
        <w:t>Director Compensation Limits</w:t>
      </w:r>
    </w:p>
    <w:p>
      <w:pPr>
        <w:pStyle w:val="TextBody"/>
        <w:bidi w:val="0"/>
        <w:spacing w:lineRule="auto" w:line="288" w:before="180" w:after="18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aggregate maximum value of compensation granted to any Non-Employee Director of the Company for such service in any one calendar year may not exceed $600,000 in total value; provided, that the Board of Directors may make exceptions to this limit for individual Non-Employee Directors in extraordinary circumstances as the Board of Directors may determine in its sole discretion, as long as (i) the aggregate limit does not exceed $750,000 in total value during a fiscal year; and (ii) the Non-Employee Director receiving such additional compensation does not participate in the decision to award such compensation.</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
        <w:jc w:val="left"/>
        <w:rPr/>
      </w:pPr>
      <w:r>
        <w:rPr>
          <w:rFonts w:ascii="Times New Roman;serif" w:hAnsi="Times New Roman;serif"/>
          <w:b/>
          <w:color w:val="000000"/>
          <w:sz w:val="24"/>
        </w:rPr>
        <w:t xml:space="preserve">V. </w:t>
      </w:r>
      <w:r>
        <w:rPr>
          <w:rFonts w:ascii="Times New Roman;serif" w:hAnsi="Times New Roman;serif"/>
          <w:b/>
          <w:color w:val="000000"/>
          <w:sz w:val="24"/>
          <w:shd w:fill="FFFFFF" w:val="clear"/>
        </w:rPr>
        <w:t>Expenses</w:t>
      </w:r>
    </w:p>
    <w:p>
      <w:pPr>
        <w:pStyle w:val="TextBody"/>
        <w:bidi w:val="0"/>
        <w:spacing w:lineRule="auto" w:line="288" w:before="120" w:after="18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Upon presentation of documentation of such expenses reasonably satisfactory to the Company, each Non-Employee Director shall be reimbursed for his or her reasonable out-of-pocket business expenses incurred in connection with attending meetings of the Board of Directors and committees thereof or in connection with other business related to the Board of Directors.</w:t>
      </w:r>
    </w:p>
    <w:p>
      <w:pPr>
        <w:pStyle w:val="TextBody"/>
        <w:bidi w:val="0"/>
        <w:spacing w:lineRule="auto" w:line="288" w:before="0" w:after="0"/>
        <w:ind w:left="0" w:right="0" w:firstLine="144"/>
        <w:jc w:val="left"/>
        <w:rPr/>
      </w:pPr>
      <w:r>
        <w:rPr>
          <w:rFonts w:ascii="Times New Roman;serif" w:hAnsi="Times New Roman;serif"/>
          <w:b/>
          <w:color w:val="000000"/>
          <w:sz w:val="24"/>
        </w:rPr>
        <w:t xml:space="preserve">VI. </w:t>
      </w:r>
      <w:r>
        <w:rPr>
          <w:rFonts w:ascii="Times New Roman;serif" w:hAnsi="Times New Roman;serif"/>
          <w:b/>
          <w:color w:val="000000"/>
          <w:sz w:val="24"/>
          <w:shd w:fill="FFFFFF" w:val="clear"/>
        </w:rPr>
        <w:t>Amendments</w: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Management Development and Compensation Committee shall periodically review this Policy to assess whether any amendments in the type and amount of compensation provided herein should be made and shall make recommendations to the Board of Directors for its approval of any amendments to this Policy.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Anshul Thakral,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949" w:type="dxa"/>
        <w:jc w:val="left"/>
        <w:tblInd w:w="0" w:type="dxa"/>
        <w:tblLayout w:type="fixed"/>
        <w:tblCellMar>
          <w:top w:w="28" w:type="dxa"/>
          <w:left w:w="28" w:type="dxa"/>
          <w:bottom w:w="28" w:type="dxa"/>
          <w:right w:w="28" w:type="dxa"/>
        </w:tblCellMar>
      </w:tblPr>
      <w:tblGrid>
        <w:gridCol w:w="618"/>
        <w:gridCol w:w="544"/>
        <w:gridCol w:w="547"/>
        <w:gridCol w:w="945"/>
        <w:gridCol w:w="945"/>
        <w:gridCol w:w="135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David Ross Smith,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409" w:type="dxa"/>
        <w:jc w:val="left"/>
        <w:tblInd w:w="0" w:type="dxa"/>
        <w:tblLayout w:type="fixed"/>
        <w:tblCellMar>
          <w:top w:w="28" w:type="dxa"/>
          <w:left w:w="28" w:type="dxa"/>
          <w:bottom w:w="28" w:type="dxa"/>
          <w:right w:w="28" w:type="dxa"/>
        </w:tblCellMar>
      </w:tblPr>
      <w:tblGrid>
        <w:gridCol w:w="618"/>
        <w:gridCol w:w="544"/>
        <w:gridCol w:w="547"/>
        <w:gridCol w:w="789"/>
        <w:gridCol w:w="789"/>
        <w:gridCol w:w="112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7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David Ross Smith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Ross Smith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Interim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Anshul Thakral, Chief Executive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2026 (the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p>
      <w:pPr>
        <w:pStyle w:val="TextBody"/>
        <w:bidi w:val="0"/>
        <w:spacing w:before="0" w:after="0"/>
        <w:jc w:val="left"/>
        <w:rPr/>
      </w:pPr>
      <w:r>
        <w:rPr/>
      </w:r>
    </w:p>
    <w:tbl>
      <w:tblPr>
        <w:tblW w:w="4949" w:type="dxa"/>
        <w:jc w:val="left"/>
        <w:tblInd w:w="0" w:type="dxa"/>
        <w:tblLayout w:type="fixed"/>
        <w:tblCellMar>
          <w:top w:w="28" w:type="dxa"/>
          <w:left w:w="28" w:type="dxa"/>
          <w:bottom w:w="28" w:type="dxa"/>
          <w:right w:w="28" w:type="dxa"/>
        </w:tblCellMar>
      </w:tblPr>
      <w:tblGrid>
        <w:gridCol w:w="618"/>
        <w:gridCol w:w="544"/>
        <w:gridCol w:w="547"/>
        <w:gridCol w:w="945"/>
        <w:gridCol w:w="945"/>
        <w:gridCol w:w="135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David Ross Smith, Interim Chief Financial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2026 (the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p>
      <w:pPr>
        <w:pStyle w:val="TextBody"/>
        <w:bidi w:val="0"/>
        <w:spacing w:before="0" w:after="0"/>
        <w:jc w:val="left"/>
        <w:rPr/>
      </w:pPr>
      <w:r>
        <w:rPr/>
      </w:r>
    </w:p>
    <w:tbl>
      <w:tblPr>
        <w:tblW w:w="4409" w:type="dxa"/>
        <w:jc w:val="left"/>
        <w:tblInd w:w="0" w:type="dxa"/>
        <w:tblLayout w:type="fixed"/>
        <w:tblCellMar>
          <w:top w:w="28" w:type="dxa"/>
          <w:left w:w="28" w:type="dxa"/>
          <w:bottom w:w="28" w:type="dxa"/>
          <w:right w:w="28" w:type="dxa"/>
        </w:tblCellMar>
      </w:tblPr>
      <w:tblGrid>
        <w:gridCol w:w="618"/>
        <w:gridCol w:w="544"/>
        <w:gridCol w:w="547"/>
        <w:gridCol w:w="789"/>
        <w:gridCol w:w="789"/>
        <w:gridCol w:w="112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7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David Ross Smith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Ross Smith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Interim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22610</Words>
  <Characters>124661</Characters>
  <CharactersWithSpaces>146063</CharactersWithSpaces>
  <Paragraphs>2071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